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75.png" ContentType="image/png"/>
  <Override PartName="/word/media/rId30.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course-overview"/>
    <w:p>
      <w:pPr>
        <w:pStyle w:val="Heading2"/>
      </w:pPr>
      <w:r>
        <w:t xml:space="preserve">Course Overview</w:t>
      </w:r>
    </w:p>
    <w:p>
      <w:pPr>
        <w:pStyle w:val="FirstParagraph"/>
      </w:pPr>
      <w:r>
        <w:t xml:space="preserve">This is a 3 credit course which is required for the Environmental Engineering major, and can only be taken for a letter grade.</w:t>
      </w:r>
    </w:p>
    <w:bookmarkEnd w:id="20"/>
    <w:bookmarkStart w:id="28" w:name="course-information"/>
    <w:p>
      <w:pPr>
        <w:pStyle w:val="Heading2"/>
      </w:pPr>
      <w:r>
        <w:t xml:space="preserve">Course Information</w:t>
      </w:r>
    </w:p>
    <w:bookmarkStart w:id="23" w:name="instructor"/>
    <w:p>
      <w:pPr>
        <w:pStyle w:val="Heading3"/>
      </w:pPr>
      <w:r>
        <w:t xml:space="preserve">Instructor</w:t>
      </w:r>
    </w:p>
    <w:p>
      <w:pPr>
        <w:pStyle w:val="Compact"/>
        <w:numPr>
          <w:ilvl w:val="0"/>
          <w:numId w:val="1001"/>
        </w:numPr>
      </w:pPr>
      <w:r>
        <w:t xml:space="preserve"> </w:t>
      </w:r>
      <w:hyperlink r:id="rId21">
        <w:r>
          <w:rPr>
            <w:rStyle w:val="Hyperlink"/>
          </w:rPr>
          <w:t xml:space="preserve">Vivek Srikrishnan</w:t>
        </w:r>
      </w:hyperlink>
    </w:p>
    <w:p>
      <w:pPr>
        <w:pStyle w:val="Compact"/>
        <w:numPr>
          <w:ilvl w:val="0"/>
          <w:numId w:val="1001"/>
        </w:numPr>
      </w:pPr>
      <w:r>
        <w:t xml:space="preserve"> </w:t>
      </w:r>
      <w:hyperlink r:id="rId22">
        <w:r>
          <w:rPr>
            <w:rStyle w:val="Hyperlink"/>
          </w:rPr>
          <w:t xml:space="preserve">viveks@cornell.edu</w:t>
        </w:r>
      </w:hyperlink>
    </w:p>
    <w:p>
      <w:pPr>
        <w:pStyle w:val="Compact"/>
        <w:numPr>
          <w:ilvl w:val="0"/>
          <w:numId w:val="1001"/>
        </w:numPr>
      </w:pPr>
      <w:r>
        <w:t xml:space="preserve"> </w:t>
      </w:r>
      <w:r>
        <w:t xml:space="preserve">318 Riley-Robb</w:t>
      </w:r>
    </w:p>
    <w:p>
      <w:pPr>
        <w:pStyle w:val="Compact"/>
        <w:numPr>
          <w:ilvl w:val="0"/>
          <w:numId w:val="1001"/>
        </w:numPr>
      </w:pPr>
      <w:r>
        <w:t xml:space="preserve">M 1-2, T 4-5</w:t>
      </w:r>
    </w:p>
    <w:bookmarkEnd w:id="23"/>
    <w:bookmarkStart w:id="25" w:name="ta"/>
    <w:p>
      <w:pPr>
        <w:pStyle w:val="Heading3"/>
      </w:pPr>
      <w:r>
        <w:t xml:space="preserve">TA</w:t>
      </w:r>
    </w:p>
    <w:p>
      <w:pPr>
        <w:pStyle w:val="Compact"/>
        <w:numPr>
          <w:ilvl w:val="0"/>
          <w:numId w:val="1002"/>
        </w:numPr>
      </w:pPr>
      <w:r>
        <w:t xml:space="preserve"> </w:t>
      </w:r>
      <w:r>
        <w:t xml:space="preserve">Samantha Davies</w:t>
      </w:r>
    </w:p>
    <w:p>
      <w:pPr>
        <w:pStyle w:val="Compact"/>
        <w:numPr>
          <w:ilvl w:val="0"/>
          <w:numId w:val="1002"/>
        </w:numPr>
      </w:pPr>
      <w:r>
        <w:t xml:space="preserve"> </w:t>
      </w:r>
      <w:hyperlink r:id="rId24">
        <w:r>
          <w:rPr>
            <w:rStyle w:val="Hyperlink"/>
          </w:rPr>
          <w:t xml:space="preserve">sld238@cornell.edu</w:t>
        </w:r>
      </w:hyperlink>
    </w:p>
    <w:p>
      <w:pPr>
        <w:pStyle w:val="Compact"/>
        <w:numPr>
          <w:ilvl w:val="0"/>
          <w:numId w:val="1002"/>
        </w:numPr>
      </w:pPr>
      <w:r>
        <w:t xml:space="preserve"> </w:t>
      </w:r>
      <w:r>
        <w:t xml:space="preserve">217 Riley-Robb Hall</w:t>
      </w:r>
    </w:p>
    <w:p>
      <w:pPr>
        <w:pStyle w:val="Compact"/>
        <w:numPr>
          <w:ilvl w:val="0"/>
          <w:numId w:val="1002"/>
        </w:numPr>
      </w:pPr>
      <w:r>
        <w:t xml:space="preserve">MW 4:15-5:15</w:t>
      </w:r>
    </w:p>
    <w:bookmarkEnd w:id="25"/>
    <w:bookmarkStart w:id="26"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2:55-4:10pm</w:t>
      </w:r>
    </w:p>
    <w:p>
      <w:pPr>
        <w:pStyle w:val="Compact"/>
        <w:numPr>
          <w:ilvl w:val="0"/>
          <w:numId w:val="1003"/>
        </w:numPr>
      </w:pPr>
      <w:r>
        <w:t xml:space="preserve"> </w:t>
      </w:r>
      <w:r>
        <w:t xml:space="preserve">105 Riley-Robb</w:t>
      </w:r>
    </w:p>
    <w:bookmarkEnd w:id="26"/>
    <w:bookmarkStart w:id="27" w:name="course-description"/>
    <w:p>
      <w:pPr>
        <w:pStyle w:val="Heading3"/>
      </w:pPr>
      <w:r>
        <w:t xml:space="preserve">Course Description</w:t>
      </w:r>
    </w:p>
    <w:p>
      <w:pPr>
        <w:pStyle w:val="FirstParagraph"/>
      </w:pPr>
      <w:r>
        <w:t xml:space="preserve">Environmental systems involve multiple interacting processes, uncertainties, and potentially conflicting objectives. These dynamics can complicate analyses which focus on a single component of the system, such as an individual pollution source, or a single outcome of interest. In this course, we will adopt a systems approach to environmental quality modeling and management, including applications in air and water pollution control and solid waste management. In particular, we will:</w:t>
      </w:r>
    </w:p>
    <w:p>
      <w:pPr>
        <w:pStyle w:val="Compact"/>
        <w:numPr>
          <w:ilvl w:val="0"/>
          <w:numId w:val="1004"/>
        </w:numPr>
      </w:pPr>
      <w:r>
        <w:t xml:space="preserve">define systems and their boundaries;</w:t>
      </w:r>
    </w:p>
    <w:p>
      <w:pPr>
        <w:pStyle w:val="Compact"/>
        <w:numPr>
          <w:ilvl w:val="0"/>
          <w:numId w:val="1004"/>
        </w:numPr>
      </w:pPr>
      <w:r>
        <w:t xml:space="preserve">simulate system dynamics using computer models;</w:t>
      </w:r>
    </w:p>
    <w:p>
      <w:pPr>
        <w:pStyle w:val="Compact"/>
        <w:numPr>
          <w:ilvl w:val="0"/>
          <w:numId w:val="1004"/>
        </w:numPr>
      </w:pPr>
      <w:r>
        <w:t xml:space="preserve">formulate and solve decision problems for systems management;</w:t>
      </w:r>
    </w:p>
    <w:p>
      <w:pPr>
        <w:pStyle w:val="Compact"/>
        <w:numPr>
          <w:ilvl w:val="0"/>
          <w:numId w:val="1004"/>
        </w:numPr>
      </w:pPr>
      <w:r>
        <w:t xml:space="preserve">analyze and assess risk;</w:t>
      </w:r>
    </w:p>
    <w:p>
      <w:pPr>
        <w:pStyle w:val="Compact"/>
        <w:numPr>
          <w:ilvl w:val="0"/>
          <w:numId w:val="1004"/>
        </w:numPr>
      </w:pPr>
      <w:r>
        <w:t xml:space="preserve">make decisions under uncertainty; and</w:t>
      </w:r>
    </w:p>
    <w:p>
      <w:pPr>
        <w:pStyle w:val="Compact"/>
        <w:numPr>
          <w:ilvl w:val="0"/>
          <w:numId w:val="1004"/>
        </w:numPr>
      </w:pPr>
      <w:r>
        <w:t xml:space="preserve">explore trade-offs across competing objectives.</w:t>
      </w:r>
    </w:p>
    <w:bookmarkEnd w:id="27"/>
    <w:bookmarkEnd w:id="28"/>
    <w:bookmarkStart w:id="29" w:name="learning-outcomes"/>
    <w:p>
      <w:pPr>
        <w:pStyle w:val="Heading2"/>
      </w:pPr>
      <w:r>
        <w:t xml:space="preserve">Learning Outcomes</w:t>
      </w:r>
    </w:p>
    <w:p>
      <w:pPr>
        <w:pStyle w:val="FirstParagraph"/>
      </w:pPr>
      <w:r>
        <w:t xml:space="preserve">At the end of this class, students will:</w:t>
      </w:r>
    </w:p>
    <w:p>
      <w:pPr>
        <w:pStyle w:val="Compact"/>
        <w:numPr>
          <w:ilvl w:val="0"/>
          <w:numId w:val="1005"/>
        </w:numPr>
      </w:pPr>
      <w:r>
        <w:t xml:space="preserve">Construct mathematical models of environmental systems;</w:t>
      </w:r>
    </w:p>
    <w:p>
      <w:pPr>
        <w:pStyle w:val="Compact"/>
        <w:numPr>
          <w:ilvl w:val="0"/>
          <w:numId w:val="1005"/>
        </w:numPr>
      </w:pPr>
      <w:r>
        <w:t xml:space="preserve">Use systems models to simulate dynamics and outcomes;</w:t>
      </w:r>
    </w:p>
    <w:p>
      <w:pPr>
        <w:pStyle w:val="Compact"/>
        <w:numPr>
          <w:ilvl w:val="0"/>
          <w:numId w:val="1005"/>
        </w:numPr>
      </w:pPr>
      <w:r>
        <w:t xml:space="preserve">Analyze environmental system risk and vulnerabilities.</w:t>
      </w:r>
    </w:p>
    <w:p>
      <w:pPr>
        <w:pStyle w:val="Compact"/>
        <w:numPr>
          <w:ilvl w:val="0"/>
          <w:numId w:val="1005"/>
        </w:numPr>
      </w:pPr>
      <w:r>
        <w:t xml:space="preserve">Determine strategies for managing systems using optimization;</w:t>
      </w:r>
    </w:p>
    <w:p>
      <w:pPr>
        <w:pStyle w:val="Compact"/>
        <w:numPr>
          <w:ilvl w:val="0"/>
          <w:numId w:val="1005"/>
        </w:numPr>
      </w:pPr>
      <w:r>
        <w:t xml:space="preserve">Identify the trade-offs that result from competing objectives in environmental decision-making;</w:t>
      </w:r>
    </w:p>
    <w:p>
      <w:pPr>
        <w:pStyle w:val="Compact"/>
        <w:numPr>
          <w:ilvl w:val="0"/>
          <w:numId w:val="1005"/>
        </w:numPr>
      </w:pPr>
      <w:r>
        <w:t xml:space="preserve">Evaluate modeled outcomes with respect to model assumptions and limits.</w:t>
      </w:r>
    </w:p>
    <w:bookmarkEnd w:id="29"/>
    <w:bookmarkStart w:id="33"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rPr>
          <w:b/>
          <w:bCs/>
        </w:rPr>
        <w:t xml:space="preserve">Environmental Processes (BEE 2510 or BEE 2600)</w:t>
      </w:r>
      <w:r>
        <w:t xml:space="preserve">: mass and energy balance, fate and transport</w:t>
      </w:r>
    </w:p>
    <w:p>
      <w:pPr>
        <w:pStyle w:val="Compact"/>
        <w:numPr>
          <w:ilvl w:val="0"/>
          <w:numId w:val="1006"/>
        </w:numPr>
      </w:pPr>
      <w:r>
        <w:rPr>
          <w:b/>
          <w:bCs/>
        </w:rPr>
        <w:t xml:space="preserve">Engineering Computation (ENGRD/CEE 3200)</w:t>
      </w:r>
      <w:r>
        <w:t xml:space="preserve">: basic programming, discretization of ODEs, curve fitting</w:t>
      </w:r>
    </w:p>
    <w:p>
      <w:pPr>
        <w:pStyle w:val="Compact"/>
        <w:numPr>
          <w:ilvl w:val="0"/>
          <w:numId w:val="1006"/>
        </w:numPr>
      </w:pPr>
      <w:r>
        <w:rPr>
          <w:b/>
          <w:bCs/>
        </w:rPr>
        <w:t xml:space="preserve">One course in probability or statistics (ENGRD 2700, CEE 3040, or equivalent)</w:t>
      </w:r>
      <w:r>
        <w:t xml:space="preserve">: probability, probability distributions, summary statistics</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 While we will use the Julia programming language in class, if you are familiar with Python or MATLAB, the fundamentals are similar.</w:t>
            </w:r>
          </w:p>
        </w:tc>
      </w:tr>
    </w:tbl>
    <w:bookmarkEnd w:id="33"/>
    <w:bookmarkStart w:id="34" w:name="topics"/>
    <w:p>
      <w:pPr>
        <w:pStyle w:val="Heading2"/>
      </w:pPr>
      <w:r>
        <w:t xml:space="preserve">Topics</w:t>
      </w:r>
    </w:p>
    <w:p>
      <w:pPr>
        <w:pStyle w:val="FirstParagraph"/>
      </w:pPr>
      <w:r>
        <w:t xml:space="preserve">This class will cover the following topics:</w:t>
      </w:r>
    </w:p>
    <w:p>
      <w:pPr>
        <w:pStyle w:val="Compact"/>
        <w:numPr>
          <w:ilvl w:val="0"/>
          <w:numId w:val="1007"/>
        </w:numPr>
      </w:pPr>
      <w:r>
        <w:t xml:space="preserve">Introduction to environmental systems</w:t>
      </w:r>
    </w:p>
    <w:p>
      <w:pPr>
        <w:pStyle w:val="Compact"/>
        <w:numPr>
          <w:ilvl w:val="0"/>
          <w:numId w:val="1007"/>
        </w:numPr>
      </w:pPr>
      <w:r>
        <w:t xml:space="preserve">Modeling system dynamics</w:t>
      </w:r>
    </w:p>
    <w:p>
      <w:pPr>
        <w:pStyle w:val="Compact"/>
        <w:numPr>
          <w:ilvl w:val="0"/>
          <w:numId w:val="1007"/>
        </w:numPr>
      </w:pPr>
      <w:r>
        <w:t xml:space="preserve">Multiple objectives and trade-offs</w:t>
      </w:r>
    </w:p>
    <w:p>
      <w:pPr>
        <w:pStyle w:val="Compact"/>
        <w:numPr>
          <w:ilvl w:val="0"/>
          <w:numId w:val="1007"/>
        </w:numPr>
      </w:pPr>
      <w:r>
        <w:t xml:space="preserve">Model discretization and simulation</w:t>
      </w:r>
    </w:p>
    <w:p>
      <w:pPr>
        <w:pStyle w:val="Compact"/>
        <w:numPr>
          <w:ilvl w:val="0"/>
          <w:numId w:val="1007"/>
        </w:numPr>
      </w:pPr>
      <w:r>
        <w:t xml:space="preserve">Uncertainty and Monte Carlo analysis</w:t>
      </w:r>
    </w:p>
    <w:p>
      <w:pPr>
        <w:pStyle w:val="Compact"/>
        <w:numPr>
          <w:ilvl w:val="0"/>
          <w:numId w:val="1007"/>
        </w:numPr>
      </w:pPr>
      <w:r>
        <w:t xml:space="preserve">Linear programming</w:t>
      </w:r>
    </w:p>
    <w:p>
      <w:pPr>
        <w:pStyle w:val="Compact"/>
        <w:numPr>
          <w:ilvl w:val="0"/>
          <w:numId w:val="1007"/>
        </w:numPr>
      </w:pPr>
      <w:r>
        <w:t xml:space="preserve">Simulation-optimization</w:t>
      </w:r>
    </w:p>
    <w:p>
      <w:pPr>
        <w:pStyle w:val="Compact"/>
        <w:numPr>
          <w:ilvl w:val="0"/>
          <w:numId w:val="1007"/>
        </w:numPr>
      </w:pPr>
      <w:r>
        <w:t xml:space="preserve">Decision making under uncertainty</w:t>
      </w:r>
    </w:p>
    <w:p>
      <w:pPr>
        <w:pStyle w:val="Compact"/>
        <w:numPr>
          <w:ilvl w:val="0"/>
          <w:numId w:val="1007"/>
        </w:numPr>
      </w:pPr>
      <w:r>
        <w:t xml:space="preserve">Sensitivity and robustness</w:t>
      </w:r>
    </w:p>
    <w:p>
      <w:pPr>
        <w:pStyle w:val="FirstParagraph"/>
      </w:pPr>
      <w:r>
        <w:t xml:space="preserve">To motivate and illustrate these topics, we will draw on application areas including:</w:t>
      </w:r>
    </w:p>
    <w:p>
      <w:pPr>
        <w:pStyle w:val="Compact"/>
        <w:numPr>
          <w:ilvl w:val="0"/>
          <w:numId w:val="1008"/>
        </w:numPr>
      </w:pPr>
      <w:r>
        <w:t xml:space="preserve">Climate change</w:t>
      </w:r>
    </w:p>
    <w:p>
      <w:pPr>
        <w:pStyle w:val="Compact"/>
        <w:numPr>
          <w:ilvl w:val="0"/>
          <w:numId w:val="1008"/>
        </w:numPr>
      </w:pPr>
      <w:r>
        <w:t xml:space="preserve">Water quality</w:t>
      </w:r>
    </w:p>
    <w:p>
      <w:pPr>
        <w:pStyle w:val="Compact"/>
        <w:numPr>
          <w:ilvl w:val="0"/>
          <w:numId w:val="1008"/>
        </w:numPr>
      </w:pPr>
      <w:r>
        <w:t xml:space="preserve">Air quality</w:t>
      </w:r>
    </w:p>
    <w:p>
      <w:pPr>
        <w:pStyle w:val="Compact"/>
        <w:numPr>
          <w:ilvl w:val="0"/>
          <w:numId w:val="1008"/>
        </w:numPr>
      </w:pPr>
      <w:r>
        <w:t xml:space="preserve">Electric power systems</w:t>
      </w:r>
    </w:p>
    <w:p>
      <w:pPr>
        <w:pStyle w:val="Compact"/>
        <w:numPr>
          <w:ilvl w:val="0"/>
          <w:numId w:val="1008"/>
        </w:numPr>
      </w:pPr>
      <w:r>
        <w:t xml:space="preserve">Solid waste management</w:t>
      </w:r>
    </w:p>
    <w:p>
      <w:pPr>
        <w:pStyle w:val="Compact"/>
        <w:numPr>
          <w:ilvl w:val="0"/>
          <w:numId w:val="1008"/>
        </w:numPr>
      </w:pPr>
      <w:r>
        <w:t xml:space="preserve">Resource allocation</w:t>
      </w:r>
    </w:p>
    <w:p>
      <w:pPr>
        <w:pStyle w:val="Compact"/>
        <w:numPr>
          <w:ilvl w:val="0"/>
          <w:numId w:val="1008"/>
        </w:numPr>
      </w:pPr>
      <w:r>
        <w:t xml:space="preserve">Reservoir management</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environmental systems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9"/>
        </w:numPr>
      </w:pPr>
      <w:r>
        <w:t xml:space="preserve">provide organized and focused lectures, in-class activities, and assignments;</w:t>
      </w:r>
    </w:p>
    <w:p>
      <w:pPr>
        <w:pStyle w:val="Compact"/>
        <w:numPr>
          <w:ilvl w:val="0"/>
          <w:numId w:val="1009"/>
        </w:numPr>
      </w:pPr>
      <w:r>
        <w:t xml:space="preserve">encourage students to regularly evaluate and provide feedback on the course;</w:t>
      </w:r>
    </w:p>
    <w:p>
      <w:pPr>
        <w:pStyle w:val="Compact"/>
        <w:numPr>
          <w:ilvl w:val="0"/>
          <w:numId w:val="1009"/>
        </w:numPr>
      </w:pPr>
      <w:r>
        <w:t xml:space="preserve">manage the classroom atmosphere to promote learning;</w:t>
      </w:r>
    </w:p>
    <w:p>
      <w:pPr>
        <w:pStyle w:val="Compact"/>
        <w:numPr>
          <w:ilvl w:val="0"/>
          <w:numId w:val="1009"/>
        </w:numPr>
      </w:pPr>
      <w:r>
        <w:t xml:space="preserve">schedule sufficient out-of-class contact opportunities, such as office hours;</w:t>
      </w:r>
    </w:p>
    <w:p>
      <w:pPr>
        <w:pStyle w:val="Compact"/>
        <w:numPr>
          <w:ilvl w:val="0"/>
          <w:numId w:val="1009"/>
        </w:numPr>
      </w:pPr>
      <w:r>
        <w:t xml:space="preserve">allow adequate time for assignment completion;</w:t>
      </w:r>
    </w:p>
    <w:p>
      <w:pPr>
        <w:pStyle w:val="Compact"/>
        <w:numPr>
          <w:ilvl w:val="0"/>
          <w:numId w:val="1009"/>
        </w:numPr>
      </w:pPr>
      <w:r>
        <w:t xml:space="preserve">make lecture materials, class policies, activities, and assignments accessible to students.</w:t>
      </w:r>
    </w:p>
    <w:p>
      <w:pPr>
        <w:pStyle w:val="FirstParagraph"/>
      </w:pPr>
      <w:r>
        <w:t xml:space="preserve">Students are encouraged to discuss any concerns with me during office hours or through a course communications channel.</w:t>
      </w:r>
    </w:p>
    <w:p>
      <w:pPr>
        <w:pStyle w:val="BodyText"/>
      </w:pPr>
      <w:r>
        <w:t xml:space="preserve">Students can optimize their performance in the course by:</w:t>
      </w:r>
    </w:p>
    <w:p>
      <w:pPr>
        <w:pStyle w:val="Compact"/>
        <w:numPr>
          <w:ilvl w:val="0"/>
          <w:numId w:val="1010"/>
        </w:numPr>
      </w:pPr>
      <w:r>
        <w:t xml:space="preserve">attending all lectures;</w:t>
      </w:r>
    </w:p>
    <w:p>
      <w:pPr>
        <w:pStyle w:val="Compact"/>
        <w:numPr>
          <w:ilvl w:val="0"/>
          <w:numId w:val="1010"/>
        </w:numPr>
      </w:pPr>
      <w:r>
        <w:t xml:space="preserve">doing any required preparatory work before class;</w:t>
      </w:r>
    </w:p>
    <w:p>
      <w:pPr>
        <w:pStyle w:val="Compact"/>
        <w:numPr>
          <w:ilvl w:val="0"/>
          <w:numId w:val="1010"/>
        </w:numPr>
      </w:pPr>
      <w:r>
        <w:t xml:space="preserve">actively participating in online and in-class discussions;</w:t>
      </w:r>
    </w:p>
    <w:p>
      <w:pPr>
        <w:pStyle w:val="Compact"/>
        <w:numPr>
          <w:ilvl w:val="0"/>
          <w:numId w:val="1010"/>
        </w:numPr>
      </w:pPr>
      <w:r>
        <w:t xml:space="preserve">beginning assignments and other work early;</w:t>
      </w:r>
    </w:p>
    <w:p>
      <w:pPr>
        <w:pStyle w:val="Compact"/>
        <w:numPr>
          <w:ilvl w:val="0"/>
          <w:numId w:val="1010"/>
        </w:numPr>
      </w:pPr>
      <w:r>
        <w:t xml:space="preserve">and attending office hours as needed.</w:t>
      </w:r>
    </w:p>
    <w:bookmarkEnd w:id="35"/>
    <w:bookmarkStart w:id="50" w:name="community"/>
    <w:p>
      <w:pPr>
        <w:pStyle w:val="Heading2"/>
      </w:pPr>
      <w:r>
        <w:t xml:space="preserve">Community</w:t>
      </w:r>
    </w:p>
    <w:bookmarkStart w:id="39"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p>
      <w:pPr>
        <w:pStyle w:val="BodyText"/>
      </w:pPr>
      <w:r>
        <w:t xml:space="preserve">We have configured our Ed Discussion board to allow anonymous posts; we will restrict posts to real names only if anyonmous posts become problematic.</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tc>
      </w:tr>
    </w:tbl>
    <w:bookmarkEnd w:id="39"/>
    <w:bookmarkStart w:id="41"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0">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1"/>
    <w:bookmarkStart w:id="45" w:name="course-communications"/>
    <w:p>
      <w:pPr>
        <w:pStyle w:val="Heading3"/>
      </w:pPr>
      <w:r>
        <w:t xml:space="preserve">Course Communications</w:t>
      </w:r>
    </w:p>
    <w:p>
      <w:pPr>
        <w:pStyle w:val="FirstParagraph"/>
      </w:pPr>
      <w:r>
        <w:t xml:space="preserve">Most course communications will occur via</w:t>
      </w:r>
      <w:r>
        <w:t xml:space="preserve"> </w:t>
      </w:r>
      <w:hyperlink r:id="rId42">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important.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tc>
      </w:tr>
    </w:tbl>
    <w:bookmarkEnd w:id="45"/>
    <w:bookmarkStart w:id="49"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46">
        <w:r>
          <w:rPr>
            <w:rStyle w:val="Hyperlink"/>
          </w:rPr>
          <w:t xml:space="preserve">Cornell’s mental health resources</w:t>
        </w:r>
      </w:hyperlink>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important.png" id="4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tc>
      </w:tr>
    </w:tbl>
    <w:bookmarkEnd w:id="49"/>
    <w:bookmarkEnd w:id="50"/>
    <w:bookmarkStart w:id="74"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3"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important.png" id="52"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tc>
      </w:tr>
    </w:tbl>
    <w:bookmarkEnd w:id="53"/>
    <w:bookmarkStart w:id="54"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4"/>
    <w:bookmarkStart w:id="59" w:name="academic-integrity"/>
    <w:p>
      <w:pPr>
        <w:pStyle w:val="Heading3"/>
      </w:pPr>
      <w:r>
        <w:t xml:space="preserve">Academic Integrity</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important.png" id="56"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57">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58">
        <w:r>
          <w:rPr>
            <w:rStyle w:val="Hyperlink"/>
          </w:rPr>
          <w:t xml:space="preserve">American Society for Civil Engineers’ Code of Ethics</w:t>
        </w:r>
      </w:hyperlink>
      <w:r>
        <w:t xml:space="preserve">).</w:t>
      </w:r>
    </w:p>
    <w:bookmarkEnd w:id="59"/>
    <w:bookmarkStart w:id="60"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60"/>
    <w:bookmarkStart w:id="61"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61"/>
    <w:bookmarkStart w:id="62"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62"/>
    <w:bookmarkStart w:id="70"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important.png" id="6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warning.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tip.png" id="69"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tc>
      </w:tr>
    </w:tbl>
    <w:bookmarkEnd w:id="70"/>
    <w:bookmarkStart w:id="73" w:name="office-hours"/>
    <w:p>
      <w:pPr>
        <w:pStyle w:val="Heading3"/>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tip.png" id="7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tc>
      </w:tr>
    </w:tbl>
    <w:bookmarkEnd w:id="73"/>
    <w:bookmarkEnd w:id="74"/>
    <w:bookmarkStart w:id="85" w:name="assessments"/>
    <w:p>
      <w:pPr>
        <w:pStyle w:val="Heading2"/>
      </w:pPr>
      <w:r>
        <w:t xml:space="preserve">Assessments</w:t>
      </w:r>
    </w:p>
    <w:p>
      <w:pPr>
        <w:pStyle w:val="FirstParagraph"/>
      </w:pPr>
      <w:r>
        <w:t xml:space="preserve">Your grade will be computed as the weighted average of the following assessment categories: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Category</w:t>
            </w:r>
          </w:p>
        </w:tc>
        <w:tc>
          <w:tcPr/>
          <w:p>
            <w:pPr>
              <w:pStyle w:val="Compact"/>
              <w:jc w:val="center"/>
            </w:pPr>
            <w:r>
              <w:t xml:space="preserve">Weight</w:t>
            </w:r>
          </w:p>
        </w:tc>
      </w:tr>
      <w:tr>
        <w:tc>
          <w:tcPr/>
          <w:p>
            <w:pPr>
              <w:pStyle w:val="Compact"/>
              <w:jc w:val="left"/>
            </w:pPr>
            <w:r>
              <w:t xml:space="preserve">Participation (4750)</w:t>
            </w:r>
          </w:p>
        </w:tc>
        <w:tc>
          <w:tcPr/>
          <w:p>
            <w:pPr>
              <w:pStyle w:val="Compact"/>
              <w:jc w:val="center"/>
            </w:pPr>
            <w:r>
              <w:t xml:space="preserve">10%</w:t>
            </w:r>
          </w:p>
        </w:tc>
      </w:tr>
      <w:tr>
        <w:tc>
          <w:tcPr/>
          <w:p>
            <w:pPr>
              <w:pStyle w:val="Compact"/>
              <w:jc w:val="left"/>
            </w:pPr>
            <w:r>
              <w:t xml:space="preserve">Reading Assignments (5750)</w:t>
            </w:r>
          </w:p>
        </w:tc>
        <w:tc>
          <w:tcPr/>
          <w:p>
            <w:pPr>
              <w:pStyle w:val="Compact"/>
              <w:jc w:val="center"/>
            </w:pPr>
            <w:r>
              <w:t xml:space="preserve">10%</w:t>
            </w:r>
          </w:p>
        </w:tc>
      </w:tr>
      <w:tr>
        <w:tc>
          <w:tcPr/>
          <w:p>
            <w:pPr>
              <w:pStyle w:val="Compact"/>
              <w:jc w:val="left"/>
            </w:pPr>
            <w:r>
              <w:t xml:space="preserve">Exercises</w:t>
            </w:r>
          </w:p>
        </w:tc>
        <w:tc>
          <w:tcPr/>
          <w:p>
            <w:pPr>
              <w:pStyle w:val="Compact"/>
              <w:jc w:val="center"/>
            </w:pPr>
            <w:r>
              <w:t xml:space="preserve">10%</w:t>
            </w:r>
          </w:p>
        </w:tc>
      </w:tr>
      <w:tr>
        <w:tc>
          <w:tcPr/>
          <w:p>
            <w:pPr>
              <w:pStyle w:val="Compact"/>
              <w:jc w:val="left"/>
            </w:pPr>
            <w:r>
              <w:t xml:space="preserve">Labs</w:t>
            </w:r>
          </w:p>
        </w:tc>
        <w:tc>
          <w:tcPr/>
          <w:p>
            <w:pPr>
              <w:pStyle w:val="Compact"/>
              <w:jc w:val="center"/>
            </w:pPr>
            <w:r>
              <w:t xml:space="preserve">10%</w:t>
            </w:r>
          </w:p>
        </w:tc>
      </w:tr>
      <w:tr>
        <w:tc>
          <w:tcPr/>
          <w:p>
            <w:pPr>
              <w:pStyle w:val="Compact"/>
              <w:jc w:val="left"/>
            </w:pPr>
            <w:r>
              <w:t xml:space="preserve">Homework</w:t>
            </w:r>
          </w:p>
        </w:tc>
        <w:tc>
          <w:tcPr/>
          <w:p>
            <w:pPr>
              <w:pStyle w:val="Compact"/>
              <w:jc w:val="center"/>
            </w:pPr>
            <w:r>
              <w:t xml:space="preserve">15%</w:t>
            </w:r>
          </w:p>
        </w:tc>
      </w:tr>
      <w:tr>
        <w:tc>
          <w:tcPr/>
          <w:p>
            <w:pPr>
              <w:pStyle w:val="Compact"/>
              <w:jc w:val="left"/>
            </w:pPr>
            <w:r>
              <w:t xml:space="preserve">Prelims</w:t>
            </w:r>
          </w:p>
        </w:tc>
        <w:tc>
          <w:tcPr/>
          <w:p>
            <w:pPr>
              <w:pStyle w:val="Compact"/>
              <w:jc w:val="center"/>
            </w:pPr>
            <w:r>
              <w:t xml:space="preserve">30%</w:t>
            </w:r>
          </w:p>
        </w:tc>
      </w:tr>
      <w:tr>
        <w:tc>
          <w:tcPr/>
          <w:p>
            <w:pPr>
              <w:pStyle w:val="Compact"/>
              <w:jc w:val="left"/>
            </w:pPr>
            <w:r>
              <w:t xml:space="preserve">Term Project</w:t>
            </w:r>
          </w:p>
        </w:tc>
        <w:tc>
          <w:tcPr/>
          <w:p>
            <w:pPr>
              <w:pStyle w:val="Compact"/>
              <w:jc w:val="center"/>
            </w:pPr>
            <w:r>
              <w:t xml:space="preserve">25%</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There Be a Curve?</w:t>
            </w:r>
          </w:p>
        </w:tc>
      </w:tr>
      <w:tr>
        <w:trPr>
          <w:cantSplit/>
        </w:trPr>
        <w:tc>
          <w:tcPr>
            <w:tcMar>
              <w:top w:w="108" w:type="dxa"/>
              <w:bottom w:w="108" w:type="dxa"/>
            </w:tcMar>
          </w:tcPr>
          <w:p>
            <w:pPr>
              <w:pStyle w:val="BodyText"/>
            </w:pPr>
            <w:pPr>
              <w:spacing w:before="16" w:after="16"/>
            </w:pPr>
            <w:r>
              <w:t xml:space="preserve">Grades on individual assessments will not be curved. It is unlikely that the final grades will be adjusted, but we may apply a curve</w:t>
            </w:r>
            <w:r>
              <w:t xml:space="preserve"> </w:t>
            </w:r>
            <w:r>
              <w:rPr>
                <w:b/>
                <w:bCs/>
              </w:rPr>
              <w:t xml:space="preserve">if and only if</w:t>
            </w:r>
            <w:r>
              <w:t xml:space="preserve"> </w:t>
            </w:r>
            <w:r>
              <w:t xml:space="preserve">circumstances arise which would make this appropriate, such as if the exams turn out to be longer or more difficult than intended. Grades will not be curved to meet any pre-defined distribution; it is entirely possible that everyone earns an A or everyone earns an F. Asking about a curve will not make one more likely.</w:t>
            </w:r>
          </w:p>
        </w:tc>
      </w:tr>
    </w:tbl>
    <w:bookmarkStart w:id="78"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5"/>
        </w:numPr>
      </w:pPr>
      <w:r>
        <w:t xml:space="preserve">Asking questions in class or on Ed;</w:t>
      </w:r>
    </w:p>
    <w:p>
      <w:pPr>
        <w:pStyle w:val="Compact"/>
        <w:numPr>
          <w:ilvl w:val="0"/>
          <w:numId w:val="1015"/>
        </w:numPr>
      </w:pPr>
      <w:r>
        <w:t xml:space="preserve">Answering questions in class or on Ed;</w:t>
      </w:r>
    </w:p>
    <w:p>
      <w:pPr>
        <w:pStyle w:val="Compact"/>
        <w:numPr>
          <w:ilvl w:val="0"/>
          <w:numId w:val="1015"/>
        </w:numPr>
      </w:pPr>
      <w:r>
        <w:t xml:space="preserve">Actively engaging in in-class activities;</w:t>
      </w:r>
    </w:p>
    <w:p>
      <w:pPr>
        <w:pStyle w:val="Compact"/>
        <w:numPr>
          <w:ilvl w:val="0"/>
          <w:numId w:val="1015"/>
        </w:numPr>
      </w:pPr>
      <w:r>
        <w:t xml:space="preserve">Coming to office hours.</w:t>
      </w:r>
    </w:p>
    <w:p>
      <w:pPr>
        <w:pStyle w:val="FirstParagraph"/>
      </w:pPr>
      <w:r>
        <w:t xml:space="preserve">Note that just passively attending class will not yield full participation points. Participation points are not free: you are likely to lose points if you consistently skip class or do not ask or answer questions online or in person. At the end of the term, you will be asked to evaluate your own participation over the course of the semester, in addition to my documentation of your participation.</w:t>
      </w:r>
    </w:p>
    <w:bookmarkEnd w:id="78"/>
    <w:bookmarkStart w:id="79" w:name="reading-assignments"/>
    <w:p>
      <w:pPr>
        <w:pStyle w:val="Heading3"/>
      </w:pPr>
      <w:r>
        <w:t xml:space="preserve">Reading Assignments</w:t>
      </w:r>
    </w:p>
    <w:p>
      <w:pPr>
        <w:pStyle w:val="FirstParagraph"/>
      </w:pPr>
      <w:r>
        <w:t xml:space="preserve">We will provide topical readings throughout the semester; these will typically be drawn from textbooks or journal articles. These readings are optional (but may be interesting) for students enrolled in BEE 4750. Students enrolled in BEE 5750 will be required to submit 1-2 page discussions of these readings, including:</w:t>
      </w:r>
    </w:p>
    <w:p>
      <w:pPr>
        <w:pStyle w:val="Compact"/>
        <w:numPr>
          <w:ilvl w:val="0"/>
          <w:numId w:val="1016"/>
        </w:numPr>
      </w:pPr>
      <w:r>
        <w:t xml:space="preserve">Summaries of the key questions, hypotheses, methods, and insights of the paper;</w:t>
      </w:r>
    </w:p>
    <w:p>
      <w:pPr>
        <w:pStyle w:val="Compact"/>
        <w:numPr>
          <w:ilvl w:val="0"/>
          <w:numId w:val="1016"/>
        </w:numPr>
      </w:pPr>
      <w:r>
        <w:t xml:space="preserve">Discussion of the connection(s) between the reading and our in-class content (lectures, discussions, etc.); these can be substantive or methodological.</w:t>
      </w:r>
    </w:p>
    <w:p>
      <w:pPr>
        <w:pStyle w:val="FirstParagraph"/>
      </w:pPr>
      <w:r>
        <w:t xml:space="preserve">Discussions are due before class the Monday after the week they’re assigned. Each discussion will be graded on a scale of 0-3. Your discussion should make specific references to the paper and your personal takeaways and insights from the reading. Submissions which lack these specifics will not receive much credit.</w:t>
      </w:r>
    </w:p>
    <w:p>
      <w:pPr>
        <w:pStyle w:val="BodyText"/>
      </w:pPr>
      <w:r>
        <w:t xml:space="preserve">While discussions are not required for students enrolled in 4750, doing the readings and posting your thoughts on Ed Discussion is a good way to improve your participation grade.</w:t>
      </w:r>
    </w:p>
    <w:bookmarkEnd w:id="79"/>
    <w:bookmarkStart w:id="80" w:name="exercises"/>
    <w:p>
      <w:pPr>
        <w:pStyle w:val="Heading3"/>
      </w:pPr>
      <w:r>
        <w:t xml:space="preserve">Exercises</w:t>
      </w:r>
    </w:p>
    <w:p>
      <w:pPr>
        <w:pStyle w:val="FirstParagraph"/>
      </w:pPr>
      <w:r>
        <w:t xml:space="preserve">Most weeks will involve a short problem set aimed at assessing key concepts. We will use Gradescope for these exercises. These will be released Monday at the end of class and are due before class (2:55PM) the following Monday. The exercises will be multiple choice or similar (categorization, multiple answer, etc), automatically graded, and you can submit them as often as you like. It is highly recommended that you do these promptly and take them seriously, as concepts and simple code practice will be useful for the homeworks and midterm exams. We will automatically drop one exercise set, but no late exercises will be accepted.</w:t>
      </w:r>
    </w:p>
    <w:bookmarkEnd w:id="80"/>
    <w:bookmarkStart w:id="81" w:name="labs"/>
    <w:p>
      <w:pPr>
        <w:pStyle w:val="Heading3"/>
      </w:pPr>
      <w:r>
        <w:t xml:space="preserve">Labs</w:t>
      </w:r>
    </w:p>
    <w:p>
      <w:pPr>
        <w:pStyle w:val="FirstParagraph"/>
      </w:pPr>
      <w:r>
        <w:t xml:space="preserve">Approximately 4 class periods will be dedicated to working through simple examples to guide you through applying concepts and methods from class. Students should bring their laptops to class, and will be given a worksheet to complete (as much as they can) during these lab classes. Labs will be designed to be completed in class, though you may occasionally require additional time; however, lab worksheets must be submitted by 9:00pm on the day after the lab day. As a result, I encourage you to make sure that you download and set up the lab materials ahead of time; these will be provided for you on Ed Discussion. Labs will be graded on a scale of 0-3 on the basis of effort towards demonstrated work, rather than absolute correctness or completion. No labs will be dropped by default. If you cannot bring a laptop to class, you can work with other students, though you must turn in your own worksheet for grading.</w:t>
      </w:r>
    </w:p>
    <w:bookmarkEnd w:id="81"/>
    <w:bookmarkStart w:id="82" w:name="homework-assignments"/>
    <w:p>
      <w:pPr>
        <w:pStyle w:val="Heading3"/>
      </w:pPr>
      <w:r>
        <w:t xml:space="preserve">Homework Assignments</w:t>
      </w:r>
    </w:p>
    <w:p>
      <w:pPr>
        <w:pStyle w:val="FirstParagraph"/>
      </w:pPr>
      <w:r>
        <w:t xml:space="preserve">Approximately 5-6 homework assignments will be assigned throughout the semester, one per course module (plus an initial homework to build or refresh programming and debugging skills). The homework assignments are more in-depth problem sets involving the modeling (derivation and implementation) and analysis of one or more environmental systems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and groups of up to three students can submit a single group homework solution. Students are responsible for forming their own homework groups, which can differ for each assignment. Only one student from a group should submit a solution, and it is the responsibility of the student submitting the assignment to tell Gradescope the names of the other group members. Otherwise, if multiple solutions from the same group are submitted, only one will be graded (whichever first comes up in Gradescope) and the rest ignored.</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7"/>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7"/>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r>
        <w:t xml:space="preserve"> </w:t>
      </w:r>
      <w:r>
        <w:rPr>
          <w:b/>
          <w:bCs/>
        </w:rPr>
        <w:t xml:space="preserve">All students in a group are responsible for ensuring that the student who submits the assignment for their group tags each question, as all will have points deducted if this is not done</w:t>
      </w:r>
      <w:r>
        <w:t xml:space="preserve">.</w:t>
      </w:r>
    </w:p>
    <w:p>
      <w:pPr>
        <w:pStyle w:val="Compact"/>
        <w:numPr>
          <w:ilvl w:val="0"/>
          <w:numId w:val="1017"/>
        </w:numPr>
      </w:pPr>
      <w:r>
        <w:t xml:space="preserve">A meta-rubric is provided on the website, under the Homework page. These are not customized for each assignment but the principles will apply generally.</w:t>
      </w:r>
    </w:p>
    <w:p>
      <w:pPr>
        <w:pStyle w:val="Compact"/>
        <w:numPr>
          <w:ilvl w:val="0"/>
          <w:numId w:val="1017"/>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7"/>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bookmarkEnd w:id="82"/>
    <w:bookmarkStart w:id="83" w:name="prelims"/>
    <w:p>
      <w:pPr>
        <w:pStyle w:val="Heading3"/>
      </w:pPr>
      <w:r>
        <w:t xml:space="preserve">Prelims</w:t>
      </w:r>
    </w:p>
    <w:p>
      <w:pPr>
        <w:pStyle w:val="FirstParagraph"/>
      </w:pPr>
      <w:r>
        <w:t xml:space="preserve">Two in-class prelims will be given as an opportunity to review relevant material. The dates for the exams are</w:t>
      </w:r>
      <w:r>
        <w:t xml:space="preserve"> </w:t>
      </w:r>
      <w:r>
        <w:rPr>
          <w:b/>
          <w:bCs/>
        </w:rPr>
        <w:t xml:space="preserve">October 08</w:t>
      </w:r>
      <w:r>
        <w:t xml:space="preserve"> </w:t>
      </w:r>
      <w:r>
        <w:t xml:space="preserve">and</w:t>
      </w:r>
      <w:r>
        <w:t xml:space="preserve"> </w:t>
      </w:r>
      <w:r>
        <w:rPr>
          <w:b/>
          <w:bCs/>
        </w:rPr>
        <w:t xml:space="preserve">November 12</w:t>
      </w:r>
      <w:r>
        <w:t xml:space="preserve">. The exams are closed-book and closed-note. As a result, the exams will emphasize conceptual material such as model derivations and interpretation of results; any calculations can be done with a pen(cil) and paper. Conflict and extended-time exams will be handled through SDS. Exams will be scanned into Gradescope for grading and feedback.</w:t>
      </w:r>
    </w:p>
    <w:p>
      <w:pPr>
        <w:pStyle w:val="BodyText"/>
      </w:pPr>
      <w:r>
        <w:t xml:space="preserve">Solutions will not be posted for the midterms, but Prof. Srikrishnan will review and discuss midterm problems in class. The review will occur approximately two weeks after the exam to provide time for conflict exams and grading.</w:t>
      </w:r>
    </w:p>
    <w:bookmarkEnd w:id="83"/>
    <w:bookmarkStart w:id="84" w:name="final-term-project"/>
    <w:p>
      <w:pPr>
        <w:pStyle w:val="Heading3"/>
      </w:pPr>
      <w:r>
        <w:t xml:space="preserve">Final Term Project</w:t>
      </w:r>
    </w:p>
    <w:p>
      <w:pPr>
        <w:pStyle w:val="FirstParagraph"/>
      </w:pPr>
      <w:r>
        <w:t xml:space="preserve">This course will culminate with a term project. The goal of this project is to apply and extend the tools and approaches we will learn in class to an application of your choosing. While we encourage drawing on other classes or interests when developing and working on your project,</w:t>
      </w:r>
      <w:r>
        <w:t xml:space="preserve"> </w:t>
      </w:r>
      <w:r>
        <w:rPr>
          <w:b/>
          <w:bCs/>
        </w:rPr>
        <w:t xml:space="preserve">submitting work from another course or work which was completed prior to the course is not permitted</w:t>
      </w:r>
      <w:r>
        <w:t xml:space="preserve">.</w:t>
      </w:r>
    </w:p>
    <w:p>
      <w:pPr>
        <w:pStyle w:val="BodyText"/>
      </w:pPr>
      <w:r>
        <w:t xml:space="preserve">The term project will be completed in groups (3-4 students). Graduate students enrolled in BEE 5750 may work on individual projects, but are not required to do so. The final deliverable for this project will be a report summarizing the project and results, including a section detailing research you have conducted on relevant regulations and how they were incorporated into your project. Ahead of that, you will submit the following a proposal for feedback on the scope of your project as well as a description of task coordination.</w:t>
      </w:r>
    </w:p>
    <w:p>
      <w:pPr>
        <w:pStyle w:val="BodyText"/>
      </w:pPr>
      <w:r>
        <w:t xml:space="preserve">The project will be assessed on the basis of both group and individual components:</w:t>
      </w:r>
    </w:p>
    <w:p>
      <w:pPr>
        <w:pStyle w:val="Compact"/>
        <w:numPr>
          <w:ilvl w:val="0"/>
          <w:numId w:val="1018"/>
        </w:numPr>
      </w:pPr>
      <w:r>
        <w:rPr>
          <w:b/>
          <w:bCs/>
          <w:i/>
          <w:iCs/>
        </w:rPr>
        <w:t xml:space="preserve">Group</w:t>
      </w:r>
      <w:r>
        <w:t xml:space="preserve"> </w:t>
      </w:r>
      <w:r>
        <w:t xml:space="preserve">(80 points):</w:t>
      </w:r>
    </w:p>
    <w:p>
      <w:pPr>
        <w:pStyle w:val="Compact"/>
        <w:numPr>
          <w:ilvl w:val="1"/>
          <w:numId w:val="1019"/>
        </w:numPr>
      </w:pPr>
      <w:r>
        <w:t xml:space="preserve">(10 points)</w:t>
      </w:r>
      <w:r>
        <w:t xml:space="preserve"> </w:t>
      </w:r>
      <w:r>
        <w:rPr>
          <w:b/>
          <w:bCs/>
        </w:rPr>
        <w:t xml:space="preserve">Proposal</w:t>
      </w:r>
      <w:r>
        <w:t xml:space="preserve">: Groups will develop a proposal for their final project, which will include two main components. The first is a research plan, which should (succinctly) describe the background for the problem and articulate the key question (system overview, model specification) as well as providing a brief overview of proposed methods (data sources, planned analytic approach). The second is a work plan, which will include task assignments across group members, deadlines for interim tasks, and a plan for coordination (meeting frequency, materials sharing, etc).</w:t>
      </w:r>
    </w:p>
    <w:p>
      <w:pPr>
        <w:pStyle w:val="Compact"/>
        <w:numPr>
          <w:ilvl w:val="1"/>
          <w:numId w:val="1019"/>
        </w:numPr>
      </w:pPr>
      <w:r>
        <w:t xml:space="preserve">(20 points)</w:t>
      </w:r>
      <w:r>
        <w:t xml:space="preserve"> </w:t>
      </w:r>
      <w:r>
        <w:rPr>
          <w:b/>
          <w:bCs/>
        </w:rPr>
        <w:t xml:space="preserve">Presentation</w:t>
      </w:r>
      <w:r>
        <w:t xml:space="preserve">: Groups will present their projects to the class at the end of the semester. Due to time restrictions, these may be recorded and uploaded to Canvas if there are too many projects for the time available. Presentations should be no more than 10 minutes long and should be aimed at a general audience.</w:t>
      </w:r>
    </w:p>
    <w:p>
      <w:pPr>
        <w:pStyle w:val="Compact"/>
        <w:numPr>
          <w:ilvl w:val="1"/>
          <w:numId w:val="1019"/>
        </w:numPr>
      </w:pPr>
      <w:r>
        <w:t xml:space="preserve">(10 points)</w:t>
      </w:r>
      <w:r>
        <w:t xml:space="preserve"> </w:t>
      </w:r>
      <w:r>
        <w:rPr>
          <w:b/>
          <w:bCs/>
        </w:rPr>
        <w:t xml:space="preserve">Peer Review</w:t>
      </w:r>
      <w:r>
        <w:t xml:space="preserve">: Each group will be asked to provide a peer review on two of their classmates’ presentations. The format for the review will be made available on the class website.</w:t>
      </w:r>
    </w:p>
    <w:p>
      <w:pPr>
        <w:pStyle w:val="Compact"/>
        <w:numPr>
          <w:ilvl w:val="1"/>
          <w:numId w:val="1019"/>
        </w:numPr>
      </w:pPr>
      <w:r>
        <w:t xml:space="preserve">(40 points)</w:t>
      </w:r>
      <w:r>
        <w:t xml:space="preserve"> </w:t>
      </w:r>
      <w:r>
        <w:rPr>
          <w:b/>
          <w:bCs/>
        </w:rPr>
        <w:t xml:space="preserve">Final Report</w:t>
      </w:r>
      <w:r>
        <w:t xml:space="preserve">: Each group will submit a 3-5 page final report aimed at an engineering audience. Instructions will be provided with detailed expectations.</w:t>
      </w:r>
    </w:p>
    <w:p>
      <w:pPr>
        <w:pStyle w:val="Compact"/>
        <w:numPr>
          <w:ilvl w:val="0"/>
          <w:numId w:val="1018"/>
        </w:numPr>
      </w:pPr>
      <w:r>
        <w:rPr>
          <w:b/>
          <w:bCs/>
        </w:rPr>
        <w:t xml:space="preserve">Individual</w:t>
      </w:r>
      <w:r>
        <w:t xml:space="preserve"> </w:t>
      </w:r>
      <w:r>
        <w:t xml:space="preserve">(20 points):</w:t>
      </w:r>
    </w:p>
    <w:p>
      <w:pPr>
        <w:pStyle w:val="Compact"/>
        <w:numPr>
          <w:ilvl w:val="1"/>
          <w:numId w:val="1020"/>
        </w:numPr>
      </w:pPr>
      <w:r>
        <w:t xml:space="preserve">(5 points)</w:t>
      </w:r>
      <w:r>
        <w:t xml:space="preserve"> </w:t>
      </w:r>
      <w:r>
        <w:rPr>
          <w:b/>
          <w:bCs/>
        </w:rPr>
        <w:t xml:space="preserve">Self-Assessment</w:t>
      </w:r>
      <w:r>
        <w:t xml:space="preserve">: Each individual in a group will submit a short self-assessment of their project, including a description of the work they contributed to the project (&lt; 1/2 page) and reflections on what worked well or less well (&lt; 1/2 page).</w:t>
      </w:r>
    </w:p>
    <w:p>
      <w:pPr>
        <w:pStyle w:val="Compact"/>
        <w:numPr>
          <w:ilvl w:val="1"/>
          <w:numId w:val="1020"/>
        </w:numPr>
      </w:pPr>
      <w:r>
        <w:t xml:space="preserve">(15 points)</w:t>
      </w:r>
      <w:r>
        <w:t xml:space="preserve"> </w:t>
      </w:r>
      <w:r>
        <w:rPr>
          <w:b/>
          <w:bCs/>
        </w:rPr>
        <w:t xml:space="preserve">Peer Evaluation</w:t>
      </w:r>
      <w:r>
        <w:t xml:space="preserve">: Each individual in a group will submit an evaluation of their teammates’ contributions to the final project and the group dynamic, including assessments of participation, work quality, and inclusivity. Points will be awarded based on the evaluations from your group; different scales will be applied for undergraduate (4750) and graduate (5750) students.</w:t>
      </w:r>
      <w:r>
        <w:t xml:space="preserve"> </w:t>
      </w:r>
      <w:r>
        <w:rPr>
          <w:i/>
          <w:iCs/>
        </w:rPr>
        <w:t xml:space="preserve">No points will be given for any student who fails to submit evaluations for their groupmates</w:t>
      </w:r>
      <w:r>
        <w:t xml:space="preserve">.</w:t>
      </w:r>
    </w:p>
    <w:bookmarkEnd w:id="84"/>
    <w:bookmarkEnd w:id="85"/>
    <w:bookmarkStart w:id="91" w:name="grading"/>
    <w:p>
      <w:pPr>
        <w:pStyle w:val="Heading2"/>
      </w:pPr>
      <w:r>
        <w:t xml:space="preserve">Grading</w:t>
      </w:r>
    </w:p>
    <w:bookmarkStart w:id="88" w:name="grading-scale"/>
    <w:p>
      <w:pPr>
        <w:pStyle w:val="Heading3"/>
      </w:pPr>
      <w:r>
        <w:t xml:space="preserve">Grading Scale</w:t>
      </w:r>
    </w:p>
    <w:p>
      <w:pPr>
        <w:pStyle w:val="FirstParagraph"/>
      </w:pPr>
      <w:r>
        <w:t xml:space="preserve">The following grading scale will be used to convert the numerical weighted average from the assessments (above)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93–100</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p>
      <w:pPr>
        <w:pStyle w:val="BodyText"/>
      </w:pPr>
      <w:r>
        <w:t xml:space="preserve">We reserve the right to lower these cutoffs as appropriate, but will not raise them from these levels.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note.png" id="8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You Round Up or Curve My Grade?</w:t>
            </w:r>
          </w:p>
        </w:tc>
      </w:tr>
      <w:tr>
        <w:trPr>
          <w:cantSplit/>
        </w:trPr>
        <w:tc>
          <w:tcPr>
            <w:tcMar>
              <w:top w:w="108" w:type="dxa"/>
              <w:bottom w:w="108" w:type="dxa"/>
            </w:tcMar>
          </w:tcPr>
          <w:p>
            <w:pPr>
              <w:pStyle w:val="BodyText"/>
            </w:pPr>
            <w:pPr>
              <w:spacing w:before="16"/>
            </w:pPr>
            <w:r>
              <w:t xml:space="preserve">Grades</w:t>
            </w:r>
            <w:r>
              <w:t xml:space="preserve"> </w:t>
            </w:r>
            <w:r>
              <w:rPr>
                <w:b/>
                <w:bCs/>
              </w:rPr>
              <w:t xml:space="preserve">may</w:t>
            </w:r>
            <w:r>
              <w:t xml:space="preserve"> </w:t>
            </w:r>
            <w:r>
              <w:t xml:space="preserve">be rounded up if they are just below the cutoff, but this is not a given, and requests for grade round-ups will be ignored. For example, you should assume that a score of 92.9% has missed the A cutoff of 93% (it is, after all, below the cutoff). Consider it a pleasant surprise if the round-up is given.</w:t>
            </w:r>
          </w:p>
          <w:p>
            <w:pPr>
              <w:pStyle w:val="BodyText"/>
            </w:pPr>
            <w:pPr>
              <w:spacing w:after="16"/>
            </w:pPr>
            <w:r>
              <w:t xml:space="preserve">While final grades will</w:t>
            </w:r>
            <w:r>
              <w:t xml:space="preserve"> </w:t>
            </w:r>
            <w:r>
              <w:rPr>
                <w:b/>
                <w:bCs/>
              </w:rPr>
              <w:t xml:space="preserve">not</w:t>
            </w:r>
            <w:r>
              <w:t xml:space="preserve"> </w:t>
            </w:r>
            <w:r>
              <w:t xml:space="preserve">be curved, individual assessments (mainly exams) may be curved if they prove to be more difficult than intended, but this will not be with a view towards achieving a particular grade distribution.</w:t>
            </w:r>
          </w:p>
        </w:tc>
      </w:tr>
    </w:tbl>
    <w:bookmarkEnd w:id="88"/>
    <w:bookmarkStart w:id="89" w:name="forgiven-assignments"/>
    <w:p>
      <w:pPr>
        <w:pStyle w:val="Heading3"/>
      </w:pPr>
      <w:r>
        <w:t xml:space="preserve">Forgiven Assignments</w:t>
      </w:r>
    </w:p>
    <w:p>
      <w:pPr>
        <w:pStyle w:val="FirstParagraph"/>
      </w:pPr>
      <w:r>
        <w:t xml:space="preserve">Forgiven assignments (due to extenuating circumstances,</w:t>
      </w:r>
      <w:r>
        <w:t xml:space="preserve"> </w:t>
      </w:r>
      <w:r>
        <w:rPr>
          <w:b/>
          <w:bCs/>
          <w:i/>
          <w:iCs/>
        </w:rPr>
        <w:t xml:space="preserve">discussed with and approved by Prof. Srikrishnan</w:t>
      </w:r>
      <w:r>
        <w:t xml:space="preserve">) will be treated as though they do not exist, and the appropriate grading component will be computed without them. This does mean that</w:t>
      </w:r>
      <w:r>
        <w:t xml:space="preserve"> </w:t>
      </w:r>
      <w:r>
        <w:rPr>
          <w:i/>
          <w:iCs/>
        </w:rPr>
        <w:t xml:space="preserve">e.g.</w:t>
      </w:r>
      <w:r>
        <w:t xml:space="preserve"> </w:t>
      </w:r>
      <w:r>
        <w:t xml:space="preserve">submitted homeworks will carry more weight in the overall grade computation. In exceptional cases, we will compute course grades based entirely on exams.</w:t>
      </w:r>
    </w:p>
    <w:bookmarkEnd w:id="89"/>
    <w:bookmarkStart w:id="90" w:name="exceptions"/>
    <w:p>
      <w:pPr>
        <w:pStyle w:val="Heading3"/>
      </w:pPr>
      <w:r>
        <w:t xml:space="preserve">Exceptions</w:t>
      </w:r>
    </w:p>
    <w:p>
      <w:pPr>
        <w:pStyle w:val="FirstParagraph"/>
      </w:pPr>
      <w:r>
        <w:t xml:space="preserve">We reserve the right to give any student meeting at least one of the following conditions an automatic F:</w:t>
      </w:r>
    </w:p>
    <w:p>
      <w:pPr>
        <w:pStyle w:val="Compact"/>
        <w:numPr>
          <w:ilvl w:val="0"/>
          <w:numId w:val="1021"/>
        </w:numPr>
      </w:pPr>
      <w:r>
        <w:t xml:space="preserve">Overall exam average below 25%;</w:t>
      </w:r>
    </w:p>
    <w:p>
      <w:pPr>
        <w:pStyle w:val="Compact"/>
        <w:numPr>
          <w:ilvl w:val="0"/>
          <w:numId w:val="1021"/>
        </w:numPr>
      </w:pPr>
      <w:r>
        <w:t xml:space="preserve">Submitted less than half of the assigned homework problems;</w:t>
      </w:r>
    </w:p>
    <w:p>
      <w:pPr>
        <w:pStyle w:val="Compact"/>
        <w:numPr>
          <w:ilvl w:val="0"/>
          <w:numId w:val="1021"/>
        </w:numPr>
      </w:pPr>
      <w:r>
        <w:t xml:space="preserve">Extremely low levels of participation and effort.</w:t>
      </w:r>
    </w:p>
    <w:p>
      <w:pPr>
        <w:pStyle w:val="FirstParagraph"/>
      </w:pPr>
      <w:r>
        <w:t xml:space="preserve">This should not generally be a concern; students putting in a good faith effort by attending class, participating in online discussions, doing most of the work, and taking the exams will not be at risk of this policy.</w:t>
      </w:r>
    </w:p>
    <w:bookmarkEnd w:id="90"/>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75" Target="media/rId75.png" /><Relationship Type="http://schemas.openxmlformats.org/officeDocument/2006/relationships/image" Id="rId30" Target="media/rId30.png" /><Relationship Type="http://schemas.openxmlformats.org/officeDocument/2006/relationships/image" Id="rId65" Target="media/rId65.png" /><Relationship Type="http://schemas.openxmlformats.org/officeDocument/2006/relationships/hyperlink" Id="rId57" Target="http://theuniversityfaculty.cornell.edu/academic-integrity/" TargetMode="External" /><Relationship Type="http://schemas.openxmlformats.org/officeDocument/2006/relationships/hyperlink" Id="rId42" Target="https://edstem.org" TargetMode="External" /><Relationship Type="http://schemas.openxmlformats.org/officeDocument/2006/relationships/hyperlink" Id="rId46" Target="https://mentalhealth.cornell.edu/" TargetMode="External" /><Relationship Type="http://schemas.openxmlformats.org/officeDocument/2006/relationships/hyperlink" Id="rId40" Target="https://sds.cornell.edu/" TargetMode="External" /><Relationship Type="http://schemas.openxmlformats.org/officeDocument/2006/relationships/hyperlink" Id="rId21" Target="https://viveks.me" TargetMode="External" /><Relationship Type="http://schemas.openxmlformats.org/officeDocument/2006/relationships/hyperlink" Id="rId58" Target="https://www.asce.org/-/media/asce-images-and-files/career-and-growth/ethics/documents/asce-code-ethics.pdf" TargetMode="External" /><Relationship Type="http://schemas.openxmlformats.org/officeDocument/2006/relationships/hyperlink" Id="rId24" Target="mailto:sld238@cornell.edu" TargetMode="External" /><Relationship Type="http://schemas.openxmlformats.org/officeDocument/2006/relationships/hyperlink" Id="rId22" Target="mailto:viveks@cornell.edu" TargetMode="External" /></Relationships>
</file>

<file path=word/_rels/footnotes.xml.rels><?xml version="1.0" encoding="UTF-8"?><Relationships xmlns="http://schemas.openxmlformats.org/package/2006/relationships"><Relationship Type="http://schemas.openxmlformats.org/officeDocument/2006/relationships/hyperlink" Id="rId57" Target="http://theuniversityfaculty.cornell.edu/academic-integrity/" TargetMode="External" /><Relationship Type="http://schemas.openxmlformats.org/officeDocument/2006/relationships/hyperlink" Id="rId42" Target="https://edstem.org" TargetMode="External" /><Relationship Type="http://schemas.openxmlformats.org/officeDocument/2006/relationships/hyperlink" Id="rId46" Target="https://mentalhealth.cornell.edu/" TargetMode="External" /><Relationship Type="http://schemas.openxmlformats.org/officeDocument/2006/relationships/hyperlink" Id="rId40" Target="https://sds.cornell.edu/" TargetMode="External" /><Relationship Type="http://schemas.openxmlformats.org/officeDocument/2006/relationships/hyperlink" Id="rId21" Target="https://viveks.me" TargetMode="External" /><Relationship Type="http://schemas.openxmlformats.org/officeDocument/2006/relationships/hyperlink" Id="rId58" Target="https://www.asce.org/-/media/asce-images-and-files/career-and-growth/ethics/documents/asce-code-ethics.pdf" TargetMode="External" /><Relationship Type="http://schemas.openxmlformats.org/officeDocument/2006/relationships/hyperlink" Id="rId24" Target="mailto:sld238@cornell.edu" TargetMode="External" /><Relationship Type="http://schemas.openxmlformats.org/officeDocument/2006/relationships/hyperlink" Id="rId22" Target="mailto:viveks@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2025-09-15T13:19:14Z</dcterms:created>
  <dcterms:modified xsi:type="dcterms:W3CDTF">2025-09-15T13:19:14Z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toc-title">
    <vt:lpwstr>Table of contents</vt:lpwstr>
  </property>
</Properties>
</file>