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75.png" ContentType="image/png"/>
  <Override PartName="/word/media/rId30.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20"/>
    <w:bookmarkStart w:id="28" w:name="course-information"/>
    <w:p>
      <w:pPr>
        <w:pStyle w:val="Heading2"/>
      </w:pPr>
      <w:r>
        <w:t xml:space="preserve">Course Information</w:t>
      </w:r>
    </w:p>
    <w:bookmarkStart w:id="23" w:name="instructor"/>
    <w:p>
      <w:pPr>
        <w:pStyle w:val="Heading3"/>
      </w:pPr>
      <w:r>
        <w:t xml:space="preserve">Instructor</w:t>
      </w:r>
    </w:p>
    <w:p>
      <w:pPr>
        <w:pStyle w:val="Compact"/>
        <w:numPr>
          <w:ilvl w:val="0"/>
          <w:numId w:val="1001"/>
        </w:numPr>
      </w:pPr>
      <w:r>
        <w:t xml:space="preserve"> </w:t>
      </w:r>
      <w:hyperlink r:id="rId21">
        <w:r>
          <w:rPr>
            <w:rStyle w:val="Hyperlink"/>
          </w:rPr>
          <w:t xml:space="preserve">Vivek Srikrishnan</w:t>
        </w:r>
      </w:hyperlink>
    </w:p>
    <w:p>
      <w:pPr>
        <w:pStyle w:val="Compact"/>
        <w:numPr>
          <w:ilvl w:val="0"/>
          <w:numId w:val="1001"/>
        </w:numPr>
      </w:pPr>
      <w:r>
        <w:t xml:space="preserve"> </w:t>
      </w:r>
      <w:hyperlink r:id="rId22">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M 1-2, T 4-5</w:t>
      </w:r>
    </w:p>
    <w:bookmarkEnd w:id="23"/>
    <w:bookmarkStart w:id="25" w:name="ta"/>
    <w:p>
      <w:pPr>
        <w:pStyle w:val="Heading3"/>
      </w:pPr>
      <w:r>
        <w:t xml:space="preserve">TA</w:t>
      </w:r>
    </w:p>
    <w:p>
      <w:pPr>
        <w:pStyle w:val="Compact"/>
        <w:numPr>
          <w:ilvl w:val="0"/>
          <w:numId w:val="1002"/>
        </w:numPr>
      </w:pPr>
      <w:r>
        <w:t xml:space="preserve"> </w:t>
      </w:r>
      <w:r>
        <w:t xml:space="preserve">Samantha Davies</w:t>
      </w:r>
    </w:p>
    <w:p>
      <w:pPr>
        <w:pStyle w:val="Compact"/>
        <w:numPr>
          <w:ilvl w:val="0"/>
          <w:numId w:val="1002"/>
        </w:numPr>
      </w:pPr>
      <w:r>
        <w:t xml:space="preserve"> </w:t>
      </w:r>
      <w:hyperlink r:id="rId24">
        <w:r>
          <w:rPr>
            <w:rStyle w:val="Hyperlink"/>
          </w:rPr>
          <w:t xml:space="preserve">sld238@cornell.edu</w:t>
        </w:r>
      </w:hyperlink>
    </w:p>
    <w:p>
      <w:pPr>
        <w:pStyle w:val="Compact"/>
        <w:numPr>
          <w:ilvl w:val="0"/>
          <w:numId w:val="1002"/>
        </w:numPr>
      </w:pPr>
      <w:r>
        <w:t xml:space="preserve"> </w:t>
      </w:r>
      <w:r>
        <w:t xml:space="preserve">217 Riley-Robb Hall</w:t>
      </w:r>
    </w:p>
    <w:p>
      <w:pPr>
        <w:pStyle w:val="Compact"/>
        <w:numPr>
          <w:ilvl w:val="0"/>
          <w:numId w:val="1002"/>
        </w:numPr>
      </w:pPr>
      <w:r>
        <w:t xml:space="preserve">MW 4:15-5:15</w:t>
      </w:r>
    </w:p>
    <w:bookmarkEnd w:id="25"/>
    <w:bookmarkStart w:id="26"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26"/>
    <w:bookmarkStart w:id="27"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27"/>
    <w:bookmarkEnd w:id="28"/>
    <w:bookmarkStart w:id="29"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29"/>
    <w:bookmarkStart w:id="33"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tc>
      </w:tr>
    </w:tbl>
    <w:bookmarkEnd w:id="33"/>
    <w:bookmarkStart w:id="34"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35"/>
    <w:bookmarkStart w:id="50" w:name="community"/>
    <w:p>
      <w:pPr>
        <w:pStyle w:val="Heading2"/>
      </w:pPr>
      <w:r>
        <w:t xml:space="preserve">Community</w:t>
      </w:r>
    </w:p>
    <w:bookmarkStart w:id="39"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39"/>
    <w:bookmarkStart w:id="41"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0">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1"/>
    <w:bookmarkStart w:id="45" w:name="course-communications"/>
    <w:p>
      <w:pPr>
        <w:pStyle w:val="Heading3"/>
      </w:pPr>
      <w:r>
        <w:t xml:space="preserve">Course Communications</w:t>
      </w:r>
    </w:p>
    <w:p>
      <w:pPr>
        <w:pStyle w:val="FirstParagraph"/>
      </w:pPr>
      <w:r>
        <w:t xml:space="preserve">Most course communications will occur via</w:t>
      </w:r>
      <w:r>
        <w:t xml:space="preserve"> </w:t>
      </w:r>
      <w:hyperlink r:id="rId42">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tc>
      </w:tr>
    </w:tbl>
    <w:bookmarkEnd w:id="45"/>
    <w:bookmarkStart w:id="49"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46">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49"/>
    <w:bookmarkEnd w:id="50"/>
    <w:bookmarkStart w:id="74"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3"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important.png" id="52"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53"/>
    <w:bookmarkStart w:id="54"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4"/>
    <w:bookmarkStart w:id="59"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57">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58">
        <w:r>
          <w:rPr>
            <w:rStyle w:val="Hyperlink"/>
          </w:rPr>
          <w:t xml:space="preserve">American Society for Civil Engineers’ Code of Ethics</w:t>
        </w:r>
      </w:hyperlink>
      <w:r>
        <w:t xml:space="preserve">).</w:t>
      </w:r>
    </w:p>
    <w:bookmarkEnd w:id="59"/>
    <w:bookmarkStart w:id="60"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0"/>
    <w:bookmarkStart w:id="61"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61"/>
    <w:bookmarkStart w:id="62"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62"/>
    <w:bookmarkStart w:id="70"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tip.png" id="6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0"/>
    <w:bookmarkStart w:id="73"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tip.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tc>
      </w:tr>
    </w:tbl>
    <w:bookmarkEnd w:id="73"/>
    <w:bookmarkEnd w:id="74"/>
    <w:bookmarkStart w:id="85"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Participation (4750)</w:t>
            </w:r>
          </w:p>
        </w:tc>
        <w:tc>
          <w:tcPr/>
          <w:p>
            <w:pPr>
              <w:pStyle w:val="Compact"/>
              <w:jc w:val="center"/>
            </w:pPr>
            <w:r>
              <w:t xml:space="preserve">10%</w:t>
            </w:r>
          </w:p>
        </w:tc>
      </w:tr>
      <w:tr>
        <w:tc>
          <w:tcPr/>
          <w:p>
            <w:pPr>
              <w:pStyle w:val="Compact"/>
              <w:jc w:val="left"/>
            </w:pPr>
            <w:r>
              <w:t xml:space="preserve">Reading Assignments (5750)</w:t>
            </w:r>
          </w:p>
        </w:tc>
        <w:tc>
          <w:tcPr/>
          <w:p>
            <w:pPr>
              <w:pStyle w:val="Compact"/>
              <w:jc w:val="center"/>
            </w:pPr>
            <w:r>
              <w:t xml:space="preserve">10%</w:t>
            </w:r>
          </w:p>
        </w:tc>
      </w:tr>
      <w:tr>
        <w:tc>
          <w:tcPr/>
          <w:p>
            <w:pPr>
              <w:pStyle w:val="Compact"/>
              <w:jc w:val="left"/>
            </w:pPr>
            <w:r>
              <w:t xml:space="preserve">Exercises</w:t>
            </w:r>
          </w:p>
        </w:tc>
        <w:tc>
          <w:tcPr/>
          <w:p>
            <w:pPr>
              <w:pStyle w:val="Compact"/>
              <w:jc w:val="center"/>
            </w:pPr>
            <w:r>
              <w:t xml:space="preserve">10%</w:t>
            </w:r>
          </w:p>
        </w:tc>
      </w:tr>
      <w:tr>
        <w:tc>
          <w:tcPr/>
          <w:p>
            <w:pPr>
              <w:pStyle w:val="Compact"/>
              <w:jc w:val="left"/>
            </w:pPr>
            <w:r>
              <w:t xml:space="preserve">Labs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Prelims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tc>
      </w:tr>
    </w:tbl>
    <w:bookmarkStart w:id="78"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5"/>
        </w:numPr>
      </w:pPr>
      <w:r>
        <w:t xml:space="preserve">Asking questions in class or on Ed;</w:t>
      </w:r>
    </w:p>
    <w:p>
      <w:pPr>
        <w:pStyle w:val="Compact"/>
        <w:numPr>
          <w:ilvl w:val="0"/>
          <w:numId w:val="1015"/>
        </w:numPr>
      </w:pPr>
      <w:r>
        <w:t xml:space="preserve">Answering questions in class or on Ed;</w:t>
      </w:r>
    </w:p>
    <w:p>
      <w:pPr>
        <w:pStyle w:val="Compact"/>
        <w:numPr>
          <w:ilvl w:val="0"/>
          <w:numId w:val="1015"/>
        </w:numPr>
      </w:pPr>
      <w:r>
        <w:t xml:space="preserve">Actively engaging in in-class activities;</w:t>
      </w:r>
    </w:p>
    <w:p>
      <w:pPr>
        <w:pStyle w:val="Compact"/>
        <w:numPr>
          <w:ilvl w:val="0"/>
          <w:numId w:val="1015"/>
        </w:numPr>
      </w:pPr>
      <w:r>
        <w:t xml:space="preserve">Coming to office hours.</w:t>
      </w:r>
    </w:p>
    <w:p>
      <w:pPr>
        <w:pStyle w:val="FirstParagraph"/>
      </w:pPr>
      <w:r>
        <w:t xml:space="preserve">Note that just passively attending class will not yield full participation points. Participation points are not free: you are likely to lose points if you consistently skip class or do not ask or answer questions online or in person. At the end of the term, you will be asked to evaluate your own participation over the course of the semester, in addition to my documentation of your participation.</w:t>
      </w:r>
    </w:p>
    <w:bookmarkEnd w:id="78"/>
    <w:bookmarkStart w:id="79" w:name="reading-assignments"/>
    <w:p>
      <w:pPr>
        <w:pStyle w:val="Heading3"/>
      </w:pPr>
      <w:r>
        <w:t xml:space="preserve">Reading Assignments</w:t>
      </w:r>
    </w:p>
    <w:p>
      <w:pPr>
        <w:pStyle w:val="FirstParagraph"/>
      </w:pPr>
      <w:r>
        <w:t xml:space="preserve">We will provide topical readings throughout the semester; these will typically be drawn from textbooks or journal articles. These readings are optional (but may be interesting) for students enrolled in BEE 4750. Students enrolled in BEE 5750 will be required to submit 1-2 page discussions of these readings, including:</w:t>
      </w:r>
    </w:p>
    <w:p>
      <w:pPr>
        <w:pStyle w:val="Compact"/>
        <w:numPr>
          <w:ilvl w:val="0"/>
          <w:numId w:val="1016"/>
        </w:numPr>
      </w:pPr>
      <w:r>
        <w:t xml:space="preserve">Summaries of the key questions, hypotheses, methods, and insights of the paper;</w:t>
      </w:r>
    </w:p>
    <w:p>
      <w:pPr>
        <w:pStyle w:val="Compact"/>
        <w:numPr>
          <w:ilvl w:val="0"/>
          <w:numId w:val="1016"/>
        </w:numPr>
      </w:pPr>
      <w:r>
        <w:t xml:space="preserve">Discussion of the connection(s) between the reading and our in-class content (lectures, discussions, etc.); these can be substantive or methodological.</w:t>
      </w:r>
    </w:p>
    <w:p>
      <w:pPr>
        <w:pStyle w:val="FirstParagraph"/>
      </w:pPr>
      <w:r>
        <w:t xml:space="preserve">Discussions are due before class the Monday after the week they’re assigned. Each discussion will be graded on a scale of 0-3. Your discussion should make specific references to the paper and your personal takeaways and insights from the reading. Submissions which lack these specifics will not receive much credit.</w:t>
      </w:r>
    </w:p>
    <w:p>
      <w:pPr>
        <w:pStyle w:val="BodyText"/>
      </w:pPr>
      <w:r>
        <w:t xml:space="preserve">While discussions are not required for students enrolled in 4750, doing the readings and posting your thoughts on Ed Discussion is a good way to improve your participation grade.</w:t>
      </w:r>
    </w:p>
    <w:bookmarkEnd w:id="79"/>
    <w:bookmarkStart w:id="80" w:name="exercises"/>
    <w:p>
      <w:pPr>
        <w:pStyle w:val="Heading3"/>
      </w:pPr>
      <w:r>
        <w:t xml:space="preserve">Exercises</w:t>
      </w:r>
    </w:p>
    <w:p>
      <w:pPr>
        <w:pStyle w:val="FirstParagraph"/>
      </w:pPr>
      <w:r>
        <w:t xml:space="preserve">Most weeks will involve a short problem set aimed at assessing key concepts. We will use Gradescope for these exercises. These will be released Monday at the end of class and are due before class (2:55PM) the following Monday. The exercises will be multiple choice or similar (categorization, multiple answer, etc), automatically graded, and you can submit them as often as you like. It is highly recommended that you do these promptly and take them seriously, as concepts and simple code practice will be useful for the homeworks and midterm exams. We will automatically drop one exercise set, but no late exercises will be accepted.</w:t>
      </w:r>
    </w:p>
    <w:bookmarkEnd w:id="80"/>
    <w:bookmarkStart w:id="81"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0-3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81"/>
    <w:bookmarkStart w:id="82" w:name="homework-assignments"/>
    <w:p>
      <w:pPr>
        <w:pStyle w:val="Heading3"/>
      </w:pPr>
      <w:r>
        <w:t xml:space="preserve">Homework Assignments</w:t>
      </w:r>
    </w:p>
    <w:p>
      <w:pPr>
        <w:pStyle w:val="FirstParagraph"/>
      </w:pPr>
      <w:r>
        <w:t xml:space="preserve">Approximately 5-6 homework assignments will be assigned throughout the semester, one per course module (plus an initial homework to build or refresh programming and debugging skills). The homework assignments are more in-depth problem sets involving the modeling (derivation and implementation) and analysis of one or more environmental systems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7"/>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7"/>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7"/>
        </w:numPr>
      </w:pPr>
      <w:r>
        <w:t xml:space="preserve">A meta-rubric is provided on the website, under the Homework page. These are not customized for each assignment but the principles will apply generally.</w:t>
      </w:r>
    </w:p>
    <w:p>
      <w:pPr>
        <w:pStyle w:val="Compact"/>
        <w:numPr>
          <w:ilvl w:val="0"/>
          <w:numId w:val="1017"/>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7"/>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82"/>
    <w:bookmarkStart w:id="83" w:name="prelims"/>
    <w:p>
      <w:pPr>
        <w:pStyle w:val="Heading3"/>
      </w:pPr>
      <w:r>
        <w:t xml:space="preserve">Prelims</w:t>
      </w:r>
    </w:p>
    <w:p>
      <w:pPr>
        <w:pStyle w:val="FirstParagraph"/>
      </w:pPr>
      <w:r>
        <w:t xml:space="preserve">Two in-class prelims will be given as an opportunity to review relevant material. The dates for the exams are</w:t>
      </w:r>
      <w:r>
        <w:t xml:space="preserve"> </w:t>
      </w:r>
      <w:r>
        <w:rPr>
          <w:b/>
          <w:bCs/>
        </w:rPr>
        <w:t xml:space="preserve">October 08</w:t>
      </w:r>
      <w:r>
        <w:t xml:space="preserve"> </w:t>
      </w:r>
      <w:r>
        <w:t xml:space="preserve">and</w:t>
      </w:r>
      <w:r>
        <w:t xml:space="preserve"> </w:t>
      </w:r>
      <w:r>
        <w:rPr>
          <w:b/>
          <w:bCs/>
        </w:rPr>
        <w:t xml:space="preserve">November 12</w:t>
      </w:r>
      <w:r>
        <w:t xml:space="preserve">. The exams are closed-book and closed-note. As a result, the exams will emphasize conceptual material such as model derivations and interpretation of results; any calculations can be done with a pen(cil) and paper. Conflict and extended-time exams will be handled through SDS. Exams will be scanned into Gradescope for grading and feedback.</w:t>
      </w:r>
    </w:p>
    <w:p>
      <w:pPr>
        <w:pStyle w:val="BodyText"/>
      </w:pPr>
      <w:r>
        <w:t xml:space="preserve">Solutions will not be posted for the midterms, but Prof. Srikrishnan will review and discuss midterm problems in class. The review will occur approximately two weeks after the exam to provide time for conflict exams and grading.</w:t>
      </w:r>
    </w:p>
    <w:bookmarkEnd w:id="83"/>
    <w:bookmarkStart w:id="84" w:name="final-term-project"/>
    <w:p>
      <w:pPr>
        <w:pStyle w:val="Heading3"/>
      </w:pPr>
      <w:r>
        <w:t xml:space="preserve">Final 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8"/>
        </w:numPr>
      </w:pPr>
      <w:r>
        <w:rPr>
          <w:b/>
          <w:bCs/>
          <w:i/>
          <w:iCs/>
        </w:rPr>
        <w:t xml:space="preserve">Group</w:t>
      </w:r>
      <w:r>
        <w:t xml:space="preserve"> </w:t>
      </w:r>
      <w:r>
        <w:t xml:space="preserve">(80 points):</w:t>
      </w:r>
    </w:p>
    <w:p>
      <w:pPr>
        <w:pStyle w:val="Compact"/>
        <w:numPr>
          <w:ilvl w:val="1"/>
          <w:numId w:val="1019"/>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w:t>
      </w:r>
    </w:p>
    <w:p>
      <w:pPr>
        <w:pStyle w:val="Compact"/>
        <w:numPr>
          <w:ilvl w:val="1"/>
          <w:numId w:val="1019"/>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9"/>
        </w:numPr>
      </w:pPr>
      <w:r>
        <w:t xml:space="preserve">(10 points)</w:t>
      </w:r>
      <w:r>
        <w:t xml:space="preserve"> </w:t>
      </w:r>
      <w:r>
        <w:rPr>
          <w:b/>
          <w:bCs/>
        </w:rPr>
        <w:t xml:space="preserve">Peer Review</w:t>
      </w:r>
      <w:r>
        <w:t xml:space="preserve">: Each group will be asked to provide a peer review on two of their classmates’ presentations. The format for the review will be made available on the class website.</w:t>
      </w:r>
    </w:p>
    <w:p>
      <w:pPr>
        <w:pStyle w:val="Compact"/>
        <w:numPr>
          <w:ilvl w:val="1"/>
          <w:numId w:val="1019"/>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8"/>
        </w:numPr>
      </w:pPr>
      <w:r>
        <w:rPr>
          <w:b/>
          <w:bCs/>
        </w:rPr>
        <w:t xml:space="preserve">Individual</w:t>
      </w:r>
      <w:r>
        <w:t xml:space="preserve"> </w:t>
      </w:r>
      <w:r>
        <w:t xml:space="preserve">(20 points):</w:t>
      </w:r>
    </w:p>
    <w:p>
      <w:pPr>
        <w:pStyle w:val="Compact"/>
        <w:numPr>
          <w:ilvl w:val="1"/>
          <w:numId w:val="1020"/>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20"/>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bookmarkEnd w:id="84"/>
    <w:bookmarkEnd w:id="85"/>
    <w:bookmarkStart w:id="91" w:name="grading"/>
    <w:p>
      <w:pPr>
        <w:pStyle w:val="Heading2"/>
      </w:pPr>
      <w:r>
        <w:t xml:space="preserve">Grading</w:t>
      </w:r>
    </w:p>
    <w:bookmarkStart w:id="88"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tc>
      </w:tr>
    </w:tbl>
    <w:bookmarkEnd w:id="88"/>
    <w:bookmarkStart w:id="89"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89"/>
    <w:bookmarkStart w:id="90"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21"/>
        </w:numPr>
      </w:pPr>
      <w:r>
        <w:t xml:space="preserve">Overall exam average below 25%;</w:t>
      </w:r>
    </w:p>
    <w:p>
      <w:pPr>
        <w:pStyle w:val="Compact"/>
        <w:numPr>
          <w:ilvl w:val="0"/>
          <w:numId w:val="1021"/>
        </w:numPr>
      </w:pPr>
      <w:r>
        <w:t xml:space="preserve">Submitted less than half of the assigned homework problems;</w:t>
      </w:r>
    </w:p>
    <w:p>
      <w:pPr>
        <w:pStyle w:val="Compact"/>
        <w:numPr>
          <w:ilvl w:val="0"/>
          <w:numId w:val="1021"/>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75" Target="media/rId75.png" /><Relationship Type="http://schemas.openxmlformats.org/officeDocument/2006/relationships/image" Id="rId30" Target="media/rId30.png" /><Relationship Type="http://schemas.openxmlformats.org/officeDocument/2006/relationships/image" Id="rId65" Target="media/rId65.png" /><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57" Target="http://theuniversityfaculty.cornell.edu/academic-integrity/" TargetMode="External" /><Relationship Type="http://schemas.openxmlformats.org/officeDocument/2006/relationships/hyperlink" Id="rId42" Target="https://edstem.org" TargetMode="External" /><Relationship Type="http://schemas.openxmlformats.org/officeDocument/2006/relationships/hyperlink" Id="rId46" Target="https://mentalhealth.cornell.edu/" TargetMode="External" /><Relationship Type="http://schemas.openxmlformats.org/officeDocument/2006/relationships/hyperlink" Id="rId40" Target="https://sds.cornell.edu/" TargetMode="External" /><Relationship Type="http://schemas.openxmlformats.org/officeDocument/2006/relationships/hyperlink" Id="rId21" Target="https://viveks.me" TargetMode="External" /><Relationship Type="http://schemas.openxmlformats.org/officeDocument/2006/relationships/hyperlink" Id="rId58" Target="https://www.asce.org/-/media/asce-images-and-files/career-and-growth/ethics/documents/asce-code-ethics.pdf" TargetMode="External" /><Relationship Type="http://schemas.openxmlformats.org/officeDocument/2006/relationships/hyperlink" Id="rId24" Target="mailto:sld238@cornell.edu" TargetMode="External" /><Relationship Type="http://schemas.openxmlformats.org/officeDocument/2006/relationships/hyperlink" Id="rId22"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2025-09-15T18:54:36Z</dcterms:created>
  <dcterms:modified xsi:type="dcterms:W3CDTF">2025-09-15T18:54:36Z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toc-title">
    <vt:lpwstr>Table of contents</vt:lpwstr>
  </property>
</Properties>
</file>