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Taiwo Kehinde Blessing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757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44.529411764705884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8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are waking up. You have great potential. Keep learning!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7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5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9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