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Re: Submission to Computers &amp; Chemical Engineering</w:t>
      </w:r>
    </w:p>
    <w:p>
      <w:pPr>
        <w:spacing w:after="200"/>
      </w:pPr>
      <w:r>
        <w:t xml:space="preserve">Dear Editor,</w:t>
      </w:r>
    </w:p>
    <w:p>
      <w:pPr>
        <w:spacing w:after="200"/>
      </w:pPr>
      <w:r>
        <w:t xml:space="preserve">Please consider the enclosed manuscript, “A composed coverage certificate for closed-loop process operation: certified joint product-quality and equipment-survival guarantees under feedback”, for publication in Computers &amp; Chemical Engineering as a full-length article.</w:t>
      </w:r>
    </w:p>
    <w:p>
      <w:pPr>
        <w:spacing w:after="200"/>
      </w:pPr>
      <w:r>
        <w:t xml:space="preserve">I will state its history plainly. The manuscript was first submitted to Industrial &amp; Engineering Chemistry Research (ie-2026-03342s), where the editor judged it clearly presented and technically sound but outside the interest of that journal’s broad general-chemistry readership, and offered a transfer to ACS Omega. I declined that transfer. The contribution is a process-systems-engineering result, and Computers &amp; Chemical Engineering is its natural home: it sits squarely within your scope of mathematical programming and optimization, process dynamics and control, abnormal-events management and process safety, and plant operations.</w:t>
      </w:r>
    </w:p>
    <w:p>
      <w:pPr>
        <w:spacing w:after="200"/>
      </w:pPr>
      <w:r>
        <w:t xml:space="preserve">The contribution is a guarantee, not a prediction. Soft sensing, prognostics, and real-time optimization each now ship distribution-free coverage guarantees, but safe closed-loop operation depends on a joint event none of them addresses alone: the product must stay in specification while the equipment survives to its next maintenance window. The paper derives a per-cycle composed coverage certificate for that joint event (Theorem 1), resolves the long-standing objection that feedback voids conformal validity by showing the selection penalty is exactly zero under causal timing, and collapses the certificate into a single convex budget that a modifier-adaptation optimizer enforces directly (Corollary 1), so the flagship guarantee and the operating floor become the same constraint. A negative control carries the evidence: on a calibrated debutanizer twin running the real soft-sensor, prognostic, and optimizer code, the certified floor of 0.75 is met at joint safety coverage 0.988 when the budget is enforced and collapses to 0.000 when the single causal ingredient is removed, the contrast carried entirely by reflux-pump life.</w:t>
      </w:r>
    </w:p>
    <w:p>
      <w:pPr>
        <w:spacing w:after="200"/>
      </w:pPr>
      <w:r>
        <w:t xml:space="preserve">The work is the integration keystone of a five-paper program. Its closest companion, the conformal real-time-optimization back-offs it builds the health-constrained optimizer on, is under review at this journal (CACE-D-26-01040); the calibrated soft-sensor study is under review at the Journal of Process Control (JPROCONT-D-26-00618) and the prognostics paper at Reliability Engineering &amp; System Safety. Every number and figure regenerates from a single script against the public repository. The manuscript is original, is not under consideration elsewhere, and the sole author meets all authorship criteria. Suggested reviewer expertise: conformal prediction under distribution shift, real-time optimization and modifier adaptation, and prognostics and health management for process equipment.</w:t>
      </w:r>
    </w:p>
    <w:p>
      <w:pPr>
        <w:spacing w:after="240"/>
      </w:pPr>
      <w:r>
        <w:t xml:space="preserve">Thank you for your consideration.</w:t>
      </w:r>
    </w:p>
    <w:p>
      <w:pPr>
        <w:spacing w:after="0"/>
      </w:pPr>
      <w:r>
        <w:t xml:space="preserve">Bien Busico</w:t>
      </w:r>
    </w:p>
    <w:p>
      <w:pPr>
        <w:spacing w:after="0"/>
      </w:pPr>
      <w:r>
        <w:t xml:space="preserve">Chemical Engineer, Quezon City, Philippines</w:t>
      </w:r>
    </w:p>
    <w:p>
      <w:pPr>
        <w:spacing w:after="0"/>
      </w:pPr>
      <w:r>
        <w:t xml:space="preserve">bienbusico@gmail.com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2026-06-30T18:38:32.767Z</dcterms:created>
  <dcterms:modified xsi:type="dcterms:W3CDTF">2026-06-30T18:38:32.767Z</dcterms:modified>
</cp:coreProperties>
</file>

<file path=docProps/custom.xml><?xml version="1.0" encoding="utf-8"?>
<Properties xmlns="http://schemas.openxmlformats.org/officeDocument/2006/custom-properties" xmlns:vt="http://schemas.openxmlformats.org/officeDocument/2006/docPropsVTypes"/>
</file>