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b/>
          <w:bCs/>
        </w:rPr>
        <w:t xml:space="preserve">Bien Busico</w:t>
      </w:r>
    </w:p>
    <w:p>
      <w:pPr>
        <w:spacing w:after="200"/>
      </w:pPr>
      <w:r>
        <w:t xml:space="preserve">Chemical Engineer</w:t>
      </w:r>
    </w:p>
    <w:p>
      <w:pPr>
        <w:spacing w:after="200"/>
      </w:pPr>
      <w:r>
        <w:t xml:space="preserve">Quezon City, Philippines</w:t>
      </w:r>
    </w:p>
    <w:p>
      <w:pPr>
        <w:spacing w:after="200"/>
      </w:pPr>
      <w:r>
        <w:t xml:space="preserve">20 June 2026</w:t>
      </w:r>
    </w:p>
    <w:p>
      <w:pPr>
        <w:spacing w:after="80"/>
      </w:pPr>
      <w:r>
        <w:t xml:space="preserve">To: The Editors-in-Chief</w:t>
      </w:r>
    </w:p>
    <w:p>
      <w:pPr>
        <w:spacing w:after="200"/>
      </w:pPr>
      <w:r>
        <w:rPr>
          <w:i/>
          <w:iCs/>
        </w:rPr>
        <w:t xml:space="preserve">Reliability Engineering &amp; System Safety</w:t>
      </w:r>
    </w:p>
    <w:p>
      <w:pPr>
        <w:spacing w:after="200"/>
      </w:pPr>
      <w:r>
        <w:rPr>
          <w:b/>
          <w:bCs/>
        </w:rPr>
        <w:t xml:space="preserve">Re: </w:t>
      </w:r>
      <w:r>
        <w:t xml:space="preserve">Submission of original research manuscript</w:t>
      </w:r>
    </w:p>
    <w:p>
      <w:pPr>
        <w:spacing w:after="200"/>
      </w:pPr>
      <w:r>
        <w:t xml:space="preserve">Dear Editors,</w:t>
      </w:r>
    </w:p>
    <w:p>
      <w:pPr>
        <w:spacing w:after="200"/>
      </w:pPr>
      <w:r>
        <w:t xml:space="preserve">I am pleased to submit the enclosed manuscript, “Similarity-Calibrated Conformal Prediction: a physics-derived, a-priori coverage certificate for prognostics under operating-regime transfer,” for consideration as a research article in Reliability Engineering &amp; System Safety.</w:t>
      </w:r>
    </w:p>
    <w:p>
      <w:pPr>
        <w:spacing w:after="200"/>
      </w:pPr>
      <w:r>
        <w:t xml:space="preserve">Prognostic health management increasingly relies on conformal prediction to attach a distribution-free coverage guarantee to remaining-useful-life estimates. That guarantee rests on exchangeability, which fails in the case reliability engineering cares about most: a model calibrated on assets run under one operating regime is deployed on assets run under another, and the prediction interval silently miscovers. The two existing remedies do not meet. Dimensionless transfer learning improves point accuracy but carries no coverage guarantee; weighted (covariate-shift) conformal restores coverage only by estimating density ratios from representative target data, which a newly commissioned asset does not have.</w:t>
      </w:r>
    </w:p>
    <w:p>
      <w:pPr>
        <w:spacing w:after="200"/>
      </w:pPr>
      <w:r>
        <w:t xml:space="preserve">This manuscript introduces Similarity-Calibrated Conformal (SCC) prediction, which fills that gap. Computing the nonconformity score in a dimensionless space obtained from the governing physics restores approximate score-exchangeability across regimes and yields a coverage certificate computable a priori from physical parameters alone—with no target failure data and no density-ratio estimation. The certificate is proven by composing the dimensionless reduction with the non-exchangeable conformal bound of Barber et al. (2023): the cross-regime coverage gap is at most a Lipschitz constant times the departure from dynamic similitude.</w:t>
      </w:r>
    </w:p>
    <w:p>
      <w:pPr>
        <w:spacing w:after="200"/>
      </w:pPr>
      <w:r>
        <w:t xml:space="preserve">On a controlled catalyst-deactivation testbed in which similitude is genuine but is not assumed by the estimator, naive conformal miscovers while SCC recovers coverage to within 0.006 of target; under a graded, physically meaningful departure from similitude the coverage gap and the interval back-off degrade gracefully and monotonically; the a-priori bound upper-bounds the measured gap on every held-out configuration; and the result is robust across the departure’s structure, magnitude, and the coverage level. An accompanying bootstrap similitude diagnostic gives the method a self-aware operating envelope and, on the FEMTO bearing benchmark, correctly returns an indeterminate verdict—declining to certify outside its applicability limit. I have been deliberate about scope: the contribution is coverage theory, validation is on controlled physical simulation, and real-process validation on adequately powered field data is identified as the principal next step.</w:t>
      </w:r>
    </w:p>
    <w:p>
      <w:pPr>
        <w:spacing w:after="200"/>
      </w:pPr>
      <w:r>
        <w:t xml:space="preserve">I believe the work fits Reliability Engineering &amp; System Safety: it provides a distribution-free reliability guarantee for prognostics together with an explicit, testable operating envelope and an honest statement of its limits. The manuscript is original, has not been published previously, and is not under consideration elsewhere. I am the sole author and declare no conflicts of interest. The implementation and all scripts reproducing the figures and tables are openly available at github.com/beebzy-droid/IPIS.</w:t>
      </w:r>
    </w:p>
    <w:p>
      <w:pPr>
        <w:spacing w:after="200"/>
      </w:pPr>
      <w:r>
        <w:t xml:space="preserve">Thank you for your consideration.</w:t>
      </w:r>
    </w:p>
    <w:p>
      <w:pPr>
        <w:spacing w:after="200"/>
      </w:pPr>
      <w:r>
        <w:t xml:space="preserve">Sincerely,</w:t>
      </w:r>
    </w:p>
    <w:p>
      <w:pPr>
        <w:spacing w:after="0"/>
      </w:pPr>
      <w:r>
        <w:rPr>
          <w:b/>
          <w:bCs/>
        </w:rPr>
        <w:t xml:space="preserve">Bien Busico</w:t>
      </w:r>
    </w:p>
    <w:p>
      <w:pPr>
        <w:spacing w:after="0"/>
      </w:pPr>
      <w:r>
        <w:t xml:space="preserve">Chemical Engineer, Quezon City, Philippines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2026-06-19T22:56:37.907Z</dcterms:created>
  <dcterms:modified xsi:type="dcterms:W3CDTF">2026-06-19T22:56:37.907Z</dcterms:modified>
</cp:coreProperties>
</file>

<file path=docProps/custom.xml><?xml version="1.0" encoding="utf-8"?>
<Properties xmlns="http://schemas.openxmlformats.org/officeDocument/2006/custom-properties" xmlns:vt="http://schemas.openxmlformats.org/officeDocument/2006/docPropsVTypes"/>
</file>