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26"/>
          <w:szCs w:val="26"/>
        </w:rPr>
        <w:t xml:space="preserve">Highlights</w:t>
      </w:r>
    </w:p>
    <w:p>
      <w:pPr>
        <w:spacing w:after="240"/>
      </w:pPr>
      <w:r>
        <w:rPr>
          <w:i/>
          <w:iCs/>
          <w:sz w:val="20"/>
          <w:szCs w:val="20"/>
        </w:rPr>
        <w:t xml:space="preserve">Similarity-Calibrated Conformal Prediction: a physics-derived, a-priori coverage certificate for prognostics under operating-regime transfer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Conformal RUL intervals silently miscover when the operating regime shifts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SCC calibrates in a physics-derived dimensionless space to restore coverage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An a-priori certificate bounds the coverage gap from physical parameters alone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No target failure data and no density-ratio estimation are required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 similitude diagnostic flags when the certificate's premise is unsupported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2026-06-19T22:56:37.891Z</dcterms:created>
  <dcterms:modified xsi:type="dcterms:W3CDTF">2026-06-19T22:56:37.891Z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