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</w:rPr>
        <w:t xml:space="preserve">Bien Busico</w:t>
      </w:r>
    </w:p>
    <w:p>
      <w:pPr>
        <w:spacing w:after="200"/>
      </w:pPr>
      <w:r>
        <w:t xml:space="preserve">Mapúa Malayan College Mindanao</w:t>
      </w:r>
    </w:p>
    <w:p>
      <w:pPr>
        <w:spacing w:after="200"/>
      </w:pPr>
      <w:r>
        <w:t xml:space="preserve">Davao City, Philippines</w:t>
      </w:r>
    </w:p>
    <w:p>
      <w:pPr>
        <w:spacing w:after="200"/>
      </w:pPr>
      <w:r>
        <w:t xml:space="preserve">26 June 2026</w:t>
      </w:r>
    </w:p>
    <w:p>
      <w:pPr>
        <w:spacing w:after="80"/>
      </w:pPr>
      <w:r>
        <w:t xml:space="preserve">To: Prof. Alessandro Contento, Associate Editor</w:t>
      </w:r>
    </w:p>
    <w:p>
      <w:pPr>
        <w:spacing w:after="200"/>
      </w:pPr>
      <w:r>
        <w:rPr>
          <w:i/>
          <w:iCs/>
        </w:rPr>
        <w:t xml:space="preserve">Reliability Engineering &amp; System Safety</w:t>
      </w:r>
    </w:p>
    <w:p>
      <w:pPr>
        <w:spacing w:after="200"/>
      </w:pPr>
      <w:r>
        <w:rPr>
          <w:b/>
          <w:bCs/>
        </w:rPr>
        <w:t xml:space="preserve">Re: </w:t>
      </w:r>
      <w:r>
        <w:t xml:space="preserve">Resubmission of a comprehensively restructured manuscript (previously JRESS-D-26-04509)</w:t>
      </w:r>
    </w:p>
    <w:p>
      <w:pPr>
        <w:spacing w:after="200"/>
      </w:pPr>
      <w:r>
        <w:t xml:space="preserve">Dear Prof. Contento,</w:t>
      </w:r>
    </w:p>
    <w:p>
      <w:pPr>
        <w:spacing w:after="200"/>
      </w:pPr>
      <w:r>
        <w:t xml:space="preserve">Thank you for evaluating our manuscript “Similarity-Calibrated Conformal prediction: data-free coverage guarantees for remaining-useful-life intervals under operating-regime transfer” (previously JRESS-D-26-04509) and for the invitation to resubmit if its structure were modified. We have rewritten the manuscript so that it follows the engineering-driven, application-oriented style of Reliability Engineering &amp; System Safety. The scientific content, methods, and results are unchanged; what has changed is how the work is presented.</w:t>
      </w:r>
    </w:p>
    <w:p>
      <w:pPr>
        <w:spacing w:after="200"/>
      </w:pPr>
      <w:r>
        <w:rPr>
          <w:b w:val="false"/>
          <w:bCs w:val="false"/>
        </w:rPr>
        <w:t xml:space="preserve">We addressed the two points raised as follows.</w:t>
      </w:r>
    </w:p>
    <w:p>
      <w:pPr>
        <w:spacing w:after="200"/>
      </w:pPr>
      <w:r>
        <w:rPr>
          <w:b/>
          <w:bCs/>
        </w:rPr>
        <w:t xml:space="preserve">1. From a proof-centric exposition to an engineering narrative. </w:t>
      </w:r>
      <w:r>
        <w:t xml:space="preserve">The introduction now leads with the reliability and safety problem, namely that a remaining-useful-life interval drives maintenance and replacement decisions yet silently loses its coverage guarantee when an asset is operated in a regime different from its calibration regime. The method is presented as a deployable, step-by-step procedure with a new workflow figure, and the coverage guarantee is stated in the main text as a usable result with its engineering interpretation (coverage read as the realised reliability of the maintenance decision; the bound read as a worst-case shortfall computable before deployment). The full theorem, lemma, and proof have been moved out of the main text into Appendix A, so the body is an application-oriented narrative rather than a sequence of formal results. The conclusions now emphasise deployment and fault-tolerant use.</w:t>
      </w:r>
    </w:p>
    <w:p>
      <w:pPr>
        <w:spacing w:after="200"/>
      </w:pPr>
      <w:r>
        <w:rPr>
          <w:b/>
          <w:bCs/>
        </w:rPr>
        <w:t xml:space="preserve">2. Formatting. </w:t>
      </w:r>
      <w:r>
        <w:t xml:space="preserve">We removed the italicised run-in headings that produced the double-dot separators and replaced them with numbered subsections throughout the manuscript, which is formatted in a single column.</w:t>
      </w:r>
    </w:p>
    <w:p>
      <w:pPr>
        <w:spacing w:after="200"/>
      </w:pPr>
      <w:r>
        <w:t xml:space="preserve">The contribution, in its reframed form, is a physics-based method for reliable remaining-useful-life prediction under operating-regime transfer that needs no target failure data, together with an a-priori coverage bound computable from physical parameters and a runtime diagnostic that gives the method a self-aware operating envelope and a conservative fallback. It is validated non-circularly on a controlled process-reliability testbed, with an honest applicability limit reported on a field bearing benchmark. We believe the work now fits the journal: it provides a distribution-free reliability guarantee for prognostics, framed within a clear maintenance and safety context.</w:t>
      </w:r>
    </w:p>
    <w:p>
      <w:pPr>
        <w:spacing w:after="200"/>
      </w:pPr>
      <w:r>
        <w:t xml:space="preserve">The manuscript is original, has not been published previously, and is not under consideration elsewhere. I am the sole author and declare no conflicts of interest. The implementation and all scripts reproducing the figures and tables are openly available at github.com/beebzy-droid/IPIS.</w:t>
      </w:r>
    </w:p>
    <w:p>
      <w:pPr>
        <w:spacing w:after="200"/>
      </w:pPr>
      <w:r>
        <w:t xml:space="preserve">Thank you for reconsidering this work.</w:t>
      </w:r>
    </w:p>
    <w:p>
      <w:pPr>
        <w:spacing w:after="200"/>
      </w:pPr>
      <w:r>
        <w:t xml:space="preserve">Sincerely,</w:t>
      </w:r>
    </w:p>
    <w:p>
      <w:pPr>
        <w:spacing w:after="0"/>
      </w:pPr>
      <w:r>
        <w:rPr>
          <w:b/>
          <w:bCs/>
        </w:rPr>
        <w:t xml:space="preserve">Bien Busico</w:t>
      </w:r>
    </w:p>
    <w:p>
      <w:pPr>
        <w:spacing w:after="0"/>
      </w:pPr>
      <w:r>
        <w:t xml:space="preserve">Mapúa Malayan College Mindanao, Davao City, Philippines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2026-06-26T09:47:33.002Z</dcterms:created>
  <dcterms:modified xsi:type="dcterms:W3CDTF">2026-06-26T09:47:33.002Z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