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</w:rPr>
        <w:t xml:space="preserve">Highlights</w:t>
      </w:r>
    </w:p>
    <w:p>
      <w:pPr>
        <w:spacing w:after="200"/>
      </w:pPr>
      <w:r>
        <w:rPr>
          <w:i/>
          <w:iCs/>
        </w:rPr>
        <w:t xml:space="preserve">Similarity-Calibrated Conformal prediction: data-free coverage guarantees for remaining-useful-life intervals under operating-regime transfer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SCC restores conformal RUL coverage across operating regimes with no target data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Calibration runs in a physics-derived dimensionless (Buckingham-Pi) coordinate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An a-priori bound gives the worst-case coverage shortfall from physical parameters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A runtime diagnostic flags when the premise holds, with a conservative fallback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Recovers coverage where regime-blind conformal fails on a process-reliability testbed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2026-06-26T09:47:33.046Z</dcterms:created>
  <dcterms:modified xsi:type="dcterms:W3CDTF">2026-06-26T09:47:33.046Z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