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Highlights</w:t>
      </w:r>
    </w:p>
    <w:p>
      <w:r>
        <w:rPr>
          <w:i/>
          <w:iCs/>
        </w:rPr>
        <w:t xml:space="preserve">Similarity-Calibrated Conformal prediction: data-free coverage guarantees for remaining-useful-life intervals under operating-regime transfer</w:t>
      </w:r>
    </w:p>
    <w:p>
      <w:r>
        <w:rPr>
          <w:sz w:val="20"/>
          <w:szCs w:val="20"/>
        </w:rPr>
        <w:t xml:space="preserve">JRESS-D-26-04700 (revised)</w:t>
      </w:r>
    </w:p>
    <w:p/>
    <w:p>
      <w:pPr>
        <w:pStyle w:val="ListParagraph"/>
        <w:numPr>
          <w:ilvl w:val="0"/>
          <w:numId w:val="2"/>
        </w:numPr>
      </w:pPr>
      <w:r>
        <w:t xml:space="preserve">Conformal RUL intervals stay valid across operating regimes with no target data</w:t>
      </w:r>
    </w:p>
    <w:p>
      <w:pPr>
        <w:pStyle w:val="ListParagraph"/>
        <w:numPr>
          <w:ilvl w:val="0"/>
          <w:numId w:val="2"/>
        </w:numPr>
      </w:pPr>
      <w:r>
        <w:t xml:space="preserve">Calibrating in a physics-derived dimensionless coordinate transfers the guarantee</w:t>
      </w:r>
    </w:p>
    <w:p>
      <w:pPr>
        <w:pStyle w:val="ListParagraph"/>
        <w:numPr>
          <w:ilvl w:val="0"/>
          <w:numId w:val="2"/>
        </w:numPr>
      </w:pPr>
      <w:r>
        <w:t xml:space="preserve">Coverage gap falls from 0.590 to 0.060 on 509 externally authored NASA engines</w:t>
      </w:r>
    </w:p>
    <w:p>
      <w:pPr>
        <w:pStyle w:val="ListParagraph"/>
        <w:numPr>
          <w:ilvl w:val="0"/>
          <w:numId w:val="2"/>
        </w:numPr>
      </w:pPr>
      <w:r>
        <w:t xml:space="preserve">A-priori bound applies where the governing law identifies the departure term</w:t>
      </w:r>
    </w:p>
    <w:p>
      <w:pPr>
        <w:pStyle w:val="ListParagraph"/>
        <w:numPr>
          <w:ilvl w:val="0"/>
          <w:numId w:val="2"/>
        </w:numPr>
      </w:pPr>
      <w:r>
        <w:t xml:space="preserve">A runtime diagnostic declines to certify when the similitude premise is unsupported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2026-09-18T07:11:11.533Z</dcterms:created>
  <dcterms:modified xsi:type="dcterms:W3CDTF">2026-09-18T07:11:11.542Z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