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rPr>
          <w:b/>
          <w:bCs/>
        </w:rPr>
      </w:pPr>
      <w:r>
        <w:rPr>
          <w:b/>
          <w:bCs/>
        </w:rPr>
        <w:t xml:space="preserve">Manuscript’s Most Relevant Contributions</w:t>
      </w:r>
    </w:p>
    <w:p>
      <w:pPr>
        <w:spacing w:after="160" w:line="360"/>
        <w:rPr>
          <w:i/>
          <w:iCs/>
        </w:rPr>
      </w:pPr>
      <w:r>
        <w:rPr>
          <w:i/>
          <w:iCs/>
        </w:rPr>
        <w:t xml:space="preserve">Safe real-time optimization of a distillation column under feed-composition uncertainty: a comparative study of distribution-free constraint back-offs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Six distribution-free back-offs compared on a rigorous DWSIM debutanizer twin over 1000 trials.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Back-offs valid on average deployed unsafe setpoints in 67.5% to 100% of trials.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Certify-then-deploy and sampling-and-discarding kept unsafe deployments at or below 2.5%.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Unguaranteed back-offs lose money once off-spec bottoms cost more than 0.017 to 0.032 USD/kg.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Selection rule: plant model inside the optimizer, discard; nominal model only, certify.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2026-09-27T10:58:40.530Z</dcterms:created>
  <dcterms:modified xsi:type="dcterms:W3CDTF">2026-09-27T10:58:40.539Z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