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Uncertainty-Aware Surrogate Optimization of Decentralized Mixed-Plastic Pyrolysis Networks for EPR-Compliant Liquid Fuel Recovery in the Philippines</w:t>
      </w:r>
    </w:p>
    <w:p>
      <w:pPr>
        <w:spacing w:after="60"/>
      </w:pPr>
      <w:r>
        <w:rPr>
          <w:b/>
          <w:bCs/>
          <w:color w:val="6B7280"/>
          <w:sz w:val="20"/>
          <w:szCs w:val="20"/>
        </w:rPr>
        <w:t xml:space="preserve">MS Thesis Prospectus  •  Waste / Circular economy — chemical recycling  •  Idea W1 / A</w:t>
      </w:r>
    </w:p>
    <w:p>
      <w:pPr>
        <w:spacing w:after="160"/>
      </w:pPr>
      <w:r>
        <w:rPr>
          <w:i/>
          <w:iCs/>
          <w:color w:val="374151"/>
        </w:rPr>
        <w:t xml:space="preserve">Primary MS thesis. Turns the RA 11898 compliance obligation into a spatial process-network design problem solved under real Philippine feedstock variance.</w:t>
      </w:r>
    </w:p>
    <w:tbl>
      <w:tblPr>
        <w:tblW w:type="dxa" w:w="10080"/>
        <w:tblBorders>
          <w:top w:val="single" w:color="B7C0CC" w:sz="2"/>
          <w:left w:val="single" w:color="B7C0CC" w:sz="2"/>
          <w:bottom w:val="single" w:color="B7C0CC" w:sz="2"/>
          <w:right w:val="single" w:color="B7C0CC" w:sz="2"/>
          <w:insideH w:val="single" w:color="D6DCE4" w:sz="1"/>
          <w:insideV w:val="single" w:color="D6DCE4" w:sz="1"/>
        </w:tblBorders>
      </w:tblPr>
      <w:tblGrid>
        <w:gridCol w:w="2600"/>
        <w:gridCol w:w="7480"/>
      </w:tblGrid>
      <w:tr>
        <w:trPr>
          <w:tblHeader/>
        </w:trPr>
        <w:tc>
          <w:tcPr>
            <w:tcW w:type="dxa" w:w="2600"/>
            <w:shd w:fill="1F3A5F" w:color="auto" w:val="clear"/>
            <w:tcMar>
              <w:top w:type="dxa" w:w="60"/>
              <w:left w:type="dxa" w:w="90"/>
              <w:bottom w:type="dxa" w:w="60"/>
              <w:right w:type="dxa" w:w="90"/>
            </w:tcMar>
          </w:tcPr>
          <w:p>
            <w:pPr>
              <w:spacing w:after="0"/>
            </w:pPr>
            <w:r>
              <w:rPr>
                <w:b/>
                <w:bCs/>
                <w:color w:val="FFFFFF"/>
                <w:sz w:val="20"/>
                <w:szCs w:val="20"/>
              </w:rPr>
              <w:t xml:space="preserve">Field</w:t>
            </w:r>
          </w:p>
        </w:tc>
        <w:tc>
          <w:tcPr>
            <w:tcW w:type="dxa" w:w="7480"/>
            <w:shd w:fill="1F3A5F" w:color="auto" w:val="clear"/>
            <w:tcMar>
              <w:top w:type="dxa" w:w="60"/>
              <w:left w:type="dxa" w:w="90"/>
              <w:bottom w:type="dxa" w:w="60"/>
              <w:right w:type="dxa" w:w="90"/>
            </w:tcMar>
          </w:tcPr>
          <w:p>
            <w:pPr>
              <w:spacing w:after="0"/>
            </w:pPr>
            <w:r>
              <w:rPr>
                <w:b/>
                <w:bCs/>
                <w:color w:val="FFFFFF"/>
                <w:sz w:val="20"/>
                <w:szCs w:val="20"/>
              </w:rPr>
              <w:t xml:space="preserve">Value</w:t>
            </w:r>
          </w:p>
        </w:tc>
      </w:tr>
      <w:tr>
        <w:tc>
          <w:tcPr>
            <w:tcW w:type="dxa" w:w="2600"/>
            <w:tcMar>
              <w:top w:type="dxa" w:w="60"/>
              <w:left w:type="dxa" w:w="90"/>
              <w:bottom w:type="dxa" w:w="60"/>
              <w:right w:type="dxa" w:w="90"/>
            </w:tcMar>
          </w:tcPr>
          <w:p>
            <w:pPr>
              <w:spacing w:after="0"/>
            </w:pPr>
            <w:r>
              <w:rPr>
                <w:b w:val="false"/>
                <w:bCs w:val="false"/>
                <w:color w:val="000000"/>
                <w:sz w:val="19"/>
                <w:szCs w:val="19"/>
              </w:rPr>
              <w:t xml:space="preserve">Idea code</w:t>
            </w:r>
          </w:p>
        </w:tc>
        <w:tc>
          <w:tcPr>
            <w:tcW w:type="dxa" w:w="7480"/>
            <w:tcMar>
              <w:top w:type="dxa" w:w="60"/>
              <w:left w:type="dxa" w:w="90"/>
              <w:bottom w:type="dxa" w:w="60"/>
              <w:right w:type="dxa" w:w="90"/>
            </w:tcMar>
          </w:tcPr>
          <w:p>
            <w:pPr>
              <w:spacing w:after="0"/>
            </w:pPr>
            <w:r>
              <w:rPr>
                <w:b w:val="false"/>
                <w:bCs w:val="false"/>
                <w:color w:val="000000"/>
                <w:sz w:val="19"/>
                <w:szCs w:val="19"/>
              </w:rPr>
              <w:t xml:space="preserve">W1 / A</w:t>
            </w:r>
          </w:p>
        </w:tc>
      </w:tr>
      <w:tr>
        <w:tc>
          <w:tcPr>
            <w:tcW w:type="dxa" w:w="2600"/>
            <w:tcMar>
              <w:top w:type="dxa" w:w="60"/>
              <w:left w:type="dxa" w:w="90"/>
              <w:bottom w:type="dxa" w:w="60"/>
              <w:right w:type="dxa" w:w="90"/>
            </w:tcMar>
          </w:tcPr>
          <w:p>
            <w:pPr>
              <w:spacing w:after="0"/>
            </w:pPr>
            <w:r>
              <w:rPr>
                <w:b w:val="false"/>
                <w:bCs w:val="false"/>
                <w:color w:val="000000"/>
                <w:sz w:val="19"/>
                <w:szCs w:val="19"/>
              </w:rPr>
              <w:t xml:space="preserve">Feasibility tier</w:t>
            </w:r>
          </w:p>
        </w:tc>
        <w:tc>
          <w:tcPr>
            <w:tcW w:type="dxa" w:w="7480"/>
            <w:tcMar>
              <w:top w:type="dxa" w:w="60"/>
              <w:left w:type="dxa" w:w="90"/>
              <w:bottom w:type="dxa" w:w="60"/>
              <w:right w:type="dxa" w:w="90"/>
            </w:tcMar>
          </w:tcPr>
          <w:p>
            <w:pPr>
              <w:spacing w:after="0"/>
            </w:pPr>
            <w:r>
              <w:rPr>
                <w:b w:val="false"/>
                <w:bCs w:val="false"/>
                <w:color w:val="000000"/>
                <w:sz w:val="19"/>
                <w:szCs w:val="19"/>
              </w:rPr>
              <w:t xml:space="preserve">PRIMARY — realistic feasible (computational, public data). This is the committed DOST-ERDT line.</w:t>
            </w:r>
          </w:p>
        </w:tc>
      </w:tr>
      <w:tr>
        <w:tc>
          <w:tcPr>
            <w:tcW w:type="dxa" w:w="2600"/>
            <w:tcMar>
              <w:top w:type="dxa" w:w="60"/>
              <w:left w:type="dxa" w:w="90"/>
              <w:bottom w:type="dxa" w:w="60"/>
              <w:right w:type="dxa" w:w="90"/>
            </w:tcMar>
          </w:tcPr>
          <w:p>
            <w:pPr>
              <w:spacing w:after="0"/>
            </w:pPr>
            <w:r>
              <w:rPr>
                <w:b w:val="false"/>
                <w:bCs w:val="false"/>
                <w:color w:val="000000"/>
                <w:sz w:val="19"/>
                <w:szCs w:val="19"/>
              </w:rPr>
              <w:t xml:space="preserve">Sector</w:t>
            </w:r>
          </w:p>
        </w:tc>
        <w:tc>
          <w:tcPr>
            <w:tcW w:type="dxa" w:w="7480"/>
            <w:tcMar>
              <w:top w:type="dxa" w:w="60"/>
              <w:left w:type="dxa" w:w="90"/>
              <w:bottom w:type="dxa" w:w="60"/>
              <w:right w:type="dxa" w:w="90"/>
            </w:tcMar>
          </w:tcPr>
          <w:p>
            <w:pPr>
              <w:spacing w:after="0"/>
            </w:pPr>
            <w:r>
              <w:rPr>
                <w:b w:val="false"/>
                <w:bCs w:val="false"/>
                <w:color w:val="000000"/>
                <w:sz w:val="19"/>
                <w:szCs w:val="19"/>
              </w:rPr>
              <w:t xml:space="preserve">Waste / Circular economy — chemical recycling</w:t>
            </w:r>
          </w:p>
        </w:tc>
      </w:tr>
      <w:tr>
        <w:tc>
          <w:tcPr>
            <w:tcW w:type="dxa" w:w="2600"/>
            <w:tcMar>
              <w:top w:type="dxa" w:w="60"/>
              <w:left w:type="dxa" w:w="90"/>
              <w:bottom w:type="dxa" w:w="60"/>
              <w:right w:type="dxa" w:w="90"/>
            </w:tcMar>
          </w:tcPr>
          <w:p>
            <w:pPr>
              <w:spacing w:after="0"/>
            </w:pPr>
            <w:r>
              <w:rPr>
                <w:b w:val="false"/>
                <w:bCs w:val="false"/>
                <w:color w:val="000000"/>
                <w:sz w:val="19"/>
                <w:szCs w:val="19"/>
              </w:rPr>
              <w:t xml:space="preserve">Primary target journal</w:t>
            </w:r>
          </w:p>
        </w:tc>
        <w:tc>
          <w:tcPr>
            <w:tcW w:type="dxa" w:w="7480"/>
            <w:tcMar>
              <w:top w:type="dxa" w:w="60"/>
              <w:left w:type="dxa" w:w="90"/>
              <w:bottom w:type="dxa" w:w="60"/>
              <w:right w:type="dxa" w:w="90"/>
            </w:tcMar>
          </w:tcPr>
          <w:p>
            <w:pPr>
              <w:spacing w:after="0"/>
            </w:pPr>
            <w:r>
              <w:rPr>
                <w:b w:val="false"/>
                <w:bCs w:val="false"/>
                <w:color w:val="000000"/>
                <w:sz w:val="19"/>
                <w:szCs w:val="19"/>
              </w:rPr>
              <w:t xml:space="preserve">Computers &amp; Chemical Engineering</w:t>
            </w:r>
          </w:p>
        </w:tc>
      </w:tr>
      <w:tr>
        <w:tc>
          <w:tcPr>
            <w:tcW w:type="dxa" w:w="2600"/>
            <w:tcMar>
              <w:top w:type="dxa" w:w="60"/>
              <w:left w:type="dxa" w:w="90"/>
              <w:bottom w:type="dxa" w:w="60"/>
              <w:right w:type="dxa" w:w="90"/>
            </w:tcMar>
          </w:tcPr>
          <w:p>
            <w:pPr>
              <w:spacing w:after="0"/>
            </w:pPr>
            <w:r>
              <w:rPr>
                <w:b w:val="false"/>
                <w:bCs w:val="false"/>
                <w:color w:val="000000"/>
                <w:sz w:val="19"/>
                <w:szCs w:val="19"/>
              </w:rPr>
              <w:t xml:space="preserve">Fallback journals</w:t>
            </w:r>
          </w:p>
        </w:tc>
        <w:tc>
          <w:tcPr>
            <w:tcW w:type="dxa" w:w="7480"/>
            <w:tcMar>
              <w:top w:type="dxa" w:w="60"/>
              <w:left w:type="dxa" w:w="90"/>
              <w:bottom w:type="dxa" w:w="60"/>
              <w:right w:type="dxa" w:w="90"/>
            </w:tcMar>
          </w:tcPr>
          <w:p>
            <w:pPr>
              <w:spacing w:after="0"/>
            </w:pPr>
            <w:r>
              <w:rPr>
                <w:b w:val="false"/>
                <w:bCs w:val="false"/>
                <w:color w:val="000000"/>
                <w:sz w:val="19"/>
                <w:szCs w:val="19"/>
              </w:rPr>
              <w:t xml:space="preserve">Journal of Cleaner Production / ACS Sustainable Chemistry &amp; Engineering</w:t>
            </w:r>
          </w:p>
        </w:tc>
      </w:tr>
      <w:tr>
        <w:tc>
          <w:tcPr>
            <w:tcW w:type="dxa" w:w="2600"/>
            <w:tcMar>
              <w:top w:type="dxa" w:w="60"/>
              <w:left w:type="dxa" w:w="90"/>
              <w:bottom w:type="dxa" w:w="60"/>
              <w:right w:type="dxa" w:w="90"/>
            </w:tcMar>
          </w:tcPr>
          <w:p>
            <w:pPr>
              <w:spacing w:after="0"/>
            </w:pPr>
            <w:r>
              <w:rPr>
                <w:b w:val="false"/>
                <w:bCs w:val="false"/>
                <w:color w:val="000000"/>
                <w:sz w:val="19"/>
                <w:szCs w:val="19"/>
              </w:rPr>
              <w:t xml:space="preserve">Data risk</w:t>
            </w:r>
          </w:p>
        </w:tc>
        <w:tc>
          <w:tcPr>
            <w:tcW w:type="dxa" w:w="7480"/>
            <w:tcMar>
              <w:top w:type="dxa" w:w="60"/>
              <w:left w:type="dxa" w:w="90"/>
              <w:bottom w:type="dxa" w:w="60"/>
              <w:right w:type="dxa" w:w="90"/>
            </w:tcMar>
          </w:tcPr>
          <w:p>
            <w:pPr>
              <w:spacing w:after="0"/>
            </w:pPr>
            <w:r>
              <w:rPr>
                <w:b w:val="false"/>
                <w:bCs w:val="false"/>
                <w:color w:val="000000"/>
                <w:sz w:val="19"/>
                <w:szCs w:val="19"/>
              </w:rPr>
              <w:t xml:space="preserve">LOW</w:t>
            </w:r>
          </w:p>
        </w:tc>
      </w:tr>
      <w:tr>
        <w:tc>
          <w:tcPr>
            <w:tcW w:type="dxa" w:w="2600"/>
            <w:tcMar>
              <w:top w:type="dxa" w:w="60"/>
              <w:left w:type="dxa" w:w="90"/>
              <w:bottom w:type="dxa" w:w="60"/>
              <w:right w:type="dxa" w:w="90"/>
            </w:tcMar>
          </w:tcPr>
          <w:p>
            <w:pPr>
              <w:spacing w:after="0"/>
            </w:pPr>
            <w:r>
              <w:rPr>
                <w:b w:val="false"/>
                <w:bCs w:val="false"/>
                <w:color w:val="000000"/>
                <w:sz w:val="19"/>
                <w:szCs w:val="19"/>
              </w:rPr>
              <w:t xml:space="preserve">Novelty (one line)</w:t>
            </w:r>
          </w:p>
        </w:tc>
        <w:tc>
          <w:tcPr>
            <w:tcW w:type="dxa" w:w="7480"/>
            <w:tcMar>
              <w:top w:type="dxa" w:w="60"/>
              <w:left w:type="dxa" w:w="90"/>
              <w:bottom w:type="dxa" w:w="60"/>
              <w:right w:type="dxa" w:w="90"/>
            </w:tcMar>
          </w:tcPr>
          <w:p>
            <w:pPr>
              <w:spacing w:after="0"/>
            </w:pPr>
            <w:r>
              <w:rPr>
                <w:b w:val="false"/>
                <w:bCs w:val="false"/>
                <w:color w:val="000000"/>
                <w:sz w:val="19"/>
                <w:szCs w:val="19"/>
              </w:rPr>
              <w:t xml:space="preserve">Bayesian surrogate + stochastic superstructure optimization of a decentralized network under PH feedstock uncertainty and a binding EPR recovery constraint.</w:t>
            </w:r>
          </w:p>
        </w:tc>
      </w:tr>
    </w:tbl>
    <w:p>
      <w:pPr>
        <w:spacing w:after="60" w:before="160"/>
      </w:pPr>
      <w:r>
        <w:t xml:space="preserve"/>
      </w:r>
    </w:p>
    <w:tbl>
      <w:tblPr>
        <w:tblW w:type="dxa" w:w="10080"/>
        <w:tblBorders>
          <w:top w:val="single" w:color="1F3A5F" w:sz="4"/>
          <w:left w:val="single" w:color="1F3A5F" w:sz="4"/>
          <w:bottom w:val="single" w:color="1F3A5F" w:sz="4"/>
          <w:right w:val="single" w:color="1F3A5F" w:sz="4"/>
          <w:insideH w:val="single" w:color="auto" w:sz="4"/>
          <w:insideV w:val="single" w:color="auto" w:sz="4"/>
        </w:tblBorders>
      </w:tblPr>
      <w:tblGrid>
        <w:gridCol w:w="10080"/>
      </w:tblGrid>
      <w:tr>
        <w:tc>
          <w:tcPr>
            <w:tcW w:type="dxa" w:w="10080"/>
            <w:shd w:fill="EEF2F7" w:color="auto" w:val="clear"/>
            <w:tcMar>
              <w:top w:type="dxa" w:w="120"/>
              <w:left w:type="dxa" w:w="160"/>
              <w:bottom w:type="dxa" w:w="120"/>
              <w:right w:type="dxa" w:w="160"/>
            </w:tcMar>
          </w:tcPr>
          <w:p>
            <w:pPr>
              <w:spacing w:after="80"/>
            </w:pPr>
            <w:r>
              <w:rPr>
                <w:b/>
                <w:bCs/>
                <w:color w:val="1F3A5F"/>
                <w:sz w:val="22"/>
                <w:szCs w:val="22"/>
              </w:rPr>
              <w:t xml:space="preserve">How to use this document</w:t>
            </w:r>
          </w:p>
          <w:p>
            <w:pPr>
              <w:spacing w:after="60"/>
            </w:pPr>
            <w:r>
              <w:t xml:space="preserve">This thesis has its own GitHub repository (</w:t>
            </w:r>
            <w:r>
              <w:rPr>
                <w:b/>
                <w:bCs/>
              </w:rPr>
              <w:t xml:space="preserve">ipis-thesis-pyrolysis-epr</w:t>
            </w:r>
            <w:r>
              <w:t xml:space="preserve">) and its own dedicated Claude session. </w:t>
            </w:r>
            <w:r>
              <w:t xml:space="preserve">Start a new Claude session named after the repository, pin this prospectus as the session brief, and work phase by phase through the End-to-End Lifecycle (P0–P9). Preserve the work with a Zenodo DOI before submission. Keep sessions separate so context does not bleed across theses.</w:t>
            </w:r>
          </w:p>
        </w:tc>
      </w:tr>
    </w:tbl>
    <w:p>
      <w:pPr>
        <w:spacing w:after="60" w:before="200"/>
      </w:pPr>
      <w:r>
        <w:rPr>
          <w:b/>
          <w:bCs/>
          <w:color w:val="1F3A5F"/>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Philippine Industry Context</w:t>
      </w:r>
    </w:p>
    <w:p>
      <w:pPr>
        <w:pStyle w:val="ListParagraph"/>
        <w:numPr>
          <w:ilvl w:val="0"/>
          <w:numId w:val="2"/>
        </w:numPr>
        <w:spacing w:after="60"/>
      </w:pPr>
      <w:r>
        <w:t xml:space="preserve">RA 11898 (EPR Act of 2022) obliges large enterprises to recover a rising share of their plastic packaging footprint: 60% for 2026, 70% for 2027, and 80% from 2028 onward. Non-compliance carries fines of PHP 5–20 million per instance.</w:t>
      </w:r>
    </w:p>
    <w:p>
      <w:pPr>
        <w:pStyle w:val="ListParagraph"/>
        <w:numPr>
          <w:ilvl w:val="0"/>
          <w:numId w:val="2"/>
        </w:numPr>
        <w:spacing w:after="60"/>
      </w:pPr>
      <w:r>
        <w:t xml:space="preserve">The Philippines generates on the order of 2.7 million tonnes of plastic annually and has effectively no domestic chemical-recycling capacity for contaminated multilayer sachet and film waste that mechanical recycling cannot process.</w:t>
      </w:r>
    </w:p>
    <w:p>
      <w:pPr>
        <w:pStyle w:val="ListParagraph"/>
        <w:numPr>
          <w:ilvl w:val="0"/>
          <w:numId w:val="2"/>
        </w:numPr>
        <w:spacing w:after="60"/>
      </w:pPr>
      <w:r>
        <w:t xml:space="preserve">Sachet-format packaging dominates the low-income retail model, so the non-mechanically-recyclable fraction is unusually large and compositionally variable across localities.</w:t>
      </w:r>
    </w:p>
    <w:p>
      <w:pPr>
        <w:pStyle w:val="Heading1"/>
      </w:pPr>
      <w:r>
        <w:t xml:space="preserve">2. Problem Statement</w:t>
      </w:r>
    </w:p>
    <w:p>
      <w:pPr>
        <w:spacing w:after="100"/>
      </w:pPr>
      <w:r>
        <w:t xml:space="preserve">Obliged enterprises must divert a legally mandated and rising fraction of plastic packaging, yet the contaminated multilayer/film fraction has no compliant local end-of-life route. Pyrolysis-to-fuel is a candidate, but there is no Philippine-specific design that answers, quantitatively: at what scale and spatial configuration can a pyrolysis network meet the 60→80% recovery trajectory at minimum total cost and carbon, given the composition and variability of actual local waste streams?</w:t>
      </w:r>
    </w:p>
    <w:p>
      <w:pPr>
        <w:pStyle w:val="Heading1"/>
      </w:pPr>
      <w:r>
        <w:t xml:space="preserve">3. Research Gap</w:t>
      </w:r>
    </w:p>
    <w:p>
      <w:pPr>
        <w:spacing w:after="100"/>
      </w:pPr>
      <w:r>
        <w:t xml:space="preserve">The plastic-pyrolysis techno-economic literature is saturated but three gaps remain jointly unaddressed: (1) it treats feedstock as fixed, ignoring the high composition variance of Philippine MSW; (2) it optimizes single plants, not decentralized-vs-centralized network siting against a recovery-rate constraint; and (3) it relies on expensive rigorous simulation, which does not scale to network-level optimization without a surrogate.</w:t>
      </w:r>
    </w:p>
    <w:p>
      <w:pPr>
        <w:pStyle w:val="Heading1"/>
      </w:pPr>
      <w:r>
        <w:t xml:space="preserve">4. Effects and Impact (Quantified)</w:t>
      </w:r>
    </w:p>
    <w:p>
      <w:pPr>
        <w:spacing w:after="100"/>
      </w:pPr>
      <w:r>
        <w:rPr>
          <w:i/>
          <w:iCs/>
          <w:color w:val="374151"/>
        </w:rPr>
        <w:t xml:space="preserve">Every recommendation maps to a measurable outcome. Targets are bounded, not point estimates, where data is limited.</w:t>
      </w:r>
    </w:p>
    <w:tbl>
      <w:tblPr>
        <w:tblW w:type="dxa" w:w="10080"/>
        <w:tblBorders>
          <w:top w:val="single" w:color="B7C0CC" w:sz="2"/>
          <w:left w:val="single" w:color="B7C0CC" w:sz="2"/>
          <w:bottom w:val="single" w:color="B7C0CC" w:sz="2"/>
          <w:right w:val="single" w:color="B7C0CC" w:sz="2"/>
          <w:insideH w:val="single" w:color="D6DCE4" w:sz="1"/>
          <w:insideV w:val="single" w:color="D6DCE4" w:sz="1"/>
        </w:tblBorders>
      </w:tblPr>
      <w:tblGrid>
        <w:gridCol w:w="3400"/>
        <w:gridCol w:w="6680"/>
      </w:tblGrid>
      <w:tr>
        <w:trPr>
          <w:tblHeader/>
        </w:trPr>
        <w:tc>
          <w:tcPr>
            <w:tcW w:type="dxa" w:w="3400"/>
            <w:shd w:fill="1F3A5F" w:color="auto" w:val="clear"/>
            <w:tcMar>
              <w:top w:type="dxa" w:w="60"/>
              <w:left w:type="dxa" w:w="90"/>
              <w:bottom w:type="dxa" w:w="60"/>
              <w:right w:type="dxa" w:w="90"/>
            </w:tcMar>
          </w:tcPr>
          <w:p>
            <w:pPr>
              <w:spacing w:after="0"/>
            </w:pPr>
            <w:r>
              <w:rPr>
                <w:b/>
                <w:bCs/>
                <w:color w:val="FFFFFF"/>
                <w:sz w:val="20"/>
                <w:szCs w:val="20"/>
              </w:rPr>
              <w:t xml:space="preserve">Metric</w:t>
            </w:r>
          </w:p>
        </w:tc>
        <w:tc>
          <w:tcPr>
            <w:tcW w:type="dxa" w:w="6680"/>
            <w:shd w:fill="1F3A5F" w:color="auto" w:val="clear"/>
            <w:tcMar>
              <w:top w:type="dxa" w:w="60"/>
              <w:left w:type="dxa" w:w="90"/>
              <w:bottom w:type="dxa" w:w="60"/>
              <w:right w:type="dxa" w:w="90"/>
            </w:tcMar>
          </w:tcPr>
          <w:p>
            <w:pPr>
              <w:spacing w:after="0"/>
            </w:pPr>
            <w:r>
              <w:rPr>
                <w:b/>
                <w:bCs/>
                <w:color w:val="FFFFFF"/>
                <w:sz w:val="20"/>
                <w:szCs w:val="20"/>
              </w:rPr>
              <w:t xml:space="preserve">Definition / target</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Total cost of diversion</w:t>
            </w:r>
          </w:p>
        </w:tc>
        <w:tc>
          <w:tcPr>
            <w:tcW w:type="dxa" w:w="6680"/>
            <w:tcMar>
              <w:top w:type="dxa" w:w="60"/>
              <w:left w:type="dxa" w:w="90"/>
              <w:bottom w:type="dxa" w:w="60"/>
              <w:right w:type="dxa" w:w="90"/>
            </w:tcMar>
          </w:tcPr>
          <w:p>
            <w:pPr>
              <w:spacing w:after="0"/>
            </w:pPr>
            <w:r>
              <w:rPr>
                <w:b w:val="false"/>
                <w:bCs w:val="false"/>
                <w:color w:val="000000"/>
                <w:sz w:val="19"/>
                <w:szCs w:val="19"/>
              </w:rPr>
              <w:t xml:space="preserve">PHP / tonne diverted (CAPEX + OPEX + transport), bounded across feedstock scenarios</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EPR compliance achievable</w:t>
            </w:r>
          </w:p>
        </w:tc>
        <w:tc>
          <w:tcPr>
            <w:tcW w:type="dxa" w:w="6680"/>
            <w:tcMar>
              <w:top w:type="dxa" w:w="60"/>
              <w:left w:type="dxa" w:w="90"/>
              <w:bottom w:type="dxa" w:w="60"/>
              <w:right w:type="dxa" w:w="90"/>
            </w:tcMar>
          </w:tcPr>
          <w:p>
            <w:pPr>
              <w:spacing w:after="0"/>
            </w:pPr>
            <w:r>
              <w:rPr>
                <w:b w:val="false"/>
                <w:bCs w:val="false"/>
                <w:color w:val="000000"/>
                <w:sz w:val="19"/>
                <w:szCs w:val="19"/>
              </w:rPr>
              <w:t xml:space="preserve">% of footprint recoverable per network configuration vs. the 60/70/80% targets</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Liquid fuel yield</w:t>
            </w:r>
          </w:p>
        </w:tc>
        <w:tc>
          <w:tcPr>
            <w:tcW w:type="dxa" w:w="6680"/>
            <w:tcMar>
              <w:top w:type="dxa" w:w="60"/>
              <w:left w:type="dxa" w:w="90"/>
              <w:bottom w:type="dxa" w:w="60"/>
              <w:right w:type="dxa" w:w="90"/>
            </w:tcMar>
          </w:tcPr>
          <w:p>
            <w:pPr>
              <w:spacing w:after="0"/>
            </w:pPr>
            <w:r>
              <w:rPr>
                <w:b w:val="false"/>
                <w:bCs w:val="false"/>
                <w:color w:val="000000"/>
                <w:sz w:val="19"/>
                <w:szCs w:val="19"/>
              </w:rPr>
              <w:t xml:space="preserve">L pyrolysis oil / tonne feed (distribution, not point estimate)</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Break-even fuel price</w:t>
            </w:r>
          </w:p>
        </w:tc>
        <w:tc>
          <w:tcPr>
            <w:tcW w:type="dxa" w:w="6680"/>
            <w:tcMar>
              <w:top w:type="dxa" w:w="60"/>
              <w:left w:type="dxa" w:w="90"/>
              <w:bottom w:type="dxa" w:w="60"/>
              <w:right w:type="dxa" w:w="90"/>
            </w:tcMar>
          </w:tcPr>
          <w:p>
            <w:pPr>
              <w:spacing w:after="0"/>
            </w:pPr>
            <w:r>
              <w:rPr>
                <w:b w:val="false"/>
                <w:bCs w:val="false"/>
                <w:color w:val="000000"/>
                <w:sz w:val="19"/>
                <w:szCs w:val="19"/>
              </w:rPr>
              <w:t xml:space="preserve">PHP / L vs. imported diesel parity</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Carbon intensity</w:t>
            </w:r>
          </w:p>
        </w:tc>
        <w:tc>
          <w:tcPr>
            <w:tcW w:type="dxa" w:w="6680"/>
            <w:tcMar>
              <w:top w:type="dxa" w:w="60"/>
              <w:left w:type="dxa" w:w="90"/>
              <w:bottom w:type="dxa" w:w="60"/>
              <w:right w:type="dxa" w:w="90"/>
            </w:tcMar>
          </w:tcPr>
          <w:p>
            <w:pPr>
              <w:spacing w:after="0"/>
            </w:pPr>
            <w:r>
              <w:rPr>
                <w:b w:val="false"/>
                <w:bCs w:val="false"/>
                <w:color w:val="000000"/>
                <w:sz w:val="19"/>
                <w:szCs w:val="19"/>
              </w:rPr>
              <w:t xml:space="preserve">kg CO2e / tonne diverted (transport + process), decentralized vs. centralized</w:t>
            </w:r>
          </w:p>
        </w:tc>
      </w:tr>
    </w:tbl>
    <w:p>
      <w:pPr>
        <w:pStyle w:val="Heading1"/>
      </w:pPr>
      <w:r>
        <w:t xml:space="preserve">5. Right Fit and Scope (Narrow)</w:t>
      </w:r>
    </w:p>
    <w:p>
      <w:pPr>
        <w:spacing w:after="100"/>
      </w:pPr>
      <w:r>
        <w:t xml:space="preserve">Narrow scope: mixed post-consumer plastics (PP/PE/PS/multilayer) at MRF/LGU catchment scale in a defined region (e.g., Metro Manila or a single province), thermal (non-catalytic) pyrolysis to liquid fuel, network of 1–N sites. Excluded: catalyst design, monomer recovery (see PL1), full plant detailed engineering. The scope is sized so the contribution is the optimization method + PH-specific design, not a materials study.</w:t>
      </w:r>
    </w:p>
    <w:p>
      <w:pPr>
        <w:pStyle w:val="Heading1"/>
      </w:pPr>
      <w:r>
        <w:t xml:space="preserve">6. Novelty Statement</w:t>
      </w:r>
    </w:p>
    <w:p>
      <w:pPr>
        <w:spacing w:after="100"/>
      </w:pPr>
      <w:r>
        <w:t xml:space="preserve">A Bayesian/Gaussian-process surrogate of a rigorous pyrolysis-plus-separation flowsheet is embedded in a spatial superstructure optimization that is solved as a stochastic/robust program over empirically-characterized Philippine feedstock composition uncertainty, subject to the EPR recovery-rate constraint. The defensible contribution is the method and the PH-specific decentralized design, not the reaction itself.</w:t>
      </w:r>
    </w:p>
    <w:p>
      <w:pPr>
        <w:pStyle w:val="Heading1"/>
      </w:pPr>
      <w:r>
        <w:t xml:space="preserve">7. Objectives</w:t>
      </w:r>
    </w:p>
    <w:p>
      <w:pPr>
        <w:pStyle w:val="Heading2"/>
      </w:pPr>
      <w:r>
        <w:t xml:space="preserve">General objective</w:t>
      </w:r>
    </w:p>
    <w:p>
      <w:pPr>
        <w:spacing w:after="100"/>
      </w:pPr>
      <w:r>
        <w:t xml:space="preserve">To design, via uncertainty-aware surrogate optimization, a decentralized mixed-plastic pyrolysis network that meets the Philippine EPR recovery trajectory at minimum total cost and carbon.</w:t>
      </w:r>
    </w:p>
    <w:p>
      <w:pPr>
        <w:pStyle w:val="Heading2"/>
      </w:pPr>
      <w:r>
        <w:t xml:space="preserve">Specific objectives</w:t>
      </w:r>
    </w:p>
    <w:p>
      <w:pPr>
        <w:spacing w:after="60"/>
      </w:pPr>
      <w:r>
        <w:rPr>
          <w:b/>
          <w:bCs/>
          <w:color w:val="2E6E63"/>
        </w:rPr>
        <w:t xml:space="preserve">O1.  </w:t>
      </w:r>
      <w:r>
        <w:t xml:space="preserve">Characterize Philippine mixed-plastic waste composition and its variance from public waste-characterization data.</w:t>
      </w:r>
    </w:p>
    <w:p>
      <w:pPr>
        <w:spacing w:after="60"/>
      </w:pPr>
      <w:r>
        <w:rPr>
          <w:b/>
          <w:bCs/>
          <w:color w:val="2E6E63"/>
        </w:rPr>
        <w:t xml:space="preserve">O2.  </w:t>
      </w:r>
      <w:r>
        <w:t xml:space="preserve">Build and verify a rigorous pyrolysis-plus-distillation flowsheet with literature-derived lumped kinetics.</w:t>
      </w:r>
    </w:p>
    <w:p>
      <w:pPr>
        <w:spacing w:after="60"/>
      </w:pPr>
      <w:r>
        <w:rPr>
          <w:b/>
          <w:bCs/>
          <w:color w:val="2E6E63"/>
        </w:rPr>
        <w:t xml:space="preserve">O3.  </w:t>
      </w:r>
      <w:r>
        <w:t xml:space="preserve">Train and validate a surrogate model that reproduces the flowsheet at a fraction of the cost.</w:t>
      </w:r>
    </w:p>
    <w:p>
      <w:pPr>
        <w:spacing w:after="60"/>
      </w:pPr>
      <w:r>
        <w:rPr>
          <w:b/>
          <w:bCs/>
          <w:color w:val="2E6E63"/>
        </w:rPr>
        <w:t xml:space="preserve">O4.  </w:t>
      </w:r>
      <w:r>
        <w:t xml:space="preserve">Formulate and solve a spatial superstructure optimization under feedstock uncertainty and the EPR constraint.</w:t>
      </w:r>
    </w:p>
    <w:p>
      <w:pPr>
        <w:spacing w:after="60"/>
      </w:pPr>
      <w:r>
        <w:rPr>
          <w:b/>
          <w:bCs/>
          <w:color w:val="2E6E63"/>
        </w:rPr>
        <w:t xml:space="preserve">O5.  </w:t>
      </w:r>
      <w:r>
        <w:t xml:space="preserve">Quantify cost, compliance, yield, and carbon for centralized vs. decentralized configurations, with sensitivity/UQ.</w:t>
      </w:r>
    </w:p>
    <w:p>
      <w:pPr>
        <w:pStyle w:val="Heading1"/>
      </w:pPr>
      <w:r>
        <w:t xml:space="preserve">8. Methodology and Model Architecture</w:t>
      </w:r>
    </w:p>
    <w:p>
      <w:pPr>
        <w:spacing w:after="70"/>
      </w:pPr>
      <w:r>
        <w:rPr>
          <w:b/>
          <w:bCs/>
        </w:rPr>
        <w:t xml:space="preserve">Step 1 — Base flowsheet: </w:t>
      </w:r>
      <w:r>
        <w:t xml:space="preserve">DWSIM yield/stoichiometric pyrolysis reactor using lumped kinetic parameters from the mixed-plastic pyrolysis literature, followed by product fractionation. Flag: neither DWSIM nor Aspen has a rigorous plastic-pyrolysis reactor; the lumped-kinetic surrogate and its uncertainty are themselves part of the contribution.</w:t>
      </w:r>
    </w:p>
    <w:p>
      <w:pPr>
        <w:spacing w:after="70"/>
      </w:pPr>
      <w:r>
        <w:rPr>
          <w:b/>
          <w:bCs/>
        </w:rPr>
        <w:t xml:space="preserve">Step 2 — Design of experiments: </w:t>
      </w:r>
      <w:r>
        <w:t xml:space="preserve">Latin-hypercube sampling over feedstock composition, temperature, and residence time to generate the surrogate training set.</w:t>
      </w:r>
    </w:p>
    <w:p>
      <w:pPr>
        <w:spacing w:after="70"/>
      </w:pPr>
      <w:r>
        <w:rPr>
          <w:b/>
          <w:bCs/>
        </w:rPr>
        <w:t xml:space="preserve">Step 3 — Surrogate: </w:t>
      </w:r>
      <w:r>
        <w:t xml:space="preserve">Gaussian-process (GPyTorch) or gradient-boosting (LightGBM) mapping conditions → yields/energy; Bayesian variant retained to propagate feedstock uncertainty.</w:t>
      </w:r>
    </w:p>
    <w:p>
      <w:pPr>
        <w:spacing w:after="70"/>
      </w:pPr>
      <w:r>
        <w:rPr>
          <w:b/>
          <w:bCs/>
        </w:rPr>
        <w:t xml:space="preserve">Step 4 — Superstructure optimization: </w:t>
      </w:r>
      <w:r>
        <w:t xml:space="preserve">Pyomo spatial model over candidate sites, capacities, and transport arcs; stochastic/robust formulation minimizing expected total cost + carbon subject to recovery-rate constraint.</w:t>
      </w:r>
    </w:p>
    <w:p>
      <w:pPr>
        <w:spacing w:after="70"/>
      </w:pPr>
      <w:r>
        <w:rPr>
          <w:b/>
          <w:bCs/>
        </w:rPr>
        <w:t xml:space="preserve">Step 5 — Economics &amp; environment: </w:t>
      </w:r>
      <w:r>
        <w:t xml:space="preserve">Techno-economic analysis (NPV/IRR, break-even fuel price) and streamlined LCA (kg CO2e/tonne) as objective components and reported outcomes.</w:t>
      </w:r>
    </w:p>
    <w:p>
      <w:pPr>
        <w:spacing w:after="100"/>
      </w:pPr>
      <w:r>
        <w:rPr>
          <w:b/>
          <w:bCs/>
        </w:rPr>
        <w:t xml:space="preserve">Software stack: </w:t>
      </w:r>
      <w:r>
        <w:t xml:space="preserve">Python (pandas, numpy), DWSIM (flowsheet), GPyTorch/scikit-learn/LightGBM (surrogate), Pyomo + open solver (superstructure), SALib (sensitivity), matplotlib/plotly (figures).</w:t>
      </w:r>
    </w:p>
    <w:p>
      <w:pPr>
        <w:pStyle w:val="Heading1"/>
      </w:pPr>
      <w:r>
        <w:t xml:space="preserve">9. Data Sources and Feasibility</w:t>
      </w:r>
    </w:p>
    <w:tbl>
      <w:tblPr>
        <w:tblW w:type="dxa" w:w="10080"/>
        <w:tblBorders>
          <w:top w:val="single" w:color="B7C0CC" w:sz="2"/>
          <w:left w:val="single" w:color="B7C0CC" w:sz="2"/>
          <w:bottom w:val="single" w:color="B7C0CC" w:sz="2"/>
          <w:right w:val="single" w:color="B7C0CC" w:sz="2"/>
          <w:insideH w:val="single" w:color="D6DCE4" w:sz="1"/>
          <w:insideV w:val="single" w:color="D6DCE4" w:sz="1"/>
        </w:tblBorders>
      </w:tblPr>
      <w:tblGrid>
        <w:gridCol w:w="2500"/>
        <w:gridCol w:w="2900"/>
        <w:gridCol w:w="1080"/>
        <w:gridCol w:w="3600"/>
      </w:tblGrid>
      <w:tr>
        <w:trPr>
          <w:tblHeader/>
        </w:trPr>
        <w:tc>
          <w:tcPr>
            <w:tcW w:type="dxa" w:w="2500"/>
            <w:shd w:fill="1F3A5F" w:color="auto" w:val="clear"/>
            <w:tcMar>
              <w:top w:type="dxa" w:w="60"/>
              <w:left w:type="dxa" w:w="90"/>
              <w:bottom w:type="dxa" w:w="60"/>
              <w:right w:type="dxa" w:w="90"/>
            </w:tcMar>
          </w:tcPr>
          <w:p>
            <w:pPr>
              <w:spacing w:after="0"/>
            </w:pPr>
            <w:r>
              <w:rPr>
                <w:b/>
                <w:bCs/>
                <w:color w:val="FFFFFF"/>
                <w:sz w:val="20"/>
                <w:szCs w:val="20"/>
              </w:rPr>
              <w:t xml:space="preserve">Data need</w:t>
            </w:r>
          </w:p>
        </w:tc>
        <w:tc>
          <w:tcPr>
            <w:tcW w:type="dxa" w:w="2900"/>
            <w:shd w:fill="1F3A5F" w:color="auto" w:val="clear"/>
            <w:tcMar>
              <w:top w:type="dxa" w:w="60"/>
              <w:left w:type="dxa" w:w="90"/>
              <w:bottom w:type="dxa" w:w="60"/>
              <w:right w:type="dxa" w:w="90"/>
            </w:tcMar>
          </w:tcPr>
          <w:p>
            <w:pPr>
              <w:spacing w:after="0"/>
            </w:pPr>
            <w:r>
              <w:rPr>
                <w:b/>
                <w:bCs/>
                <w:color w:val="FFFFFF"/>
                <w:sz w:val="20"/>
                <w:szCs w:val="20"/>
              </w:rPr>
              <w:t xml:space="preserve">Source</w:t>
            </w:r>
          </w:p>
        </w:tc>
        <w:tc>
          <w:tcPr>
            <w:tcW w:type="dxa" w:w="1080"/>
            <w:shd w:fill="1F3A5F" w:color="auto" w:val="clear"/>
            <w:tcMar>
              <w:top w:type="dxa" w:w="60"/>
              <w:left w:type="dxa" w:w="90"/>
              <w:bottom w:type="dxa" w:w="60"/>
              <w:right w:type="dxa" w:w="90"/>
            </w:tcMar>
          </w:tcPr>
          <w:p>
            <w:pPr>
              <w:spacing w:after="0"/>
            </w:pPr>
            <w:r>
              <w:rPr>
                <w:b/>
                <w:bCs/>
                <w:color w:val="FFFFFF"/>
                <w:sz w:val="20"/>
                <w:szCs w:val="20"/>
              </w:rPr>
              <w:t xml:space="preserve">Risk</w:t>
            </w:r>
          </w:p>
        </w:tc>
        <w:tc>
          <w:tcPr>
            <w:tcW w:type="dxa" w:w="3600"/>
            <w:shd w:fill="1F3A5F" w:color="auto" w:val="clear"/>
            <w:tcMar>
              <w:top w:type="dxa" w:w="60"/>
              <w:left w:type="dxa" w:w="90"/>
              <w:bottom w:type="dxa" w:w="60"/>
              <w:right w:type="dxa" w:w="90"/>
            </w:tcMar>
          </w:tcPr>
          <w:p>
            <w:pPr>
              <w:spacing w:after="0"/>
            </w:pPr>
            <w:r>
              <w:rPr>
                <w:b/>
                <w:bCs/>
                <w:color w:val="FFFFFF"/>
                <w:sz w:val="20"/>
                <w:szCs w:val="20"/>
              </w:rPr>
              <w:t xml:space="preserve">What it unlocks</w:t>
            </w:r>
          </w:p>
        </w:tc>
      </w:tr>
      <w:tr>
        <w:tc>
          <w:tcPr>
            <w:tcW w:type="dxa" w:w="2500"/>
            <w:tcMar>
              <w:top w:type="dxa" w:w="60"/>
              <w:left w:type="dxa" w:w="90"/>
              <w:bottom w:type="dxa" w:w="60"/>
              <w:right w:type="dxa" w:w="90"/>
            </w:tcMar>
          </w:tcPr>
          <w:p>
            <w:pPr>
              <w:spacing w:after="0"/>
            </w:pPr>
            <w:r>
              <w:rPr>
                <w:b w:val="false"/>
                <w:bCs w:val="false"/>
                <w:color w:val="000000"/>
                <w:sz w:val="19"/>
                <w:szCs w:val="19"/>
              </w:rPr>
              <w:t xml:space="preserve">Waste composition + variance</w:t>
            </w:r>
          </w:p>
        </w:tc>
        <w:tc>
          <w:tcPr>
            <w:tcW w:type="dxa" w:w="2900"/>
            <w:tcMar>
              <w:top w:type="dxa" w:w="60"/>
              <w:left w:type="dxa" w:w="90"/>
              <w:bottom w:type="dxa" w:w="60"/>
              <w:right w:type="dxa" w:w="90"/>
            </w:tcMar>
          </w:tcPr>
          <w:p>
            <w:pPr>
              <w:spacing w:after="0"/>
            </w:pPr>
            <w:r>
              <w:rPr>
                <w:b w:val="false"/>
                <w:bCs w:val="false"/>
                <w:color w:val="000000"/>
                <w:sz w:val="19"/>
                <w:szCs w:val="19"/>
              </w:rPr>
              <w:t xml:space="preserve">NSWMC / World Bank / LGU waste-characterization studies (public)</w:t>
            </w:r>
          </w:p>
        </w:tc>
        <w:tc>
          <w:tcPr>
            <w:tcW w:type="dxa" w:w="1080"/>
            <w:tcMar>
              <w:top w:type="dxa" w:w="60"/>
              <w:left w:type="dxa" w:w="90"/>
              <w:bottom w:type="dxa" w:w="60"/>
              <w:right w:type="dxa" w:w="90"/>
            </w:tcMar>
          </w:tcPr>
          <w:p>
            <w:pPr>
              <w:spacing w:after="0"/>
            </w:pPr>
            <w:r>
              <w:rPr>
                <w:b w:val="false"/>
                <w:bCs w:val="false"/>
                <w:color w:val="000000"/>
                <w:sz w:val="19"/>
                <w:szCs w:val="19"/>
              </w:rPr>
              <w:t xml:space="preserve">LOW</w:t>
            </w:r>
          </w:p>
        </w:tc>
        <w:tc>
          <w:tcPr>
            <w:tcW w:type="dxa" w:w="3600"/>
            <w:tcMar>
              <w:top w:type="dxa" w:w="60"/>
              <w:left w:type="dxa" w:w="90"/>
              <w:bottom w:type="dxa" w:w="60"/>
              <w:right w:type="dxa" w:w="90"/>
            </w:tcMar>
          </w:tcPr>
          <w:p>
            <w:pPr>
              <w:spacing w:after="0"/>
            </w:pPr>
            <w:r>
              <w:rPr>
                <w:b w:val="false"/>
                <w:bCs w:val="false"/>
                <w:color w:val="000000"/>
                <w:sz w:val="19"/>
                <w:szCs w:val="19"/>
              </w:rPr>
              <w:t xml:space="preserve">Feedstock scenarios + uncertainty ranges for the stochastic program</w:t>
            </w:r>
          </w:p>
        </w:tc>
      </w:tr>
      <w:tr>
        <w:tc>
          <w:tcPr>
            <w:tcW w:type="dxa" w:w="2500"/>
            <w:tcMar>
              <w:top w:type="dxa" w:w="60"/>
              <w:left w:type="dxa" w:w="90"/>
              <w:bottom w:type="dxa" w:w="60"/>
              <w:right w:type="dxa" w:w="90"/>
            </w:tcMar>
          </w:tcPr>
          <w:p>
            <w:pPr>
              <w:spacing w:after="0"/>
            </w:pPr>
            <w:r>
              <w:rPr>
                <w:b w:val="false"/>
                <w:bCs w:val="false"/>
                <w:color w:val="000000"/>
                <w:sz w:val="19"/>
                <w:szCs w:val="19"/>
              </w:rPr>
              <w:t xml:space="preserve">EPR targets + penalties</w:t>
            </w:r>
          </w:p>
        </w:tc>
        <w:tc>
          <w:tcPr>
            <w:tcW w:type="dxa" w:w="2900"/>
            <w:tcMar>
              <w:top w:type="dxa" w:w="60"/>
              <w:left w:type="dxa" w:w="90"/>
              <w:bottom w:type="dxa" w:w="60"/>
              <w:right w:type="dxa" w:w="90"/>
            </w:tcMar>
          </w:tcPr>
          <w:p>
            <w:pPr>
              <w:spacing w:after="0"/>
            </w:pPr>
            <w:r>
              <w:rPr>
                <w:b w:val="false"/>
                <w:bCs w:val="false"/>
                <w:color w:val="000000"/>
                <w:sz w:val="19"/>
                <w:szCs w:val="19"/>
              </w:rPr>
              <w:t xml:space="preserve">RA 11898, DAO 2023-02, DAO 2024-04 (public)</w:t>
            </w:r>
          </w:p>
        </w:tc>
        <w:tc>
          <w:tcPr>
            <w:tcW w:type="dxa" w:w="1080"/>
            <w:tcMar>
              <w:top w:type="dxa" w:w="60"/>
              <w:left w:type="dxa" w:w="90"/>
              <w:bottom w:type="dxa" w:w="60"/>
              <w:right w:type="dxa" w:w="90"/>
            </w:tcMar>
          </w:tcPr>
          <w:p>
            <w:pPr>
              <w:spacing w:after="0"/>
            </w:pPr>
            <w:r>
              <w:rPr>
                <w:b w:val="false"/>
                <w:bCs w:val="false"/>
                <w:color w:val="000000"/>
                <w:sz w:val="19"/>
                <w:szCs w:val="19"/>
              </w:rPr>
              <w:t xml:space="preserve">LOW</w:t>
            </w:r>
          </w:p>
        </w:tc>
        <w:tc>
          <w:tcPr>
            <w:tcW w:type="dxa" w:w="3600"/>
            <w:tcMar>
              <w:top w:type="dxa" w:w="60"/>
              <w:left w:type="dxa" w:w="90"/>
              <w:bottom w:type="dxa" w:w="60"/>
              <w:right w:type="dxa" w:w="90"/>
            </w:tcMar>
          </w:tcPr>
          <w:p>
            <w:pPr>
              <w:spacing w:after="0"/>
            </w:pPr>
            <w:r>
              <w:rPr>
                <w:b w:val="false"/>
                <w:bCs w:val="false"/>
                <w:color w:val="000000"/>
                <w:sz w:val="19"/>
                <w:szCs w:val="19"/>
              </w:rPr>
              <w:t xml:space="preserve">Hard constraint + penalty term</w:t>
            </w:r>
          </w:p>
        </w:tc>
      </w:tr>
      <w:tr>
        <w:tc>
          <w:tcPr>
            <w:tcW w:type="dxa" w:w="2500"/>
            <w:tcMar>
              <w:top w:type="dxa" w:w="60"/>
              <w:left w:type="dxa" w:w="90"/>
              <w:bottom w:type="dxa" w:w="60"/>
              <w:right w:type="dxa" w:w="90"/>
            </w:tcMar>
          </w:tcPr>
          <w:p>
            <w:pPr>
              <w:spacing w:after="0"/>
            </w:pPr>
            <w:r>
              <w:rPr>
                <w:b w:val="false"/>
                <w:bCs w:val="false"/>
                <w:color w:val="000000"/>
                <w:sz w:val="19"/>
                <w:szCs w:val="19"/>
              </w:rPr>
              <w:t xml:space="preserve">Pyrolysis kinetics/yields</w:t>
            </w:r>
          </w:p>
        </w:tc>
        <w:tc>
          <w:tcPr>
            <w:tcW w:type="dxa" w:w="2900"/>
            <w:tcMar>
              <w:top w:type="dxa" w:w="60"/>
              <w:left w:type="dxa" w:w="90"/>
              <w:bottom w:type="dxa" w:w="60"/>
              <w:right w:type="dxa" w:w="90"/>
            </w:tcMar>
          </w:tcPr>
          <w:p>
            <w:pPr>
              <w:spacing w:after="0"/>
            </w:pPr>
            <w:r>
              <w:rPr>
                <w:b w:val="false"/>
                <w:bCs w:val="false"/>
                <w:color w:val="000000"/>
                <w:sz w:val="19"/>
                <w:szCs w:val="19"/>
              </w:rPr>
              <w:t xml:space="preserve">Peer-reviewed lumped-kinetic literature</w:t>
            </w:r>
          </w:p>
        </w:tc>
        <w:tc>
          <w:tcPr>
            <w:tcW w:type="dxa" w:w="1080"/>
            <w:tcMar>
              <w:top w:type="dxa" w:w="60"/>
              <w:left w:type="dxa" w:w="90"/>
              <w:bottom w:type="dxa" w:w="60"/>
              <w:right w:type="dxa" w:w="90"/>
            </w:tcMar>
          </w:tcPr>
          <w:p>
            <w:pPr>
              <w:spacing w:after="0"/>
            </w:pPr>
            <w:r>
              <w:rPr>
                <w:b w:val="false"/>
                <w:bCs w:val="false"/>
                <w:color w:val="000000"/>
                <w:sz w:val="19"/>
                <w:szCs w:val="19"/>
              </w:rPr>
              <w:t xml:space="preserve">LOW</w:t>
            </w:r>
          </w:p>
        </w:tc>
        <w:tc>
          <w:tcPr>
            <w:tcW w:type="dxa" w:w="3600"/>
            <w:tcMar>
              <w:top w:type="dxa" w:w="60"/>
              <w:left w:type="dxa" w:w="90"/>
              <w:bottom w:type="dxa" w:w="60"/>
              <w:right w:type="dxa" w:w="90"/>
            </w:tcMar>
          </w:tcPr>
          <w:p>
            <w:pPr>
              <w:spacing w:after="0"/>
            </w:pPr>
            <w:r>
              <w:rPr>
                <w:b w:val="false"/>
                <w:bCs w:val="false"/>
                <w:color w:val="000000"/>
                <w:sz w:val="19"/>
                <w:szCs w:val="19"/>
              </w:rPr>
              <w:t xml:space="preserve">Base flowsheet + surrogate training</w:t>
            </w:r>
          </w:p>
        </w:tc>
      </w:tr>
      <w:tr>
        <w:tc>
          <w:tcPr>
            <w:tcW w:type="dxa" w:w="2500"/>
            <w:tcMar>
              <w:top w:type="dxa" w:w="60"/>
              <w:left w:type="dxa" w:w="90"/>
              <w:bottom w:type="dxa" w:w="60"/>
              <w:right w:type="dxa" w:w="90"/>
            </w:tcMar>
          </w:tcPr>
          <w:p>
            <w:pPr>
              <w:spacing w:after="0"/>
            </w:pPr>
            <w:r>
              <w:rPr>
                <w:b w:val="false"/>
                <w:bCs w:val="false"/>
                <w:color w:val="000000"/>
                <w:sz w:val="19"/>
                <w:szCs w:val="19"/>
              </w:rPr>
              <w:t xml:space="preserve">Cost/transport/energy prices</w:t>
            </w:r>
          </w:p>
        </w:tc>
        <w:tc>
          <w:tcPr>
            <w:tcW w:type="dxa" w:w="2900"/>
            <w:tcMar>
              <w:top w:type="dxa" w:w="60"/>
              <w:left w:type="dxa" w:w="90"/>
              <w:bottom w:type="dxa" w:w="60"/>
              <w:right w:type="dxa" w:w="90"/>
            </w:tcMar>
          </w:tcPr>
          <w:p>
            <w:pPr>
              <w:spacing w:after="0"/>
            </w:pPr>
            <w:r>
              <w:rPr>
                <w:b w:val="false"/>
                <w:bCs w:val="false"/>
                <w:color w:val="000000"/>
                <w:sz w:val="19"/>
                <w:szCs w:val="19"/>
              </w:rPr>
              <w:t xml:space="preserve">Vendor quotes, DOE fuel prices, public logistics rates</w:t>
            </w:r>
          </w:p>
        </w:tc>
        <w:tc>
          <w:tcPr>
            <w:tcW w:type="dxa" w:w="1080"/>
            <w:tcMar>
              <w:top w:type="dxa" w:w="60"/>
              <w:left w:type="dxa" w:w="90"/>
              <w:bottom w:type="dxa" w:w="60"/>
              <w:right w:type="dxa" w:w="90"/>
            </w:tcMar>
          </w:tcPr>
          <w:p>
            <w:pPr>
              <w:spacing w:after="0"/>
            </w:pPr>
            <w:r>
              <w:rPr>
                <w:b w:val="false"/>
                <w:bCs w:val="false"/>
                <w:color w:val="000000"/>
                <w:sz w:val="19"/>
                <w:szCs w:val="19"/>
              </w:rPr>
              <w:t xml:space="preserve">MEDIUM</w:t>
            </w:r>
          </w:p>
        </w:tc>
        <w:tc>
          <w:tcPr>
            <w:tcW w:type="dxa" w:w="3600"/>
            <w:tcMar>
              <w:top w:type="dxa" w:w="60"/>
              <w:left w:type="dxa" w:w="90"/>
              <w:bottom w:type="dxa" w:w="60"/>
              <w:right w:type="dxa" w:w="90"/>
            </w:tcMar>
          </w:tcPr>
          <w:p>
            <w:pPr>
              <w:spacing w:after="0"/>
            </w:pPr>
            <w:r>
              <w:rPr>
                <w:b w:val="false"/>
                <w:bCs w:val="false"/>
                <w:color w:val="000000"/>
                <w:sz w:val="19"/>
                <w:szCs w:val="19"/>
              </w:rPr>
              <w:t xml:space="preserve">TEA objective coefficients</w:t>
            </w:r>
          </w:p>
        </w:tc>
      </w:tr>
    </w:tbl>
    <w:p>
      <w:pPr>
        <w:pStyle w:val="Heading1"/>
      </w:pPr>
      <w:r>
        <w:t xml:space="preserve">10. Complete Thesis Outline</w:t>
      </w:r>
    </w:p>
    <w:p>
      <w:pPr>
        <w:pStyle w:val="Heading2"/>
      </w:pPr>
      <w:r>
        <w:t xml:space="preserve">1. Introduction</w:t>
      </w:r>
    </w:p>
    <w:p>
      <w:pPr>
        <w:pStyle w:val="ListParagraph"/>
        <w:numPr>
          <w:ilvl w:val="0"/>
          <w:numId w:val="2"/>
        </w:numPr>
        <w:spacing w:after="60"/>
      </w:pPr>
      <w:r>
        <w:t xml:space="preserve">Background: plastic waste and the EPR Act</w:t>
      </w:r>
    </w:p>
    <w:p>
      <w:pPr>
        <w:pStyle w:val="ListParagraph"/>
        <w:numPr>
          <w:ilvl w:val="0"/>
          <w:numId w:val="2"/>
        </w:numPr>
        <w:spacing w:after="60"/>
      </w:pPr>
      <w:r>
        <w:t xml:space="preserve">Problem statement and research questions</w:t>
      </w:r>
    </w:p>
    <w:p>
      <w:pPr>
        <w:pStyle w:val="ListParagraph"/>
        <w:numPr>
          <w:ilvl w:val="0"/>
          <w:numId w:val="2"/>
        </w:numPr>
        <w:spacing w:after="60"/>
      </w:pPr>
      <w:r>
        <w:t xml:space="preserve">Objectives (general + specific)</w:t>
      </w:r>
    </w:p>
    <w:p>
      <w:pPr>
        <w:pStyle w:val="ListParagraph"/>
        <w:numPr>
          <w:ilvl w:val="0"/>
          <w:numId w:val="2"/>
        </w:numPr>
        <w:spacing w:after="60"/>
      </w:pPr>
      <w:r>
        <w:t xml:space="preserve">Scope and delimitations</w:t>
      </w:r>
    </w:p>
    <w:p>
      <w:pPr>
        <w:pStyle w:val="ListParagraph"/>
        <w:numPr>
          <w:ilvl w:val="0"/>
          <w:numId w:val="2"/>
        </w:numPr>
        <w:spacing w:after="60"/>
      </w:pPr>
      <w:r>
        <w:t xml:space="preserve">Significance to Philippine industry and policy</w:t>
      </w:r>
    </w:p>
    <w:p>
      <w:pPr>
        <w:pStyle w:val="Heading2"/>
      </w:pPr>
      <w:r>
        <w:t xml:space="preserve">2. Review of Related Literature</w:t>
      </w:r>
    </w:p>
    <w:p>
      <w:pPr>
        <w:pStyle w:val="ListParagraph"/>
        <w:numPr>
          <w:ilvl w:val="0"/>
          <w:numId w:val="2"/>
        </w:numPr>
        <w:spacing w:after="60"/>
      </w:pPr>
      <w:r>
        <w:t xml:space="preserve">Plastic pyrolysis chemistry and lumped kinetics</w:t>
      </w:r>
    </w:p>
    <w:p>
      <w:pPr>
        <w:pStyle w:val="ListParagraph"/>
        <w:numPr>
          <w:ilvl w:val="0"/>
          <w:numId w:val="2"/>
        </w:numPr>
        <w:spacing w:after="60"/>
      </w:pPr>
      <w:r>
        <w:t xml:space="preserve">Surrogate modeling in PSE</w:t>
      </w:r>
    </w:p>
    <w:p>
      <w:pPr>
        <w:pStyle w:val="ListParagraph"/>
        <w:numPr>
          <w:ilvl w:val="0"/>
          <w:numId w:val="2"/>
        </w:numPr>
        <w:spacing w:after="60"/>
      </w:pPr>
      <w:r>
        <w:t xml:space="preserve">Superstructure/network optimization</w:t>
      </w:r>
    </w:p>
    <w:p>
      <w:pPr>
        <w:pStyle w:val="ListParagraph"/>
        <w:numPr>
          <w:ilvl w:val="0"/>
          <w:numId w:val="2"/>
        </w:numPr>
        <w:spacing w:after="60"/>
      </w:pPr>
      <w:r>
        <w:t xml:space="preserve">Optimization under uncertainty</w:t>
      </w:r>
    </w:p>
    <w:p>
      <w:pPr>
        <w:pStyle w:val="ListParagraph"/>
        <w:numPr>
          <w:ilvl w:val="0"/>
          <w:numId w:val="2"/>
        </w:numPr>
        <w:spacing w:after="60"/>
      </w:pPr>
      <w:r>
        <w:t xml:space="preserve">Synthesis and the research gap (gap matrix)</w:t>
      </w:r>
    </w:p>
    <w:p>
      <w:pPr>
        <w:pStyle w:val="Heading2"/>
      </w:pPr>
      <w:r>
        <w:t xml:space="preserve">3. Methodology</w:t>
      </w:r>
    </w:p>
    <w:p>
      <w:pPr>
        <w:pStyle w:val="ListParagraph"/>
        <w:numPr>
          <w:ilvl w:val="0"/>
          <w:numId w:val="2"/>
        </w:numPr>
        <w:spacing w:after="60"/>
      </w:pPr>
      <w:r>
        <w:t xml:space="preserve">Feedstock characterization</w:t>
      </w:r>
    </w:p>
    <w:p>
      <w:pPr>
        <w:pStyle w:val="ListParagraph"/>
        <w:numPr>
          <w:ilvl w:val="0"/>
          <w:numId w:val="2"/>
        </w:numPr>
        <w:spacing w:after="60"/>
      </w:pPr>
      <w:r>
        <w:t xml:space="preserve">Flowsheet construction and verification</w:t>
      </w:r>
    </w:p>
    <w:p>
      <w:pPr>
        <w:pStyle w:val="ListParagraph"/>
        <w:numPr>
          <w:ilvl w:val="0"/>
          <w:numId w:val="2"/>
        </w:numPr>
        <w:spacing w:after="60"/>
      </w:pPr>
      <w:r>
        <w:t xml:space="preserve">DOE and surrogate training/validation</w:t>
      </w:r>
    </w:p>
    <w:p>
      <w:pPr>
        <w:pStyle w:val="ListParagraph"/>
        <w:numPr>
          <w:ilvl w:val="0"/>
          <w:numId w:val="2"/>
        </w:numPr>
        <w:spacing w:after="60"/>
      </w:pPr>
      <w:r>
        <w:t xml:space="preserve">Superstructure formulation under uncertainty</w:t>
      </w:r>
    </w:p>
    <w:p>
      <w:pPr>
        <w:pStyle w:val="ListParagraph"/>
        <w:numPr>
          <w:ilvl w:val="0"/>
          <w:numId w:val="2"/>
        </w:numPr>
        <w:spacing w:after="60"/>
      </w:pPr>
      <w:r>
        <w:t xml:space="preserve">TEA/LCA and sensitivity/UQ plan</w:t>
      </w:r>
    </w:p>
    <w:p>
      <w:pPr>
        <w:pStyle w:val="Heading2"/>
      </w:pPr>
      <w:r>
        <w:t xml:space="preserve">4. Results and Discussion</w:t>
      </w:r>
    </w:p>
    <w:p>
      <w:pPr>
        <w:pStyle w:val="ListParagraph"/>
        <w:numPr>
          <w:ilvl w:val="0"/>
          <w:numId w:val="2"/>
        </w:numPr>
        <w:spacing w:after="60"/>
      </w:pPr>
      <w:r>
        <w:t xml:space="preserve">Surrogate accuracy and speed-up</w:t>
      </w:r>
    </w:p>
    <w:p>
      <w:pPr>
        <w:pStyle w:val="ListParagraph"/>
        <w:numPr>
          <w:ilvl w:val="0"/>
          <w:numId w:val="2"/>
        </w:numPr>
        <w:spacing w:after="60"/>
      </w:pPr>
      <w:r>
        <w:t xml:space="preserve">Optimal network configurations vs. EPR targets</w:t>
      </w:r>
    </w:p>
    <w:p>
      <w:pPr>
        <w:pStyle w:val="ListParagraph"/>
        <w:numPr>
          <w:ilvl w:val="0"/>
          <w:numId w:val="2"/>
        </w:numPr>
        <w:spacing w:after="60"/>
      </w:pPr>
      <w:r>
        <w:t xml:space="preserve">Cost/carbon/yield trade-offs</w:t>
      </w:r>
    </w:p>
    <w:p>
      <w:pPr>
        <w:pStyle w:val="ListParagraph"/>
        <w:numPr>
          <w:ilvl w:val="0"/>
          <w:numId w:val="2"/>
        </w:numPr>
        <w:spacing w:after="60"/>
      </w:pPr>
      <w:r>
        <w:t xml:space="preserve">Centralized vs. decentralized</w:t>
      </w:r>
    </w:p>
    <w:p>
      <w:pPr>
        <w:pStyle w:val="ListParagraph"/>
        <w:numPr>
          <w:ilvl w:val="0"/>
          <w:numId w:val="2"/>
        </w:numPr>
        <w:spacing w:after="60"/>
      </w:pPr>
      <w:r>
        <w:t xml:space="preserve">Sensitivity and uncertainty</w:t>
      </w:r>
    </w:p>
    <w:p>
      <w:pPr>
        <w:pStyle w:val="Heading2"/>
      </w:pPr>
      <w:r>
        <w:t xml:space="preserve">5. Conclusions and Recommendations</w:t>
      </w:r>
    </w:p>
    <w:p>
      <w:pPr>
        <w:pStyle w:val="ListParagraph"/>
        <w:numPr>
          <w:ilvl w:val="0"/>
          <w:numId w:val="2"/>
        </w:numPr>
        <w:spacing w:after="60"/>
      </w:pPr>
      <w:r>
        <w:t xml:space="preserve">Findings against objectives</w:t>
      </w:r>
    </w:p>
    <w:p>
      <w:pPr>
        <w:pStyle w:val="ListParagraph"/>
        <w:numPr>
          <w:ilvl w:val="0"/>
          <w:numId w:val="2"/>
        </w:numPr>
        <w:spacing w:after="60"/>
      </w:pPr>
      <w:r>
        <w:t xml:space="preserve">Policy/industry implications</w:t>
      </w:r>
    </w:p>
    <w:p>
      <w:pPr>
        <w:pStyle w:val="ListParagraph"/>
        <w:numPr>
          <w:ilvl w:val="0"/>
          <w:numId w:val="2"/>
        </w:numPr>
        <w:spacing w:after="60"/>
      </w:pPr>
      <w:r>
        <w:t xml:space="preserve">Limitations</w:t>
      </w:r>
    </w:p>
    <w:p>
      <w:pPr>
        <w:pStyle w:val="ListParagraph"/>
        <w:numPr>
          <w:ilvl w:val="0"/>
          <w:numId w:val="2"/>
        </w:numPr>
        <w:spacing w:after="60"/>
      </w:pPr>
      <w:r>
        <w:t xml:space="preserve">Bridge to PhD (IPIS digital-twin layer) and to the D spin-off</w:t>
      </w:r>
    </w:p>
    <w:p>
      <w:pPr>
        <w:pStyle w:val="Heading1"/>
      </w:pPr>
      <w:r>
        <w:t xml:space="preserve">11. End-to-End Thesis Lifecycle</w:t>
      </w:r>
    </w:p>
    <w:p>
      <w:pPr>
        <w:spacing w:after="100"/>
      </w:pPr>
      <w:r>
        <w:rPr>
          <w:i/>
          <w:iCs/>
          <w:color w:val="374151"/>
        </w:rPr>
        <w:t xml:space="preserve">Time is not the constraint; execution is. Phases are sequential but iterative — loop back as findings demand.</w:t>
      </w:r>
    </w:p>
    <w:tbl>
      <w:tblPr>
        <w:tblW w:type="dxa" w:w="10080"/>
        <w:tblBorders>
          <w:top w:val="single" w:color="B7C0CC" w:sz="2"/>
          <w:left w:val="single" w:color="B7C0CC" w:sz="2"/>
          <w:bottom w:val="single" w:color="B7C0CC" w:sz="2"/>
          <w:right w:val="single" w:color="B7C0CC" w:sz="2"/>
          <w:insideH w:val="single" w:color="D6DCE4" w:sz="1"/>
          <w:insideV w:val="single" w:color="D6DCE4" w:sz="1"/>
        </w:tblBorders>
      </w:tblPr>
      <w:tblGrid>
        <w:gridCol w:w="700"/>
        <w:gridCol w:w="1750"/>
        <w:gridCol w:w="3550"/>
        <w:gridCol w:w="2400"/>
        <w:gridCol w:w="1680"/>
      </w:tblGrid>
      <w:tr>
        <w:trPr>
          <w:tblHeader/>
        </w:trPr>
        <w:tc>
          <w:tcPr>
            <w:tcW w:type="dxa" w:w="700"/>
            <w:shd w:fill="1F3A5F" w:color="auto" w:val="clear"/>
            <w:tcMar>
              <w:top w:type="dxa" w:w="60"/>
              <w:left w:type="dxa" w:w="90"/>
              <w:bottom w:type="dxa" w:w="60"/>
              <w:right w:type="dxa" w:w="90"/>
            </w:tcMar>
          </w:tcPr>
          <w:p>
            <w:pPr>
              <w:spacing w:after="0"/>
            </w:pPr>
            <w:r>
              <w:rPr>
                <w:b/>
                <w:bCs/>
                <w:color w:val="FFFFFF"/>
                <w:sz w:val="20"/>
                <w:szCs w:val="20"/>
              </w:rPr>
              <w:t xml:space="preserve">Phase</w:t>
            </w:r>
          </w:p>
        </w:tc>
        <w:tc>
          <w:tcPr>
            <w:tcW w:type="dxa" w:w="1750"/>
            <w:shd w:fill="1F3A5F" w:color="auto" w:val="clear"/>
            <w:tcMar>
              <w:top w:type="dxa" w:w="60"/>
              <w:left w:type="dxa" w:w="90"/>
              <w:bottom w:type="dxa" w:w="60"/>
              <w:right w:type="dxa" w:w="90"/>
            </w:tcMar>
          </w:tcPr>
          <w:p>
            <w:pPr>
              <w:spacing w:after="0"/>
            </w:pPr>
            <w:r>
              <w:rPr>
                <w:b/>
                <w:bCs/>
                <w:color w:val="FFFFFF"/>
                <w:sz w:val="20"/>
                <w:szCs w:val="20"/>
              </w:rPr>
              <w:t xml:space="preserve">Focus</w:t>
            </w:r>
          </w:p>
        </w:tc>
        <w:tc>
          <w:tcPr>
            <w:tcW w:type="dxa" w:w="3550"/>
            <w:shd w:fill="1F3A5F" w:color="auto" w:val="clear"/>
            <w:tcMar>
              <w:top w:type="dxa" w:w="60"/>
              <w:left w:type="dxa" w:w="90"/>
              <w:bottom w:type="dxa" w:w="60"/>
              <w:right w:type="dxa" w:w="90"/>
            </w:tcMar>
          </w:tcPr>
          <w:p>
            <w:pPr>
              <w:spacing w:after="0"/>
            </w:pPr>
            <w:r>
              <w:rPr>
                <w:b/>
                <w:bCs/>
                <w:color w:val="FFFFFF"/>
                <w:sz w:val="20"/>
                <w:szCs w:val="20"/>
              </w:rPr>
              <w:t xml:space="preserve">Key activities</w:t>
            </w:r>
          </w:p>
        </w:tc>
        <w:tc>
          <w:tcPr>
            <w:tcW w:type="dxa" w:w="2400"/>
            <w:shd w:fill="1F3A5F" w:color="auto" w:val="clear"/>
            <w:tcMar>
              <w:top w:type="dxa" w:w="60"/>
              <w:left w:type="dxa" w:w="90"/>
              <w:bottom w:type="dxa" w:w="60"/>
              <w:right w:type="dxa" w:w="90"/>
            </w:tcMar>
          </w:tcPr>
          <w:p>
            <w:pPr>
              <w:spacing w:after="0"/>
            </w:pPr>
            <w:r>
              <w:rPr>
                <w:b/>
                <w:bCs/>
                <w:color w:val="FFFFFF"/>
                <w:sz w:val="20"/>
                <w:szCs w:val="20"/>
              </w:rPr>
              <w:t xml:space="preserve">Deliverable</w:t>
            </w:r>
          </w:p>
        </w:tc>
        <w:tc>
          <w:tcPr>
            <w:tcW w:type="dxa" w:w="1680"/>
            <w:shd w:fill="1F3A5F" w:color="auto" w:val="clear"/>
            <w:tcMar>
              <w:top w:type="dxa" w:w="60"/>
              <w:left w:type="dxa" w:w="90"/>
              <w:bottom w:type="dxa" w:w="60"/>
              <w:right w:type="dxa" w:w="90"/>
            </w:tcMar>
          </w:tcPr>
          <w:p>
            <w:pPr>
              <w:spacing w:after="0"/>
            </w:pPr>
            <w:r>
              <w:rPr>
                <w:b/>
                <w:bCs/>
                <w:color w:val="FFFFFF"/>
                <w:sz w:val="20"/>
                <w:szCs w:val="20"/>
              </w:rPr>
              <w:t xml:space="preserve">Tools</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P0</w:t>
            </w:r>
          </w:p>
        </w:tc>
        <w:tc>
          <w:tcPr>
            <w:tcW w:type="dxa" w:w="1750"/>
            <w:tcMar>
              <w:top w:type="dxa" w:w="60"/>
              <w:left w:type="dxa" w:w="90"/>
              <w:bottom w:type="dxa" w:w="60"/>
              <w:right w:type="dxa" w:w="90"/>
            </w:tcMar>
          </w:tcPr>
          <w:p>
            <w:pPr>
              <w:spacing w:after="0"/>
            </w:pPr>
            <w:r>
              <w:rPr>
                <w:b w:val="false"/>
                <w:bCs w:val="false"/>
                <w:color w:val="000000"/>
                <w:sz w:val="19"/>
                <w:szCs w:val="19"/>
              </w:rPr>
              <w:t xml:space="preserve">Repository &amp; environment setup</w:t>
            </w:r>
          </w:p>
        </w:tc>
        <w:tc>
          <w:tcPr>
            <w:tcW w:type="dxa" w:w="3550"/>
            <w:tcMar>
              <w:top w:type="dxa" w:w="60"/>
              <w:left w:type="dxa" w:w="90"/>
              <w:bottom w:type="dxa" w:w="60"/>
              <w:right w:type="dxa" w:w="90"/>
            </w:tcMar>
          </w:tcPr>
          <w:p>
            <w:pPr>
              <w:spacing w:after="0"/>
            </w:pPr>
            <w:r>
              <w:rPr>
                <w:b w:val="false"/>
                <w:bCs w:val="false"/>
                <w:color w:val="000000"/>
                <w:sz w:val="19"/>
                <w:szCs w:val="19"/>
              </w:rPr>
              <w:t xml:space="preserve">Create the dedicated GitHub repo and a dedicated Claude session; scaffold folders; pin this prospectus as the session brief.</w:t>
            </w:r>
          </w:p>
        </w:tc>
        <w:tc>
          <w:tcPr>
            <w:tcW w:type="dxa" w:w="2400"/>
            <w:tcMar>
              <w:top w:type="dxa" w:w="60"/>
              <w:left w:type="dxa" w:w="90"/>
              <w:bottom w:type="dxa" w:w="60"/>
              <w:right w:type="dxa" w:w="90"/>
            </w:tcMar>
          </w:tcPr>
          <w:p>
            <w:pPr>
              <w:spacing w:after="0"/>
            </w:pPr>
            <w:r>
              <w:rPr>
                <w:b w:val="false"/>
                <w:bCs w:val="false"/>
                <w:color w:val="000000"/>
                <w:sz w:val="19"/>
                <w:szCs w:val="19"/>
              </w:rPr>
              <w:t xml:space="preserve">README, environment.yml, folder scaffold, CITATION.cff</w:t>
            </w:r>
          </w:p>
        </w:tc>
        <w:tc>
          <w:tcPr>
            <w:tcW w:type="dxa" w:w="1680"/>
            <w:tcMar>
              <w:top w:type="dxa" w:w="60"/>
              <w:left w:type="dxa" w:w="90"/>
              <w:bottom w:type="dxa" w:w="60"/>
              <w:right w:type="dxa" w:w="90"/>
            </w:tcMar>
          </w:tcPr>
          <w:p>
            <w:pPr>
              <w:spacing w:after="0"/>
            </w:pPr>
            <w:r>
              <w:rPr>
                <w:b w:val="false"/>
                <w:bCs w:val="false"/>
                <w:color w:val="000000"/>
                <w:sz w:val="19"/>
                <w:szCs w:val="19"/>
              </w:rPr>
              <w:t xml:space="preserve">GitHub, conda/venv, Claude</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P1</w:t>
            </w:r>
          </w:p>
        </w:tc>
        <w:tc>
          <w:tcPr>
            <w:tcW w:type="dxa" w:w="1750"/>
            <w:tcMar>
              <w:top w:type="dxa" w:w="60"/>
              <w:left w:type="dxa" w:w="90"/>
              <w:bottom w:type="dxa" w:w="60"/>
              <w:right w:type="dxa" w:w="90"/>
            </w:tcMar>
          </w:tcPr>
          <w:p>
            <w:pPr>
              <w:spacing w:after="0"/>
            </w:pPr>
            <w:r>
              <w:rPr>
                <w:b w:val="false"/>
                <w:bCs w:val="false"/>
                <w:color w:val="000000"/>
                <w:sz w:val="19"/>
                <w:szCs w:val="19"/>
              </w:rPr>
              <w:t xml:space="preserve">Literature review &amp; gap consolidation</w:t>
            </w:r>
          </w:p>
        </w:tc>
        <w:tc>
          <w:tcPr>
            <w:tcW w:type="dxa" w:w="3550"/>
            <w:tcMar>
              <w:top w:type="dxa" w:w="60"/>
              <w:left w:type="dxa" w:w="90"/>
              <w:bottom w:type="dxa" w:w="60"/>
              <w:right w:type="dxa" w:w="90"/>
            </w:tcMar>
          </w:tcPr>
          <w:p>
            <w:pPr>
              <w:spacing w:after="0"/>
            </w:pPr>
            <w:r>
              <w:rPr>
                <w:b w:val="false"/>
                <w:bCs w:val="false"/>
                <w:color w:val="000000"/>
                <w:sz w:val="19"/>
                <w:szCs w:val="19"/>
              </w:rPr>
              <w:t xml:space="preserve">Systematic review; build an annotated bibliography and a gap matrix mapping each cited work to the specific gap this thesis fills.</w:t>
            </w:r>
          </w:p>
        </w:tc>
        <w:tc>
          <w:tcPr>
            <w:tcW w:type="dxa" w:w="2400"/>
            <w:tcMar>
              <w:top w:type="dxa" w:w="60"/>
              <w:left w:type="dxa" w:w="90"/>
              <w:bottom w:type="dxa" w:w="60"/>
              <w:right w:type="dxa" w:w="90"/>
            </w:tcMar>
          </w:tcPr>
          <w:p>
            <w:pPr>
              <w:spacing w:after="0"/>
            </w:pPr>
            <w:r>
              <w:rPr>
                <w:b w:val="false"/>
                <w:bCs w:val="false"/>
                <w:color w:val="000000"/>
                <w:sz w:val="19"/>
                <w:szCs w:val="19"/>
              </w:rPr>
              <w:t xml:space="preserve">Annotated bibliography + gap matrix</w:t>
            </w:r>
          </w:p>
        </w:tc>
        <w:tc>
          <w:tcPr>
            <w:tcW w:type="dxa" w:w="1680"/>
            <w:tcMar>
              <w:top w:type="dxa" w:w="60"/>
              <w:left w:type="dxa" w:w="90"/>
              <w:bottom w:type="dxa" w:w="60"/>
              <w:right w:type="dxa" w:w="90"/>
            </w:tcMar>
          </w:tcPr>
          <w:p>
            <w:pPr>
              <w:spacing w:after="0"/>
            </w:pPr>
            <w:r>
              <w:rPr>
                <w:b w:val="false"/>
                <w:bCs w:val="false"/>
                <w:color w:val="000000"/>
                <w:sz w:val="19"/>
                <w:szCs w:val="19"/>
              </w:rPr>
              <w:t xml:space="preserve">Zotero, Claude</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P2</w:t>
            </w:r>
          </w:p>
        </w:tc>
        <w:tc>
          <w:tcPr>
            <w:tcW w:type="dxa" w:w="1750"/>
            <w:tcMar>
              <w:top w:type="dxa" w:w="60"/>
              <w:left w:type="dxa" w:w="90"/>
              <w:bottom w:type="dxa" w:w="60"/>
              <w:right w:type="dxa" w:w="90"/>
            </w:tcMar>
          </w:tcPr>
          <w:p>
            <w:pPr>
              <w:spacing w:after="0"/>
            </w:pPr>
            <w:r>
              <w:rPr>
                <w:b w:val="false"/>
                <w:bCs w:val="false"/>
                <w:color w:val="000000"/>
                <w:sz w:val="19"/>
                <w:szCs w:val="19"/>
              </w:rPr>
              <w:t xml:space="preserve">Base process model build &amp; verification</w:t>
            </w:r>
          </w:p>
        </w:tc>
        <w:tc>
          <w:tcPr>
            <w:tcW w:type="dxa" w:w="3550"/>
            <w:tcMar>
              <w:top w:type="dxa" w:w="60"/>
              <w:left w:type="dxa" w:w="90"/>
              <w:bottom w:type="dxa" w:w="60"/>
              <w:right w:type="dxa" w:w="90"/>
            </w:tcMar>
          </w:tcPr>
          <w:p>
            <w:pPr>
              <w:spacing w:after="0"/>
            </w:pPr>
            <w:r>
              <w:rPr>
                <w:b w:val="false"/>
                <w:bCs w:val="false"/>
                <w:color w:val="000000"/>
                <w:sz w:val="19"/>
                <w:szCs w:val="19"/>
              </w:rPr>
              <w:t xml:space="preserve">Construct and verify the pyrolysis-plus-distillation flowsheet against published/design data before any data-driven layer is added.</w:t>
            </w:r>
          </w:p>
        </w:tc>
        <w:tc>
          <w:tcPr>
            <w:tcW w:type="dxa" w:w="2400"/>
            <w:tcMar>
              <w:top w:type="dxa" w:w="60"/>
              <w:left w:type="dxa" w:w="90"/>
              <w:bottom w:type="dxa" w:w="60"/>
              <w:right w:type="dxa" w:w="90"/>
            </w:tcMar>
          </w:tcPr>
          <w:p>
            <w:pPr>
              <w:spacing w:after="0"/>
            </w:pPr>
            <w:r>
              <w:rPr>
                <w:b w:val="false"/>
                <w:bCs w:val="false"/>
                <w:color w:val="000000"/>
                <w:sz w:val="19"/>
                <w:szCs w:val="19"/>
              </w:rPr>
              <w:t xml:space="preserve">Verified base model + verification note</w:t>
            </w:r>
          </w:p>
        </w:tc>
        <w:tc>
          <w:tcPr>
            <w:tcW w:type="dxa" w:w="1680"/>
            <w:tcMar>
              <w:top w:type="dxa" w:w="60"/>
              <w:left w:type="dxa" w:w="90"/>
              <w:bottom w:type="dxa" w:w="60"/>
              <w:right w:type="dxa" w:w="90"/>
            </w:tcMar>
          </w:tcPr>
          <w:p>
            <w:pPr>
              <w:spacing w:after="0"/>
            </w:pPr>
            <w:r>
              <w:rPr>
                <w:b w:val="false"/>
                <w:bCs w:val="false"/>
                <w:color w:val="000000"/>
                <w:sz w:val="19"/>
                <w:szCs w:val="19"/>
              </w:rPr>
              <w:t xml:space="preserve">DWSIM, Python</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P3</w:t>
            </w:r>
          </w:p>
        </w:tc>
        <w:tc>
          <w:tcPr>
            <w:tcW w:type="dxa" w:w="1750"/>
            <w:tcMar>
              <w:top w:type="dxa" w:w="60"/>
              <w:left w:type="dxa" w:w="90"/>
              <w:bottom w:type="dxa" w:w="60"/>
              <w:right w:type="dxa" w:w="90"/>
            </w:tcMar>
          </w:tcPr>
          <w:p>
            <w:pPr>
              <w:spacing w:after="0"/>
            </w:pPr>
            <w:r>
              <w:rPr>
                <w:b w:val="false"/>
                <w:bCs w:val="false"/>
                <w:color w:val="000000"/>
                <w:sz w:val="19"/>
                <w:szCs w:val="19"/>
              </w:rPr>
              <w:t xml:space="preserve">Data acquisition / generation</w:t>
            </w:r>
          </w:p>
        </w:tc>
        <w:tc>
          <w:tcPr>
            <w:tcW w:type="dxa" w:w="3550"/>
            <w:tcMar>
              <w:top w:type="dxa" w:w="60"/>
              <w:left w:type="dxa" w:w="90"/>
              <w:bottom w:type="dxa" w:w="60"/>
              <w:right w:type="dxa" w:w="90"/>
            </w:tcMar>
          </w:tcPr>
          <w:p>
            <w:pPr>
              <w:spacing w:after="0"/>
            </w:pPr>
            <w:r>
              <w:rPr>
                <w:b w:val="false"/>
                <w:bCs w:val="false"/>
                <w:color w:val="000000"/>
                <w:sz w:val="19"/>
                <w:szCs w:val="19"/>
              </w:rPr>
              <w:t xml:space="preserve">Characterize feedstock from public studies; run a Latin-hypercube DOE on the flowsheet to build the surrogate training set.</w:t>
            </w:r>
          </w:p>
        </w:tc>
        <w:tc>
          <w:tcPr>
            <w:tcW w:type="dxa" w:w="2400"/>
            <w:tcMar>
              <w:top w:type="dxa" w:w="60"/>
              <w:left w:type="dxa" w:w="90"/>
              <w:bottom w:type="dxa" w:w="60"/>
              <w:right w:type="dxa" w:w="90"/>
            </w:tcMar>
          </w:tcPr>
          <w:p>
            <w:pPr>
              <w:spacing w:after="0"/>
            </w:pPr>
            <w:r>
              <w:rPr>
                <w:b w:val="false"/>
                <w:bCs w:val="false"/>
                <w:color w:val="000000"/>
                <w:sz w:val="19"/>
                <w:szCs w:val="19"/>
              </w:rPr>
              <w:t xml:space="preserve">Curated dataset + design-of-experiments record</w:t>
            </w:r>
          </w:p>
        </w:tc>
        <w:tc>
          <w:tcPr>
            <w:tcW w:type="dxa" w:w="1680"/>
            <w:tcMar>
              <w:top w:type="dxa" w:w="60"/>
              <w:left w:type="dxa" w:w="90"/>
              <w:bottom w:type="dxa" w:w="60"/>
              <w:right w:type="dxa" w:w="90"/>
            </w:tcMar>
          </w:tcPr>
          <w:p>
            <w:pPr>
              <w:spacing w:after="0"/>
            </w:pPr>
            <w:r>
              <w:rPr>
                <w:b w:val="false"/>
                <w:bCs w:val="false"/>
                <w:color w:val="000000"/>
                <w:sz w:val="19"/>
                <w:szCs w:val="19"/>
              </w:rPr>
              <w:t xml:space="preserve">pandas, numpy, SALib, DWSIM automation</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P4</w:t>
            </w:r>
          </w:p>
        </w:tc>
        <w:tc>
          <w:tcPr>
            <w:tcW w:type="dxa" w:w="1750"/>
            <w:tcMar>
              <w:top w:type="dxa" w:w="60"/>
              <w:left w:type="dxa" w:w="90"/>
              <w:bottom w:type="dxa" w:w="60"/>
              <w:right w:type="dxa" w:w="90"/>
            </w:tcMar>
          </w:tcPr>
          <w:p>
            <w:pPr>
              <w:spacing w:after="0"/>
            </w:pPr>
            <w:r>
              <w:rPr>
                <w:b w:val="false"/>
                <w:bCs w:val="false"/>
                <w:color w:val="000000"/>
                <w:sz w:val="19"/>
                <w:szCs w:val="19"/>
              </w:rPr>
              <w:t xml:space="preserve">Method-layer development</w:t>
            </w:r>
          </w:p>
        </w:tc>
        <w:tc>
          <w:tcPr>
            <w:tcW w:type="dxa" w:w="3550"/>
            <w:tcMar>
              <w:top w:type="dxa" w:w="60"/>
              <w:left w:type="dxa" w:w="90"/>
              <w:bottom w:type="dxa" w:w="60"/>
              <w:right w:type="dxa" w:w="90"/>
            </w:tcMar>
          </w:tcPr>
          <w:p>
            <w:pPr>
              <w:spacing w:after="0"/>
            </w:pPr>
            <w:r>
              <w:rPr>
                <w:b w:val="false"/>
                <w:bCs w:val="false"/>
                <w:color w:val="000000"/>
                <w:sz w:val="19"/>
                <w:szCs w:val="19"/>
              </w:rPr>
              <w:t xml:space="preserve">Develop the Bayesian/GP surrogate and the stochastic superstructure optimizer; iterate on features/formulation; version every experiment.</w:t>
            </w:r>
          </w:p>
        </w:tc>
        <w:tc>
          <w:tcPr>
            <w:tcW w:type="dxa" w:w="2400"/>
            <w:tcMar>
              <w:top w:type="dxa" w:w="60"/>
              <w:left w:type="dxa" w:w="90"/>
              <w:bottom w:type="dxa" w:w="60"/>
              <w:right w:type="dxa" w:w="90"/>
            </w:tcMar>
          </w:tcPr>
          <w:p>
            <w:pPr>
              <w:spacing w:after="0"/>
            </w:pPr>
            <w:r>
              <w:rPr>
                <w:b w:val="false"/>
                <w:bCs w:val="false"/>
                <w:color w:val="000000"/>
                <w:sz w:val="19"/>
                <w:szCs w:val="19"/>
              </w:rPr>
              <w:t xml:space="preserve">Trained/solved surrogate + optimized network design</w:t>
            </w:r>
          </w:p>
        </w:tc>
        <w:tc>
          <w:tcPr>
            <w:tcW w:type="dxa" w:w="1680"/>
            <w:tcMar>
              <w:top w:type="dxa" w:w="60"/>
              <w:left w:type="dxa" w:w="90"/>
              <w:bottom w:type="dxa" w:w="60"/>
              <w:right w:type="dxa" w:w="90"/>
            </w:tcMar>
          </w:tcPr>
          <w:p>
            <w:pPr>
              <w:spacing w:after="0"/>
            </w:pPr>
            <w:r>
              <w:rPr>
                <w:b w:val="false"/>
                <w:bCs w:val="false"/>
                <w:color w:val="000000"/>
                <w:sz w:val="19"/>
                <w:szCs w:val="19"/>
              </w:rPr>
              <w:t xml:space="preserve">GPyTorch/LightGBM, Pyomo</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P5</w:t>
            </w:r>
          </w:p>
        </w:tc>
        <w:tc>
          <w:tcPr>
            <w:tcW w:type="dxa" w:w="1750"/>
            <w:tcMar>
              <w:top w:type="dxa" w:w="60"/>
              <w:left w:type="dxa" w:w="90"/>
              <w:bottom w:type="dxa" w:w="60"/>
              <w:right w:type="dxa" w:w="90"/>
            </w:tcMar>
          </w:tcPr>
          <w:p>
            <w:pPr>
              <w:spacing w:after="0"/>
            </w:pPr>
            <w:r>
              <w:rPr>
                <w:b w:val="false"/>
                <w:bCs w:val="false"/>
                <w:color w:val="000000"/>
                <w:sz w:val="19"/>
                <w:szCs w:val="19"/>
              </w:rPr>
              <w:t xml:space="preserve">Validation &amp; benchmarking</w:t>
            </w:r>
          </w:p>
        </w:tc>
        <w:tc>
          <w:tcPr>
            <w:tcW w:type="dxa" w:w="3550"/>
            <w:tcMar>
              <w:top w:type="dxa" w:w="60"/>
              <w:left w:type="dxa" w:w="90"/>
              <w:bottom w:type="dxa" w:w="60"/>
              <w:right w:type="dxa" w:w="90"/>
            </w:tcMar>
          </w:tcPr>
          <w:p>
            <w:pPr>
              <w:spacing w:after="0"/>
            </w:pPr>
            <w:r>
              <w:rPr>
                <w:b w:val="false"/>
                <w:bCs w:val="false"/>
                <w:color w:val="000000"/>
                <w:sz w:val="19"/>
                <w:szCs w:val="19"/>
              </w:rPr>
              <w:t xml:space="preserve">Validate against held-out flowsheet runs and a deterministic baseline; benchmark versus a naive baseline; report error and generalisation bounds.</w:t>
            </w:r>
          </w:p>
        </w:tc>
        <w:tc>
          <w:tcPr>
            <w:tcW w:type="dxa" w:w="2400"/>
            <w:tcMar>
              <w:top w:type="dxa" w:w="60"/>
              <w:left w:type="dxa" w:w="90"/>
              <w:bottom w:type="dxa" w:w="60"/>
              <w:right w:type="dxa" w:w="90"/>
            </w:tcMar>
          </w:tcPr>
          <w:p>
            <w:pPr>
              <w:spacing w:after="0"/>
            </w:pPr>
            <w:r>
              <w:rPr>
                <w:b w:val="false"/>
                <w:bCs w:val="false"/>
                <w:color w:val="000000"/>
                <w:sz w:val="19"/>
                <w:szCs w:val="19"/>
              </w:rPr>
              <w:t xml:space="preserve">Validation &amp; benchmarking report</w:t>
            </w:r>
          </w:p>
        </w:tc>
        <w:tc>
          <w:tcPr>
            <w:tcW w:type="dxa" w:w="1680"/>
            <w:tcMar>
              <w:top w:type="dxa" w:w="60"/>
              <w:left w:type="dxa" w:w="90"/>
              <w:bottom w:type="dxa" w:w="60"/>
              <w:right w:type="dxa" w:w="90"/>
            </w:tcMar>
          </w:tcPr>
          <w:p>
            <w:pPr>
              <w:spacing w:after="0"/>
            </w:pPr>
            <w:r>
              <w:rPr>
                <w:b w:val="false"/>
                <w:bCs w:val="false"/>
                <w:color w:val="000000"/>
                <w:sz w:val="19"/>
                <w:szCs w:val="19"/>
              </w:rPr>
              <w:t xml:space="preserve">scikit-learn, scipy, matplotlib</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P6</w:t>
            </w:r>
          </w:p>
        </w:tc>
        <w:tc>
          <w:tcPr>
            <w:tcW w:type="dxa" w:w="1750"/>
            <w:tcMar>
              <w:top w:type="dxa" w:w="60"/>
              <w:left w:type="dxa" w:w="90"/>
              <w:bottom w:type="dxa" w:w="60"/>
              <w:right w:type="dxa" w:w="90"/>
            </w:tcMar>
          </w:tcPr>
          <w:p>
            <w:pPr>
              <w:spacing w:after="0"/>
            </w:pPr>
            <w:r>
              <w:rPr>
                <w:b w:val="false"/>
                <w:bCs w:val="false"/>
                <w:color w:val="000000"/>
                <w:sz w:val="19"/>
                <w:szCs w:val="19"/>
              </w:rPr>
              <w:t xml:space="preserve">Sensitivity, uncertainty &amp; economics</w:t>
            </w:r>
          </w:p>
        </w:tc>
        <w:tc>
          <w:tcPr>
            <w:tcW w:type="dxa" w:w="3550"/>
            <w:tcMar>
              <w:top w:type="dxa" w:w="60"/>
              <w:left w:type="dxa" w:w="90"/>
              <w:bottom w:type="dxa" w:w="60"/>
              <w:right w:type="dxa" w:w="90"/>
            </w:tcMar>
          </w:tcPr>
          <w:p>
            <w:pPr>
              <w:spacing w:after="0"/>
            </w:pPr>
            <w:r>
              <w:rPr>
                <w:b w:val="false"/>
                <w:bCs w:val="false"/>
                <w:color w:val="000000"/>
                <w:sz w:val="19"/>
                <w:szCs w:val="19"/>
              </w:rPr>
              <w:t xml:space="preserve">Global sensitivity + uncertainty quantification; techno-economic analysis (NPV/IRR, break-even price) and streamlined LCA.</w:t>
            </w:r>
          </w:p>
        </w:tc>
        <w:tc>
          <w:tcPr>
            <w:tcW w:type="dxa" w:w="2400"/>
            <w:tcMar>
              <w:top w:type="dxa" w:w="60"/>
              <w:left w:type="dxa" w:w="90"/>
              <w:bottom w:type="dxa" w:w="60"/>
              <w:right w:type="dxa" w:w="90"/>
            </w:tcMar>
          </w:tcPr>
          <w:p>
            <w:pPr>
              <w:spacing w:after="0"/>
            </w:pPr>
            <w:r>
              <w:rPr>
                <w:b w:val="false"/>
                <w:bCs w:val="false"/>
                <w:color w:val="000000"/>
                <w:sz w:val="19"/>
                <w:szCs w:val="19"/>
              </w:rPr>
              <w:t xml:space="preserve">Sensitivity/UQ analysis + economics</w:t>
            </w:r>
          </w:p>
        </w:tc>
        <w:tc>
          <w:tcPr>
            <w:tcW w:type="dxa" w:w="1680"/>
            <w:tcMar>
              <w:top w:type="dxa" w:w="60"/>
              <w:left w:type="dxa" w:w="90"/>
              <w:bottom w:type="dxa" w:w="60"/>
              <w:right w:type="dxa" w:w="90"/>
            </w:tcMar>
          </w:tcPr>
          <w:p>
            <w:pPr>
              <w:spacing w:after="0"/>
            </w:pPr>
            <w:r>
              <w:rPr>
                <w:b w:val="false"/>
                <w:bCs w:val="false"/>
                <w:color w:val="000000"/>
                <w:sz w:val="19"/>
                <w:szCs w:val="19"/>
              </w:rPr>
              <w:t xml:space="preserve">SALib, pyomo, matplotlib</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P7</w:t>
            </w:r>
          </w:p>
        </w:tc>
        <w:tc>
          <w:tcPr>
            <w:tcW w:type="dxa" w:w="1750"/>
            <w:tcMar>
              <w:top w:type="dxa" w:w="60"/>
              <w:left w:type="dxa" w:w="90"/>
              <w:bottom w:type="dxa" w:w="60"/>
              <w:right w:type="dxa" w:w="90"/>
            </w:tcMar>
          </w:tcPr>
          <w:p>
            <w:pPr>
              <w:spacing w:after="0"/>
            </w:pPr>
            <w:r>
              <w:rPr>
                <w:b w:val="false"/>
                <w:bCs w:val="false"/>
                <w:color w:val="000000"/>
                <w:sz w:val="19"/>
                <w:szCs w:val="19"/>
              </w:rPr>
              <w:t xml:space="preserve">Manuscript drafting</w:t>
            </w:r>
          </w:p>
        </w:tc>
        <w:tc>
          <w:tcPr>
            <w:tcW w:type="dxa" w:w="3550"/>
            <w:tcMar>
              <w:top w:type="dxa" w:w="60"/>
              <w:left w:type="dxa" w:w="90"/>
              <w:bottom w:type="dxa" w:w="60"/>
              <w:right w:type="dxa" w:w="90"/>
            </w:tcMar>
          </w:tcPr>
          <w:p>
            <w:pPr>
              <w:spacing w:after="0"/>
            </w:pPr>
            <w:r>
              <w:rPr>
                <w:b w:val="false"/>
                <w:bCs w:val="false"/>
                <w:color w:val="000000"/>
                <w:sz w:val="19"/>
                <w:szCs w:val="19"/>
              </w:rPr>
              <w:t xml:space="preserve">Draft the thesis chapters and, in parallel, the target-journal manuscript; keep figures reproducible from /src.</w:t>
            </w:r>
          </w:p>
        </w:tc>
        <w:tc>
          <w:tcPr>
            <w:tcW w:type="dxa" w:w="2400"/>
            <w:tcMar>
              <w:top w:type="dxa" w:w="60"/>
              <w:left w:type="dxa" w:w="90"/>
              <w:bottom w:type="dxa" w:w="60"/>
              <w:right w:type="dxa" w:w="90"/>
            </w:tcMar>
          </w:tcPr>
          <w:p>
            <w:pPr>
              <w:spacing w:after="0"/>
            </w:pPr>
            <w:r>
              <w:rPr>
                <w:b w:val="false"/>
                <w:bCs w:val="false"/>
                <w:color w:val="000000"/>
                <w:sz w:val="19"/>
                <w:szCs w:val="19"/>
              </w:rPr>
              <w:t xml:space="preserve">Thesis draft + journal manuscript draft</w:t>
            </w:r>
          </w:p>
        </w:tc>
        <w:tc>
          <w:tcPr>
            <w:tcW w:type="dxa" w:w="1680"/>
            <w:tcMar>
              <w:top w:type="dxa" w:w="60"/>
              <w:left w:type="dxa" w:w="90"/>
              <w:bottom w:type="dxa" w:w="60"/>
              <w:right w:type="dxa" w:w="90"/>
            </w:tcMar>
          </w:tcPr>
          <w:p>
            <w:pPr>
              <w:spacing w:after="0"/>
            </w:pPr>
            <w:r>
              <w:rPr>
                <w:b w:val="false"/>
                <w:bCs w:val="false"/>
                <w:color w:val="000000"/>
                <w:sz w:val="19"/>
                <w:szCs w:val="19"/>
              </w:rPr>
              <w:t xml:space="preserve">docx/LaTeX, matplotlib</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P8</w:t>
            </w:r>
          </w:p>
        </w:tc>
        <w:tc>
          <w:tcPr>
            <w:tcW w:type="dxa" w:w="1750"/>
            <w:tcMar>
              <w:top w:type="dxa" w:w="60"/>
              <w:left w:type="dxa" w:w="90"/>
              <w:bottom w:type="dxa" w:w="60"/>
              <w:right w:type="dxa" w:w="90"/>
            </w:tcMar>
          </w:tcPr>
          <w:p>
            <w:pPr>
              <w:spacing w:after="0"/>
            </w:pPr>
            <w:r>
              <w:rPr>
                <w:b w:val="false"/>
                <w:bCs w:val="false"/>
                <w:color w:val="000000"/>
                <w:sz w:val="19"/>
                <w:szCs w:val="19"/>
              </w:rPr>
              <w:t xml:space="preserve">Defense preparation &amp; submission</w:t>
            </w:r>
          </w:p>
        </w:tc>
        <w:tc>
          <w:tcPr>
            <w:tcW w:type="dxa" w:w="3550"/>
            <w:tcMar>
              <w:top w:type="dxa" w:w="60"/>
              <w:left w:type="dxa" w:w="90"/>
              <w:bottom w:type="dxa" w:w="60"/>
              <w:right w:type="dxa" w:w="90"/>
            </w:tcMar>
          </w:tcPr>
          <w:p>
            <w:pPr>
              <w:spacing w:after="0"/>
            </w:pPr>
            <w:r>
              <w:rPr>
                <w:b w:val="false"/>
                <w:bCs w:val="false"/>
                <w:color w:val="000000"/>
                <w:sz w:val="19"/>
                <w:szCs w:val="19"/>
              </w:rPr>
              <w:t xml:space="preserve">Defense deck, mock defense, reviewer-style critique pass, revisions; submit thesis and journal manuscript.</w:t>
            </w:r>
          </w:p>
        </w:tc>
        <w:tc>
          <w:tcPr>
            <w:tcW w:type="dxa" w:w="2400"/>
            <w:tcMar>
              <w:top w:type="dxa" w:w="60"/>
              <w:left w:type="dxa" w:w="90"/>
              <w:bottom w:type="dxa" w:w="60"/>
              <w:right w:type="dxa" w:w="90"/>
            </w:tcMar>
          </w:tcPr>
          <w:p>
            <w:pPr>
              <w:spacing w:after="0"/>
            </w:pPr>
            <w:r>
              <w:rPr>
                <w:b w:val="false"/>
                <w:bCs w:val="false"/>
                <w:color w:val="000000"/>
                <w:sz w:val="19"/>
                <w:szCs w:val="19"/>
              </w:rPr>
              <w:t xml:space="preserve">Final thesis + submitted manuscript</w:t>
            </w:r>
          </w:p>
        </w:tc>
        <w:tc>
          <w:tcPr>
            <w:tcW w:type="dxa" w:w="1680"/>
            <w:tcMar>
              <w:top w:type="dxa" w:w="60"/>
              <w:left w:type="dxa" w:w="90"/>
              <w:bottom w:type="dxa" w:w="60"/>
              <w:right w:type="dxa" w:w="90"/>
            </w:tcMar>
          </w:tcPr>
          <w:p>
            <w:pPr>
              <w:spacing w:after="0"/>
            </w:pPr>
            <w:r>
              <w:rPr>
                <w:b w:val="false"/>
                <w:bCs w:val="false"/>
                <w:color w:val="000000"/>
                <w:sz w:val="19"/>
                <w:szCs w:val="19"/>
              </w:rPr>
              <w:t xml:space="preserve">Claude (reviewer simulation)</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P9</w:t>
            </w:r>
          </w:p>
        </w:tc>
        <w:tc>
          <w:tcPr>
            <w:tcW w:type="dxa" w:w="1750"/>
            <w:tcMar>
              <w:top w:type="dxa" w:w="60"/>
              <w:left w:type="dxa" w:w="90"/>
              <w:bottom w:type="dxa" w:w="60"/>
              <w:right w:type="dxa" w:w="90"/>
            </w:tcMar>
          </w:tcPr>
          <w:p>
            <w:pPr>
              <w:spacing w:after="0"/>
            </w:pPr>
            <w:r>
              <w:rPr>
                <w:b w:val="false"/>
                <w:bCs w:val="false"/>
                <w:color w:val="000000"/>
                <w:sz w:val="19"/>
                <w:szCs w:val="19"/>
              </w:rPr>
              <w:t xml:space="preserve">Preservation &amp; archival</w:t>
            </w:r>
          </w:p>
        </w:tc>
        <w:tc>
          <w:tcPr>
            <w:tcW w:type="dxa" w:w="3550"/>
            <w:tcMar>
              <w:top w:type="dxa" w:w="60"/>
              <w:left w:type="dxa" w:w="90"/>
              <w:bottom w:type="dxa" w:w="60"/>
              <w:right w:type="dxa" w:w="90"/>
            </w:tcMar>
          </w:tcPr>
          <w:p>
            <w:pPr>
              <w:spacing w:after="0"/>
            </w:pPr>
            <w:r>
              <w:rPr>
                <w:b w:val="false"/>
                <w:bCs w:val="false"/>
                <w:color w:val="000000"/>
                <w:sz w:val="19"/>
                <w:szCs w:val="19"/>
              </w:rPr>
              <w:t xml:space="preserve">Tag a release; mint a DOI via the Zenodo–GitHub integration BEFORE submission; freeze data provenance.</w:t>
            </w:r>
          </w:p>
        </w:tc>
        <w:tc>
          <w:tcPr>
            <w:tcW w:type="dxa" w:w="2400"/>
            <w:tcMar>
              <w:top w:type="dxa" w:w="60"/>
              <w:left w:type="dxa" w:w="90"/>
              <w:bottom w:type="dxa" w:w="60"/>
              <w:right w:type="dxa" w:w="90"/>
            </w:tcMar>
          </w:tcPr>
          <w:p>
            <w:pPr>
              <w:spacing w:after="0"/>
            </w:pPr>
            <w:r>
              <w:rPr>
                <w:b w:val="false"/>
                <w:bCs w:val="false"/>
                <w:color w:val="000000"/>
                <w:sz w:val="19"/>
                <w:szCs w:val="19"/>
              </w:rPr>
              <w:t xml:space="preserve">Tagged release + Zenodo DOI</w:t>
            </w:r>
          </w:p>
        </w:tc>
        <w:tc>
          <w:tcPr>
            <w:tcW w:type="dxa" w:w="1680"/>
            <w:tcMar>
              <w:top w:type="dxa" w:w="60"/>
              <w:left w:type="dxa" w:w="90"/>
              <w:bottom w:type="dxa" w:w="60"/>
              <w:right w:type="dxa" w:w="90"/>
            </w:tcMar>
          </w:tcPr>
          <w:p>
            <w:pPr>
              <w:spacing w:after="0"/>
            </w:pPr>
            <w:r>
              <w:rPr>
                <w:b w:val="false"/>
                <w:bCs w:val="false"/>
                <w:color w:val="000000"/>
                <w:sz w:val="19"/>
                <w:szCs w:val="19"/>
              </w:rPr>
              <w:t xml:space="preserve">GitHub Releases, Zenodo</w:t>
            </w:r>
          </w:p>
        </w:tc>
      </w:tr>
    </w:tbl>
    <w:p>
      <w:pPr>
        <w:pStyle w:val="Heading1"/>
      </w:pPr>
      <w:r>
        <w:t xml:space="preserve">12. GitHub Repository and Dedicated Claude Session Protocol</w:t>
      </w:r>
    </w:p>
    <w:p>
      <w:pPr>
        <w:spacing w:after="100"/>
      </w:pPr>
      <w:r>
        <w:rPr>
          <w:b/>
          <w:bCs/>
        </w:rPr>
        <w:t xml:space="preserve">Repository name: </w:t>
      </w:r>
      <w:r>
        <w:rPr>
          <w:b/>
          <w:bCs/>
          <w:color w:val="2E6E63"/>
        </w:rPr>
        <w:t xml:space="preserve">ipis-thesis-pyrolysis-epr</w:t>
      </w:r>
    </w:p>
    <w:p>
      <w:pPr>
        <w:spacing w:after="100"/>
      </w:pPr>
      <w:r>
        <w:t xml:space="preserve">This thesis is documented and preserved in its own repository, created at P0, before any modeling. It runs in its own dedicated Claude session so context stays clean across the 15 theses. Pin this prospectus as the session brief and advance phase by phase.</w:t>
      </w:r>
    </w:p>
    <w:p>
      <w:pPr>
        <w:pStyle w:val="Heading2"/>
      </w:pPr>
      <w:r>
        <w:t xml:space="preserve">Repository structure</w:t>
      </w:r>
    </w:p>
    <w:tbl>
      <w:tblPr>
        <w:tblW w:type="dxa" w:w="10080"/>
        <w:tblBorders>
          <w:top w:val="single" w:color="B7C0CC" w:sz="2"/>
          <w:left w:val="single" w:color="B7C0CC" w:sz="2"/>
          <w:bottom w:val="single" w:color="B7C0CC" w:sz="2"/>
          <w:right w:val="single" w:color="B7C0CC" w:sz="2"/>
          <w:insideH w:val="single" w:color="D6DCE4" w:sz="1"/>
          <w:insideV w:val="single" w:color="D6DCE4" w:sz="1"/>
        </w:tblBorders>
      </w:tblPr>
      <w:tblGrid>
        <w:gridCol w:w="2000"/>
        <w:gridCol w:w="8080"/>
      </w:tblGrid>
      <w:tr>
        <w:trPr>
          <w:tblHeader/>
        </w:trPr>
        <w:tc>
          <w:tcPr>
            <w:tcW w:type="dxa" w:w="2000"/>
            <w:shd w:fill="1F3A5F" w:color="auto" w:val="clear"/>
            <w:tcMar>
              <w:top w:type="dxa" w:w="60"/>
              <w:left w:type="dxa" w:w="90"/>
              <w:bottom w:type="dxa" w:w="60"/>
              <w:right w:type="dxa" w:w="90"/>
            </w:tcMar>
          </w:tcPr>
          <w:p>
            <w:pPr>
              <w:spacing w:after="0"/>
            </w:pPr>
            <w:r>
              <w:rPr>
                <w:b/>
                <w:bCs/>
                <w:color w:val="FFFFFF"/>
                <w:sz w:val="20"/>
                <w:szCs w:val="20"/>
              </w:rPr>
              <w:t xml:space="preserve">Folder</w:t>
            </w:r>
          </w:p>
        </w:tc>
        <w:tc>
          <w:tcPr>
            <w:tcW w:type="dxa" w:w="8080"/>
            <w:shd w:fill="1F3A5F" w:color="auto" w:val="clear"/>
            <w:tcMar>
              <w:top w:type="dxa" w:w="60"/>
              <w:left w:type="dxa" w:w="90"/>
              <w:bottom w:type="dxa" w:w="60"/>
              <w:right w:type="dxa" w:w="90"/>
            </w:tcMar>
          </w:tcPr>
          <w:p>
            <w:pPr>
              <w:spacing w:after="0"/>
            </w:pPr>
            <w:r>
              <w:rPr>
                <w:b/>
                <w:bCs/>
                <w:color w:val="FFFFFF"/>
                <w:sz w:val="20"/>
                <w:szCs w:val="20"/>
              </w:rPr>
              <w:t xml:space="preserve">Purpose</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/docs</w:t>
            </w:r>
          </w:p>
        </w:tc>
        <w:tc>
          <w:tcPr>
            <w:tcW w:type="dxa" w:w="8080"/>
            <w:tcMar>
              <w:top w:type="dxa" w:w="60"/>
              <w:left w:type="dxa" w:w="90"/>
              <w:bottom w:type="dxa" w:w="60"/>
              <w:right w:type="dxa" w:w="90"/>
            </w:tcMar>
          </w:tcPr>
          <w:p>
            <w:pPr>
              <w:spacing w:after="0"/>
            </w:pPr>
            <w:r>
              <w:rPr>
                <w:b w:val="false"/>
                <w:bCs w:val="false"/>
                <w:color w:val="000000"/>
                <w:sz w:val="19"/>
                <w:szCs w:val="19"/>
              </w:rPr>
              <w:t xml:space="preserve">Prospectus (this file), design notes, decision log, meeting notes.</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/literature</w:t>
            </w:r>
          </w:p>
        </w:tc>
        <w:tc>
          <w:tcPr>
            <w:tcW w:type="dxa" w:w="8080"/>
            <w:tcMar>
              <w:top w:type="dxa" w:w="60"/>
              <w:left w:type="dxa" w:w="90"/>
              <w:bottom w:type="dxa" w:w="60"/>
              <w:right w:type="dxa" w:w="90"/>
            </w:tcMar>
          </w:tcPr>
          <w:p>
            <w:pPr>
              <w:spacing w:after="0"/>
            </w:pPr>
            <w:r>
              <w:rPr>
                <w:b w:val="false"/>
                <w:bCs w:val="false"/>
                <w:color w:val="000000"/>
                <w:sz w:val="19"/>
                <w:szCs w:val="19"/>
              </w:rPr>
              <w:t xml:space="preserve">PDFs + the annotated bibliography and gap matrix (P1).</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/models</w:t>
            </w:r>
          </w:p>
        </w:tc>
        <w:tc>
          <w:tcPr>
            <w:tcW w:type="dxa" w:w="8080"/>
            <w:tcMar>
              <w:top w:type="dxa" w:w="60"/>
              <w:left w:type="dxa" w:w="90"/>
              <w:bottom w:type="dxa" w:w="60"/>
              <w:right w:type="dxa" w:w="90"/>
            </w:tcMar>
          </w:tcPr>
          <w:p>
            <w:pPr>
              <w:spacing w:after="0"/>
            </w:pPr>
            <w:r>
              <w:rPr>
                <w:b w:val="false"/>
                <w:bCs w:val="false"/>
                <w:color w:val="000000"/>
                <w:sz w:val="19"/>
                <w:szCs w:val="19"/>
              </w:rPr>
              <w:t xml:space="preserve">Process-simulation files (flowsheets, property-package configs) and their verification notes.</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/data</w:t>
            </w:r>
          </w:p>
        </w:tc>
        <w:tc>
          <w:tcPr>
            <w:tcW w:type="dxa" w:w="8080"/>
            <w:tcMar>
              <w:top w:type="dxa" w:w="60"/>
              <w:left w:type="dxa" w:w="90"/>
              <w:bottom w:type="dxa" w:w="60"/>
              <w:right w:type="dxa" w:w="90"/>
            </w:tcMar>
          </w:tcPr>
          <w:p>
            <w:pPr>
              <w:spacing w:after="0"/>
            </w:pPr>
            <w:r>
              <w:rPr>
                <w:b w:val="false"/>
                <w:bCs w:val="false"/>
                <w:color w:val="000000"/>
                <w:sz w:val="19"/>
                <w:szCs w:val="19"/>
              </w:rPr>
              <w:t xml:space="preserve">Datasets with a data/README documenting provenance, licence, and any transformations. No proprietary plant data is committed — see governance below.</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/notebooks</w:t>
            </w:r>
          </w:p>
        </w:tc>
        <w:tc>
          <w:tcPr>
            <w:tcW w:type="dxa" w:w="8080"/>
            <w:tcMar>
              <w:top w:type="dxa" w:w="60"/>
              <w:left w:type="dxa" w:w="90"/>
              <w:bottom w:type="dxa" w:w="60"/>
              <w:right w:type="dxa" w:w="90"/>
            </w:tcMar>
          </w:tcPr>
          <w:p>
            <w:pPr>
              <w:spacing w:after="0"/>
            </w:pPr>
            <w:r>
              <w:rPr>
                <w:b w:val="false"/>
                <w:bCs w:val="false"/>
                <w:color w:val="000000"/>
                <w:sz w:val="19"/>
                <w:szCs w:val="19"/>
              </w:rPr>
              <w:t xml:space="preserve">Exploratory Jupyter notebooks; numbered by phase (e.g., 04_surrogate_training.ipynb).</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/src</w:t>
            </w:r>
          </w:p>
        </w:tc>
        <w:tc>
          <w:tcPr>
            <w:tcW w:type="dxa" w:w="8080"/>
            <w:tcMar>
              <w:top w:type="dxa" w:w="60"/>
              <w:left w:type="dxa" w:w="90"/>
              <w:bottom w:type="dxa" w:w="60"/>
              <w:right w:type="dxa" w:w="90"/>
            </w:tcMar>
          </w:tcPr>
          <w:p>
            <w:pPr>
              <w:spacing w:after="0"/>
            </w:pPr>
            <w:r>
              <w:rPr>
                <w:b w:val="false"/>
                <w:bCs w:val="false"/>
                <w:color w:val="000000"/>
                <w:sz w:val="19"/>
                <w:szCs w:val="19"/>
              </w:rPr>
              <w:t xml:space="preserve">Production-aware, commented modules that reproduce every figure and result from raw inputs.</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/results</w:t>
            </w:r>
          </w:p>
        </w:tc>
        <w:tc>
          <w:tcPr>
            <w:tcW w:type="dxa" w:w="8080"/>
            <w:tcMar>
              <w:top w:type="dxa" w:w="60"/>
              <w:left w:type="dxa" w:w="90"/>
              <w:bottom w:type="dxa" w:w="60"/>
              <w:right w:type="dxa" w:w="90"/>
            </w:tcMar>
          </w:tcPr>
          <w:p>
            <w:pPr>
              <w:spacing w:after="0"/>
            </w:pPr>
            <w:r>
              <w:rPr>
                <w:b w:val="false"/>
                <w:bCs w:val="false"/>
                <w:color w:val="000000"/>
                <w:sz w:val="19"/>
                <w:szCs w:val="19"/>
              </w:rPr>
              <w:t xml:space="preserve">Model outputs, metrics, and serialized artifacts (surrogates, controllers, optimizers).</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/manuscript</w:t>
            </w:r>
          </w:p>
        </w:tc>
        <w:tc>
          <w:tcPr>
            <w:tcW w:type="dxa" w:w="8080"/>
            <w:tcMar>
              <w:top w:type="dxa" w:w="60"/>
              <w:left w:type="dxa" w:w="90"/>
              <w:bottom w:type="dxa" w:w="60"/>
              <w:right w:type="dxa" w:w="90"/>
            </w:tcMar>
          </w:tcPr>
          <w:p>
            <w:pPr>
              <w:spacing w:after="0"/>
            </w:pPr>
            <w:r>
              <w:rPr>
                <w:b w:val="false"/>
                <w:bCs w:val="false"/>
                <w:color w:val="000000"/>
                <w:sz w:val="19"/>
                <w:szCs w:val="19"/>
              </w:rPr>
              <w:t xml:space="preserve">Thesis chapters and the journal manuscript (Markdown/LaTeX), plus /figures.</w:t>
            </w:r>
          </w:p>
        </w:tc>
      </w:tr>
    </w:tbl>
    <w:p>
      <w:pPr>
        <w:pStyle w:val="Heading2"/>
      </w:pPr>
      <w:r>
        <w:t xml:space="preserve">Workflow</w:t>
      </w:r>
    </w:p>
    <w:p>
      <w:pPr>
        <w:pStyle w:val="ListParagraph"/>
        <w:numPr>
          <w:ilvl w:val="0"/>
          <w:numId w:val="2"/>
        </w:numPr>
        <w:spacing w:after="60"/>
      </w:pPr>
      <w:r>
        <w:t xml:space="preserve">One branch per lifecycle phase; merge to main at each phase gate.</w:t>
      </w:r>
    </w:p>
    <w:p>
      <w:pPr>
        <w:pStyle w:val="ListParagraph"/>
        <w:numPr>
          <w:ilvl w:val="0"/>
          <w:numId w:val="2"/>
        </w:numPr>
        <w:spacing w:after="60"/>
      </w:pPr>
      <w:r>
        <w:t xml:space="preserve">Conventional commits; commit early and often — the repo is the preservation record, not an afterthought.</w:t>
      </w:r>
    </w:p>
    <w:p>
      <w:pPr>
        <w:pStyle w:val="ListParagraph"/>
        <w:numPr>
          <w:ilvl w:val="0"/>
          <w:numId w:val="2"/>
        </w:numPr>
        <w:spacing w:after="60"/>
      </w:pPr>
      <w:r>
        <w:t xml:space="preserve">Tag a release at each milestone (verified base model, trained method layer, submission).</w:t>
      </w:r>
    </w:p>
    <w:p>
      <w:pPr>
        <w:pStyle w:val="ListParagraph"/>
        <w:numPr>
          <w:ilvl w:val="0"/>
          <w:numId w:val="2"/>
        </w:numPr>
        <w:spacing w:after="60"/>
      </w:pPr>
      <w:r>
        <w:t xml:space="preserve">/src must reproduce every figure and result from raw inputs; no un-scripted manual steps.</w:t>
      </w:r>
    </w:p>
    <w:p>
      <w:pPr>
        <w:pStyle w:val="Heading2"/>
      </w:pPr>
      <w:r>
        <w:t xml:space="preserve">Preservation before submission</w:t>
      </w:r>
    </w:p>
    <w:p>
      <w:pPr>
        <w:pStyle w:val="ListParagraph"/>
        <w:numPr>
          <w:ilvl w:val="0"/>
          <w:numId w:val="2"/>
        </w:numPr>
        <w:spacing w:after="60"/>
      </w:pPr>
      <w:r>
        <w:t xml:space="preserve">Connect the repository to Zenodo via the GitHub integration.</w:t>
      </w:r>
    </w:p>
    <w:p>
      <w:pPr>
        <w:pStyle w:val="ListParagraph"/>
        <w:numPr>
          <w:ilvl w:val="0"/>
          <w:numId w:val="2"/>
        </w:numPr>
        <w:spacing w:after="60"/>
      </w:pPr>
      <w:r>
        <w:t xml:space="preserve">Cut a pre-submission release; Zenodo mints a DOI for that exact snapshot.</w:t>
      </w:r>
    </w:p>
    <w:p>
      <w:pPr>
        <w:pStyle w:val="ListParagraph"/>
        <w:numPr>
          <w:ilvl w:val="0"/>
          <w:numId w:val="2"/>
        </w:numPr>
        <w:spacing w:after="60"/>
      </w:pPr>
      <w:r>
        <w:t xml:space="preserve">Cite the DOI in the thesis and the journal manuscript so the artifact is permanently referenceable.</w:t>
      </w:r>
    </w:p>
    <w:p>
      <w:pPr>
        <w:pStyle w:val="ListParagraph"/>
        <w:numPr>
          <w:ilvl w:val="0"/>
          <w:numId w:val="2"/>
        </w:numPr>
        <w:spacing w:after="60"/>
      </w:pPr>
      <w:r>
        <w:t xml:space="preserve">Freeze data provenance in data/README at the same commit.</w:t>
      </w:r>
    </w:p>
    <w:p>
      <w:pPr>
        <w:pStyle w:val="Heading2"/>
      </w:pPr>
      <w:r>
        <w:t xml:space="preserve">Data governance</w:t>
      </w:r>
    </w:p>
    <w:p>
      <w:pPr>
        <w:pStyle w:val="ListParagraph"/>
        <w:numPr>
          <w:ilvl w:val="0"/>
          <w:numId w:val="2"/>
        </w:numPr>
        <w:spacing w:after="60"/>
      </w:pPr>
      <w:r>
        <w:t xml:space="preserve">Never commit proprietary plant, partner, or company data to the public repository.</w:t>
      </w:r>
    </w:p>
    <w:p>
      <w:pPr>
        <w:pStyle w:val="ListParagraph"/>
        <w:numPr>
          <w:ilvl w:val="0"/>
          <w:numId w:val="2"/>
        </w:numPr>
        <w:spacing w:after="60"/>
      </w:pPr>
      <w:r>
        <w:t xml:space="preserve">Use .gitignore for large simulation files and raw datasets; store them locally or in a private submodule.</w:t>
      </w:r>
    </w:p>
    <w:p>
      <w:pPr>
        <w:pStyle w:val="ListParagraph"/>
        <w:numPr>
          <w:ilvl w:val="0"/>
          <w:numId w:val="2"/>
        </w:numPr>
        <w:spacing w:after="60"/>
      </w:pPr>
      <w:r>
        <w:t xml:space="preserve">Document provenance and licence for every dataset used.</w:t>
      </w:r>
    </w:p>
    <w:p>
      <w:pPr>
        <w:pStyle w:val="ListParagraph"/>
        <w:numPr>
          <w:ilvl w:val="0"/>
          <w:numId w:val="2"/>
        </w:numPr>
        <w:spacing w:after="60"/>
      </w:pPr>
      <w:r>
        <w:t xml:space="preserve">Keep any industry-partner data out of the public repo entirely.</w:t>
      </w:r>
    </w:p>
    <w:p>
      <w:pPr>
        <w:pStyle w:val="Heading1"/>
      </w:pPr>
      <w:r>
        <w:t xml:space="preserve">13. Target Journals and Publication Path</w:t>
      </w:r>
    </w:p>
    <w:p>
      <w:pPr>
        <w:spacing w:after="100"/>
      </w:pPr>
      <w:r>
        <w:rPr>
          <w:b/>
          <w:bCs/>
        </w:rPr>
        <w:t xml:space="preserve">Primary: </w:t>
      </w:r>
      <w:r>
        <w:t xml:space="preserve">Computers &amp; Chemical Engineering. </w:t>
      </w:r>
      <w:r>
        <w:rPr>
          <w:b/>
          <w:bCs/>
        </w:rPr>
        <w:t xml:space="preserve">Fallback: </w:t>
      </w:r>
      <w:r>
        <w:t xml:space="preserve">Journal of Cleaner Production / ACS Sustainable Chemistry &amp; Engineering.</w:t>
      </w:r>
    </w:p>
    <w:p>
      <w:pPr>
        <w:spacing w:after="100"/>
      </w:pPr>
      <w:r>
        <w:t xml:space="preserve">Draft the journal manuscript in parallel with the thesis chapters (P7) so submission (P8) does not become a separate project. The thesis is the long form; the paper is the distilled contribution.</w:t>
      </w:r>
    </w:p>
    <w:p>
      <w:pPr>
        <w:pStyle w:val="Heading1"/>
      </w:pPr>
      <w:r>
        <w:t xml:space="preserve">14. Key References to Pursue</w:t>
      </w:r>
    </w:p>
    <w:p>
      <w:pPr>
        <w:spacing w:after="100"/>
      </w:pPr>
      <w:r>
        <w:rPr>
          <w:i/>
          <w:iCs/>
          <w:color w:val="374151"/>
        </w:rPr>
        <w:t xml:space="preserve">Bodies of literature to review in P1. These are directions, not citations — pull exact, verifiable references during the systematic review; do not cite from memory.</w:t>
      </w:r>
    </w:p>
    <w:p>
      <w:pPr>
        <w:pStyle w:val="ListParagraph"/>
        <w:numPr>
          <w:ilvl w:val="0"/>
          <w:numId w:val="2"/>
        </w:numPr>
        <w:spacing w:after="60"/>
      </w:pPr>
      <w:r>
        <w:t xml:space="preserve">Mixed-plastic pyrolysis lumped kinetics and yields (review literature).</w:t>
      </w:r>
    </w:p>
    <w:p>
      <w:pPr>
        <w:pStyle w:val="ListParagraph"/>
        <w:numPr>
          <w:ilvl w:val="0"/>
          <w:numId w:val="2"/>
        </w:numPr>
        <w:spacing w:after="60"/>
      </w:pPr>
      <w:r>
        <w:t xml:space="preserve">Gaussian-process / surrogate-assisted optimization in process systems engineering.</w:t>
      </w:r>
    </w:p>
    <w:p>
      <w:pPr>
        <w:pStyle w:val="ListParagraph"/>
        <w:numPr>
          <w:ilvl w:val="0"/>
          <w:numId w:val="2"/>
        </w:numPr>
        <w:spacing w:after="60"/>
      </w:pPr>
      <w:r>
        <w:t xml:space="preserve">Superstructure optimization and process network synthesis.</w:t>
      </w:r>
    </w:p>
    <w:p>
      <w:pPr>
        <w:pStyle w:val="ListParagraph"/>
        <w:numPr>
          <w:ilvl w:val="0"/>
          <w:numId w:val="2"/>
        </w:numPr>
        <w:spacing w:after="60"/>
      </w:pPr>
      <w:r>
        <w:t xml:space="preserve">Stochastic and robust optimization under feedstock uncertainty.</w:t>
      </w:r>
    </w:p>
    <w:p>
      <w:pPr>
        <w:pStyle w:val="ListParagraph"/>
        <w:numPr>
          <w:ilvl w:val="0"/>
          <w:numId w:val="2"/>
        </w:numPr>
        <w:spacing w:after="60"/>
      </w:pPr>
      <w:r>
        <w:t xml:space="preserve">Philippine EPR Act (RA 11898) and DENR implementing rules; PH waste-characterization studies.</w:t>
      </w:r>
    </w:p>
    <w:p>
      <w:pPr>
        <w:pStyle w:val="Heading1"/>
      </w:pPr>
      <w:r>
        <w:t xml:space="preserve">15. Risk Register</w:t>
      </w:r>
    </w:p>
    <w:tbl>
      <w:tblPr>
        <w:tblW w:type="dxa" w:w="10080"/>
        <w:tblBorders>
          <w:top w:val="single" w:color="B7C0CC" w:sz="2"/>
          <w:left w:val="single" w:color="B7C0CC" w:sz="2"/>
          <w:bottom w:val="single" w:color="B7C0CC" w:sz="2"/>
          <w:right w:val="single" w:color="B7C0CC" w:sz="2"/>
          <w:insideH w:val="single" w:color="D6DCE4" w:sz="1"/>
          <w:insideV w:val="single" w:color="D6DCE4" w:sz="1"/>
        </w:tblBorders>
      </w:tblPr>
      <w:tblGrid>
        <w:gridCol w:w="3400"/>
        <w:gridCol w:w="6680"/>
      </w:tblGrid>
      <w:tr>
        <w:trPr>
          <w:tblHeader/>
        </w:trPr>
        <w:tc>
          <w:tcPr>
            <w:tcW w:type="dxa" w:w="3400"/>
            <w:shd w:fill="1F3A5F" w:color="auto" w:val="clear"/>
            <w:tcMar>
              <w:top w:type="dxa" w:w="60"/>
              <w:left w:type="dxa" w:w="90"/>
              <w:bottom w:type="dxa" w:w="60"/>
              <w:right w:type="dxa" w:w="90"/>
            </w:tcMar>
          </w:tcPr>
          <w:p>
            <w:pPr>
              <w:spacing w:after="0"/>
            </w:pPr>
            <w:r>
              <w:rPr>
                <w:b/>
                <w:bCs/>
                <w:color w:val="FFFFFF"/>
                <w:sz w:val="20"/>
                <w:szCs w:val="20"/>
              </w:rPr>
              <w:t xml:space="preserve">Risk</w:t>
            </w:r>
          </w:p>
        </w:tc>
        <w:tc>
          <w:tcPr>
            <w:tcW w:type="dxa" w:w="6680"/>
            <w:shd w:fill="1F3A5F" w:color="auto" w:val="clear"/>
            <w:tcMar>
              <w:top w:type="dxa" w:w="60"/>
              <w:left w:type="dxa" w:w="90"/>
              <w:bottom w:type="dxa" w:w="60"/>
              <w:right w:type="dxa" w:w="90"/>
            </w:tcMar>
          </w:tcPr>
          <w:p>
            <w:pPr>
              <w:spacing w:after="0"/>
            </w:pPr>
            <w:r>
              <w:rPr>
                <w:b/>
                <w:bCs/>
                <w:color w:val="FFFFFF"/>
                <w:sz w:val="20"/>
                <w:szCs w:val="20"/>
              </w:rPr>
              <w:t xml:space="preserve">Mitigation</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Novelty read as incremental TEA</w:t>
            </w:r>
          </w:p>
        </w:tc>
        <w:tc>
          <w:tcPr>
            <w:tcW w:type="dxa" w:w="6680"/>
            <w:tcMar>
              <w:top w:type="dxa" w:w="60"/>
              <w:left w:type="dxa" w:w="90"/>
              <w:bottom w:type="dxa" w:w="60"/>
              <w:right w:type="dxa" w:w="90"/>
            </w:tcMar>
          </w:tcPr>
          <w:p>
            <w:pPr>
              <w:spacing w:after="0"/>
            </w:pPr>
            <w:r>
              <w:rPr>
                <w:b w:val="false"/>
                <w:bCs w:val="false"/>
                <w:color w:val="000000"/>
                <w:sz w:val="19"/>
                <w:szCs w:val="19"/>
              </w:rPr>
              <w:t xml:space="preserve">Lead with the method (uncertainty-aware surrogate + spatial superstructure); frame the PH design as the application, not the contribution.</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Lumped-kinetic uncertainty attacked in review</w:t>
            </w:r>
          </w:p>
        </w:tc>
        <w:tc>
          <w:tcPr>
            <w:tcW w:type="dxa" w:w="6680"/>
            <w:tcMar>
              <w:top w:type="dxa" w:w="60"/>
              <w:left w:type="dxa" w:w="90"/>
              <w:bottom w:type="dxa" w:w="60"/>
              <w:right w:type="dxa" w:w="90"/>
            </w:tcMar>
          </w:tcPr>
          <w:p>
            <w:pPr>
              <w:spacing w:after="0"/>
            </w:pPr>
            <w:r>
              <w:rPr>
                <w:b w:val="false"/>
                <w:bCs w:val="false"/>
                <w:color w:val="000000"/>
                <w:sz w:val="19"/>
                <w:szCs w:val="19"/>
              </w:rPr>
              <w:t xml:space="preserve">Make kinetic uncertainty an explicit propagated input; include sensitivity to kinetic parameters.</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Cost/logistics data sparse</w:t>
            </w:r>
          </w:p>
        </w:tc>
        <w:tc>
          <w:tcPr>
            <w:tcW w:type="dxa" w:w="6680"/>
            <w:tcMar>
              <w:top w:type="dxa" w:w="60"/>
              <w:left w:type="dxa" w:w="90"/>
              <w:bottom w:type="dxa" w:w="60"/>
              <w:right w:type="dxa" w:w="90"/>
            </w:tcMar>
          </w:tcPr>
          <w:p>
            <w:pPr>
              <w:spacing w:after="0"/>
            </w:pPr>
            <w:r>
              <w:rPr>
                <w:b w:val="false"/>
                <w:bCs w:val="false"/>
                <w:color w:val="000000"/>
                <w:sz w:val="19"/>
                <w:szCs w:val="19"/>
              </w:rPr>
              <w:t xml:space="preserve">Use bounded ranges + scenario analysis; report results as distributions, not point values.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6B7280"/>
        <w:sz w:val="16"/>
        <w:szCs w:val="16"/>
      </w:rPr>
      <w:t xml:space="preserve">Bien Busico  —  MS Thesis Prospectus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B7280"/>
        <w:sz w:val="16"/>
        <w:szCs w:val="16"/>
      </w:rPr>
      <w:t xml:space="preserve">Idea W1 / A  •  ipis-thesis-pyrolysis-epr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Calibri" w:cs="Calibri" w:eastAsia="Calibri" w:hAnsi="Calibri"/>
      <w:b/>
      <w:bCs/>
      <w:color w:val="1F3A5F"/>
      <w:sz w:val="34"/>
      <w:szCs w:val="34"/>
    </w:rPr>
  </w:style>
  <w:style w:type="paragraph" w:styleId="Heading1">
    <w:name w:val="Heading 1"/>
    <w:basedOn w:val="Normal"/>
    <w:next w:val="Normal"/>
    <w:qFormat/>
    <w:pPr>
      <w:keepNext/>
      <w:spacing w:after="100" w:before="260"/>
      <w:outlineLvl w:val="0"/>
    </w:pPr>
    <w:rPr>
      <w:rFonts w:ascii="Calibri" w:cs="Calibri" w:eastAsia="Calibri" w:hAnsi="Calibri"/>
      <w:b/>
      <w:bCs/>
      <w:color w:val="1F3A5F"/>
      <w:sz w:val="27"/>
      <w:szCs w:val="27"/>
    </w:rPr>
  </w:style>
  <w:style w:type="paragraph" w:styleId="Heading2">
    <w:name w:val="Heading 2"/>
    <w:basedOn w:val="Normal"/>
    <w:next w:val="Normal"/>
    <w:qFormat/>
    <w:pPr>
      <w:keepNext/>
      <w:spacing w:after="60" w:before="150"/>
      <w:outlineLvl w:val="1"/>
    </w:pPr>
    <w:rPr>
      <w:rFonts w:ascii="Calibri" w:cs="Calibri" w:eastAsia="Calibri" w:hAnsi="Calibri"/>
      <w:b/>
      <w:bCs/>
      <w:color w:val="2E6E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Surrogate Optimization of Decentralized Mixed-Plastic Pyrolysis Networks for EPR-Compliant Liquid Fuel Recovery in the Philippines</dc:title>
  <dc:creator>Bien Busico</dc:creator>
  <dc:description>MS Thesis Prospectus — W1 / A</dc:description>
  <cp:lastModifiedBy>Un-named</cp:lastModifiedBy>
  <cp:revision>1</cp:revision>
  <dcterms:created xsi:type="dcterms:W3CDTF">2026-07-05T04:05:52.943Z</dcterms:created>
  <dcterms:modified xsi:type="dcterms:W3CDTF">2026-07-05T04:05:52.956Z</dcterms:modified>
</cp:coreProperties>
</file>

<file path=docProps/custom.xml><?xml version="1.0" encoding="utf-8"?>
<Properties xmlns="http://schemas.openxmlformats.org/officeDocument/2006/custom-properties" xmlns:vt="http://schemas.openxmlformats.org/officeDocument/2006/docPropsVTypes"/>
</file>