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Uncertainty-Aware Surrogate Optimization of Decentralized Mixed-Plastic Pyrolysis Networks for EPR-Compliant Liquid Fuel Recovery in the Philippines</w:t>
      </w:r>
    </w:p>
    <w:p>
      <w:pPr>
        <w:spacing w:after="60"/>
      </w:pPr>
      <w:r>
        <w:rPr>
          <w:b/>
          <w:bCs/>
          <w:color w:val="6B7280"/>
          <w:sz w:val="20"/>
          <w:szCs w:val="20"/>
        </w:rPr>
        <w:t xml:space="preserve">MS Thesis Prospectus  •  Waste / Circular economy — chemical recycling  •  Idea W1 / A</w:t>
      </w:r>
    </w:p>
    <w:p>
      <w:pPr>
        <w:spacing w:after="160"/>
      </w:pPr>
      <w:r>
        <w:rPr>
          <w:i/>
          <w:iCs/>
          <w:color w:val="374151"/>
        </w:rPr>
        <w:t xml:space="preserve">Primary MS thesis. Turns the RA 11898 compliance obligation into a spatial process-network design problem solved under real Philippine feedstock variance.</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600"/>
        <w:gridCol w:w="7480"/>
      </w:tblGrid>
      <w:tr>
        <w:trPr>
          <w:tblHeader/>
        </w:trPr>
        <w:tc>
          <w:tcPr>
            <w:tcW w:type="dxa" w:w="2600"/>
            <w:shd w:fill="1F3A5F" w:color="auto" w:val="clear"/>
            <w:tcMar>
              <w:top w:type="dxa" w:w="60"/>
              <w:left w:type="dxa" w:w="90"/>
              <w:bottom w:type="dxa" w:w="60"/>
              <w:right w:type="dxa" w:w="90"/>
            </w:tcMar>
          </w:tcPr>
          <w:p>
            <w:pPr>
              <w:spacing w:after="0"/>
            </w:pPr>
            <w:r>
              <w:rPr>
                <w:b/>
                <w:bCs/>
                <w:color w:val="FFFFFF"/>
                <w:sz w:val="20"/>
                <w:szCs w:val="20"/>
              </w:rPr>
              <w:t xml:space="preserve">Field</w:t>
            </w:r>
          </w:p>
        </w:tc>
        <w:tc>
          <w:tcPr>
            <w:tcW w:type="dxa" w:w="7480"/>
            <w:shd w:fill="1F3A5F" w:color="auto" w:val="clear"/>
            <w:tcMar>
              <w:top w:type="dxa" w:w="60"/>
              <w:left w:type="dxa" w:w="90"/>
              <w:bottom w:type="dxa" w:w="60"/>
              <w:right w:type="dxa" w:w="90"/>
            </w:tcMar>
          </w:tcPr>
          <w:p>
            <w:pPr>
              <w:spacing w:after="0"/>
            </w:pPr>
            <w:r>
              <w:rPr>
                <w:b/>
                <w:bCs/>
                <w:color w:val="FFFFFF"/>
                <w:sz w:val="20"/>
                <w:szCs w:val="20"/>
              </w:rPr>
              <w:t xml:space="preserve">Value</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Idea code</w:t>
            </w:r>
          </w:p>
        </w:tc>
        <w:tc>
          <w:tcPr>
            <w:tcW w:type="dxa" w:w="7480"/>
            <w:tcMar>
              <w:top w:type="dxa" w:w="60"/>
              <w:left w:type="dxa" w:w="90"/>
              <w:bottom w:type="dxa" w:w="60"/>
              <w:right w:type="dxa" w:w="90"/>
            </w:tcMar>
          </w:tcPr>
          <w:p>
            <w:pPr>
              <w:spacing w:after="0"/>
            </w:pPr>
            <w:r>
              <w:rPr>
                <w:b w:val="false"/>
                <w:bCs w:val="false"/>
                <w:color w:val="000000"/>
                <w:sz w:val="19"/>
                <w:szCs w:val="19"/>
              </w:rPr>
              <w:t xml:space="preserve">W1 / A</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Feasibility tier</w:t>
            </w:r>
          </w:p>
        </w:tc>
        <w:tc>
          <w:tcPr>
            <w:tcW w:type="dxa" w:w="7480"/>
            <w:tcMar>
              <w:top w:type="dxa" w:w="60"/>
              <w:left w:type="dxa" w:w="90"/>
              <w:bottom w:type="dxa" w:w="60"/>
              <w:right w:type="dxa" w:w="90"/>
            </w:tcMar>
          </w:tcPr>
          <w:p>
            <w:pPr>
              <w:spacing w:after="0"/>
            </w:pPr>
            <w:r>
              <w:rPr>
                <w:b w:val="false"/>
                <w:bCs w:val="false"/>
                <w:color w:val="000000"/>
                <w:sz w:val="19"/>
                <w:szCs w:val="19"/>
              </w:rPr>
              <w:t xml:space="preserve">PRIMARY — realistic feasible (computational, public data). This is the committed DOST-ERDT line.</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Sector</w:t>
            </w:r>
          </w:p>
        </w:tc>
        <w:tc>
          <w:tcPr>
            <w:tcW w:type="dxa" w:w="7480"/>
            <w:tcMar>
              <w:top w:type="dxa" w:w="60"/>
              <w:left w:type="dxa" w:w="90"/>
              <w:bottom w:type="dxa" w:w="60"/>
              <w:right w:type="dxa" w:w="90"/>
            </w:tcMar>
          </w:tcPr>
          <w:p>
            <w:pPr>
              <w:spacing w:after="0"/>
            </w:pPr>
            <w:r>
              <w:rPr>
                <w:b w:val="false"/>
                <w:bCs w:val="false"/>
                <w:color w:val="000000"/>
                <w:sz w:val="19"/>
                <w:szCs w:val="19"/>
              </w:rPr>
              <w:t xml:space="preserve">Waste / Circular economy — chemical recycling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Primary target journal</w:t>
            </w:r>
          </w:p>
        </w:tc>
        <w:tc>
          <w:tcPr>
            <w:tcW w:type="dxa" w:w="7480"/>
            <w:tcMar>
              <w:top w:type="dxa" w:w="60"/>
              <w:left w:type="dxa" w:w="90"/>
              <w:bottom w:type="dxa" w:w="60"/>
              <w:right w:type="dxa" w:w="90"/>
            </w:tcMar>
          </w:tcPr>
          <w:p>
            <w:pPr>
              <w:spacing w:after="0"/>
            </w:pPr>
            <w:r>
              <w:rPr>
                <w:b w:val="false"/>
                <w:bCs w:val="false"/>
                <w:color w:val="000000"/>
                <w:sz w:val="19"/>
                <w:szCs w:val="19"/>
              </w:rPr>
              <w:t xml:space="preserve">Computers &amp; Chemical Engineering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Fallback journals</w:t>
            </w:r>
          </w:p>
        </w:tc>
        <w:tc>
          <w:tcPr>
            <w:tcW w:type="dxa" w:w="7480"/>
            <w:tcMar>
              <w:top w:type="dxa" w:w="60"/>
              <w:left w:type="dxa" w:w="90"/>
              <w:bottom w:type="dxa" w:w="60"/>
              <w:right w:type="dxa" w:w="90"/>
            </w:tcMar>
          </w:tcPr>
          <w:p>
            <w:pPr>
              <w:spacing w:after="0"/>
            </w:pPr>
            <w:r>
              <w:rPr>
                <w:b w:val="false"/>
                <w:bCs w:val="false"/>
                <w:color w:val="000000"/>
                <w:sz w:val="19"/>
                <w:szCs w:val="19"/>
              </w:rPr>
              <w:t xml:space="preserve">Journal of Cleaner Production / ACS Sustainable Chemistry &amp; Engineering</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Data risk</w:t>
            </w:r>
          </w:p>
        </w:tc>
        <w:tc>
          <w:tcPr>
            <w:tcW w:type="dxa" w:w="7480"/>
            <w:tcMar>
              <w:top w:type="dxa" w:w="60"/>
              <w:left w:type="dxa" w:w="90"/>
              <w:bottom w:type="dxa" w:w="60"/>
              <w:right w:type="dxa" w:w="90"/>
            </w:tcMar>
          </w:tcPr>
          <w:p>
            <w:pPr>
              <w:spacing w:after="0"/>
            </w:pPr>
            <w:r>
              <w:rPr>
                <w:b w:val="false"/>
                <w:bCs w:val="false"/>
                <w:color w:val="000000"/>
                <w:sz w:val="19"/>
                <w:szCs w:val="19"/>
              </w:rPr>
              <w:t xml:space="preserve">LOW</w:t>
            </w:r>
          </w:p>
        </w:tc>
      </w:tr>
      <w:tr>
        <w:tc>
          <w:tcPr>
            <w:tcW w:type="dxa" w:w="2600"/>
            <w:tcMar>
              <w:top w:type="dxa" w:w="60"/>
              <w:left w:type="dxa" w:w="90"/>
              <w:bottom w:type="dxa" w:w="60"/>
              <w:right w:type="dxa" w:w="90"/>
            </w:tcMar>
          </w:tcPr>
          <w:p>
            <w:pPr>
              <w:spacing w:after="0"/>
            </w:pPr>
            <w:r>
              <w:rPr>
                <w:b w:val="false"/>
                <w:bCs w:val="false"/>
                <w:color w:val="000000"/>
                <w:sz w:val="19"/>
                <w:szCs w:val="19"/>
              </w:rPr>
              <w:t xml:space="preserve">Novelty (one line)</w:t>
            </w:r>
          </w:p>
        </w:tc>
        <w:tc>
          <w:tcPr>
            <w:tcW w:type="dxa" w:w="7480"/>
            <w:tcMar>
              <w:top w:type="dxa" w:w="60"/>
              <w:left w:type="dxa" w:w="90"/>
              <w:bottom w:type="dxa" w:w="60"/>
              <w:right w:type="dxa" w:w="90"/>
            </w:tcMar>
          </w:tcPr>
          <w:p>
            <w:pPr>
              <w:spacing w:after="0"/>
            </w:pPr>
            <w:r>
              <w:rPr>
                <w:b w:val="false"/>
                <w:bCs w:val="false"/>
                <w:color w:val="000000"/>
                <w:sz w:val="19"/>
                <w:szCs w:val="19"/>
              </w:rPr>
              <w:t xml:space="preserve">Bayesian surrogate + stochastic superstructure optimization of a decentralized network under PH feedstock uncertainty and a binding EPR recovery constraint.</w:t>
            </w:r>
          </w:p>
        </w:tc>
      </w:tr>
    </w:tbl>
    <w:p>
      <w:pPr>
        <w:spacing w:after="60" w:before="160"/>
      </w:pPr>
      <w:r>
        <w:t xml:space="preserve"/>
      </w:r>
    </w:p>
    <w:tbl>
      <w:tblPr>
        <w:tblW w:type="dxa" w:w="10080"/>
        <w:tblBorders>
          <w:top w:val="single" w:color="1F3A5F" w:sz="4"/>
          <w:left w:val="single" w:color="1F3A5F" w:sz="4"/>
          <w:bottom w:val="single" w:color="1F3A5F" w:sz="4"/>
          <w:right w:val="single" w:color="1F3A5F" w:sz="4"/>
          <w:insideH w:val="single" w:color="auto" w:sz="4"/>
          <w:insideV w:val="single" w:color="auto" w:sz="4"/>
        </w:tblBorders>
      </w:tblPr>
      <w:tblGrid>
        <w:gridCol w:w="10080"/>
      </w:tblGrid>
      <w:tr>
        <w:tc>
          <w:tcPr>
            <w:tcW w:type="dxa" w:w="10080"/>
            <w:shd w:fill="EEF2F7" w:color="auto" w:val="clear"/>
            <w:tcMar>
              <w:top w:type="dxa" w:w="120"/>
              <w:left w:type="dxa" w:w="160"/>
              <w:bottom w:type="dxa" w:w="120"/>
              <w:right w:type="dxa" w:w="160"/>
            </w:tcMar>
          </w:tcPr>
          <w:p>
            <w:pPr>
              <w:spacing w:after="80"/>
            </w:pPr>
            <w:r>
              <w:rPr>
                <w:b/>
                <w:bCs/>
                <w:color w:val="1F3A5F"/>
                <w:sz w:val="22"/>
                <w:szCs w:val="22"/>
              </w:rPr>
              <w:t xml:space="preserve">How to use this document</w:t>
            </w:r>
          </w:p>
          <w:p>
            <w:pPr>
              <w:spacing w:after="60"/>
            </w:pPr>
            <w:r>
              <w:t xml:space="preserve">This thesis has its own GitHub repository (</w:t>
            </w:r>
            <w:r>
              <w:rPr>
                <w:b/>
                <w:bCs/>
              </w:rPr>
              <w:t xml:space="preserve">ipis-thesis-pyrolysis-epr</w:t>
            </w:r>
            <w:r>
              <w:t xml:space="preserve">) and its own dedicated Claude session. Start a new Claude session named after the repository, pin this prospectus as the session brief, and work phase by phase through the End-to-End Lifecycle (P0–P9). Preserve the work with a Zenodo DOI before submission. Keep sessions separate so context does not bleed across theses.</w:t>
            </w:r>
          </w:p>
        </w:tc>
      </w:tr>
    </w:tbl>
    <w:p>
      <w:pPr>
        <w:spacing w:after="60" w:before="200"/>
      </w:pPr>
      <w:r>
        <w:rPr>
          <w:b/>
          <w:bCs/>
          <w:color w:val="1F3A5F"/>
          <w:sz w:val="24"/>
          <w:szCs w:val="2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Philippine Industry Context</w:t>
      </w:r>
    </w:p>
    <w:p>
      <w:pPr>
        <w:pStyle w:val="ListParagraph"/>
        <w:numPr>
          <w:ilvl w:val="0"/>
          <w:numId w:val="2"/>
        </w:numPr>
        <w:spacing w:after="60"/>
      </w:pPr>
      <w:r>
        <w:t xml:space="preserve">RA 11898 (EPR Act of 2022) obliges large enterprises to recover a rising share of their plastic packaging footprint: 60% for 2026, 70% for 2027, and 80% from 2028 onward. Non-compliance carries fines of PHP 5–20 million per instance.</w:t>
      </w:r>
    </w:p>
    <w:p>
      <w:pPr>
        <w:pStyle w:val="ListParagraph"/>
        <w:numPr>
          <w:ilvl w:val="0"/>
          <w:numId w:val="2"/>
        </w:numPr>
        <w:spacing w:after="60"/>
      </w:pPr>
      <w:r>
        <w:t xml:space="preserve">The Philippines generates on the order of 2.7 million tonnes of plastic annually and has effectively no domestic chemical-recycling capacity for contaminated multilayer sachet and film waste that mechanical recycling cannot process.</w:t>
      </w:r>
    </w:p>
    <w:p>
      <w:pPr>
        <w:pStyle w:val="ListParagraph"/>
        <w:numPr>
          <w:ilvl w:val="0"/>
          <w:numId w:val="2"/>
        </w:numPr>
        <w:spacing w:after="60"/>
      </w:pPr>
      <w:r>
        <w:t xml:space="preserve">Sachet-format packaging dominates the low-income retail model, so the non-mechanically-recyclable fraction is unusually large and compositionally variable across localities.</w:t>
      </w:r>
    </w:p>
    <w:p>
      <w:pPr>
        <w:pStyle w:val="Heading1"/>
      </w:pPr>
      <w:r>
        <w:t xml:space="preserve">2. Problem Statement</w:t>
      </w:r>
    </w:p>
    <w:p>
      <w:pPr>
        <w:spacing w:after="100"/>
      </w:pPr>
      <w:r>
        <w:t xml:space="preserve">Obliged enterprises must recover a legally mandated and rising share of their plastic-packaging footprint, yet the contaminated multilayer/film fraction has no compliant local end-of-life route. Pyrolysis-to-fuel is a candidate, but there is no Philippine-specific design that answers, quantitatively: at what scale and spatial configuration can a pyrolysis network satisfy the RA 11898 recovery obligation (a rising share of the plastic-packaging footprint it serves — 60% for 2026 rising to 80% by 2028) at minimum total cost and carbon, given the empirically characterized composition uncertainty of actual local waste streams?</w:t>
      </w:r>
    </w:p>
    <w:p>
      <w:pPr>
        <w:pStyle w:val="Heading1"/>
      </w:pPr>
      <w:r>
        <w:t xml:space="preserve">3. Research Gap</w:t>
      </w:r>
    </w:p>
    <w:p>
      <w:pPr>
        <w:spacing w:after="100"/>
      </w:pPr>
      <w:r>
        <w:t xml:space="preserve">The plastic-pyrolysis techno-economic literature is saturated, and recent work is more advanced than a naive gap statement suggests: composition-aware supply-chain design (Wang &amp; Maravelias, 2024) and deterministic decentralized-vs-centralized siting (Santibañez-Aguilar, 2013; Crîstiu et al., 2024) already exist. Three gaps nonetheless remain jointly unaddressed. (1) Deterministic feedstock: prior models treat composition as a known input — fixed across locations, or at most deterministically tracked through the network — never as an empirically characterized stochastic quantity whose variance is propagated into product yields. (2) Unconstrained siting: the siting question is studied deterministically but never jointly under a binding recovery obligation such as RA 11898, with composition-dependent yields. (3) Sim-only, single-scale surrogates: surrogate acceleration of flowsheet optimization is established at single-flowsheet scale but is not used to propagate feedstock-composition uncertainty into network-scale siting. The contribution is the coupling of the three: a composition-uncertainty-aware surrogate, embedded in a spatial superstructure, solved under the EPR recovery obligation.</w:t>
      </w:r>
    </w:p>
    <w:p>
      <w:pPr>
        <w:pStyle w:val="Heading1"/>
      </w:pPr>
      <w:r>
        <w:t xml:space="preserve">4. Effects and Impact (Quantified)</w:t>
      </w:r>
    </w:p>
    <w:p>
      <w:pPr>
        <w:spacing w:after="100"/>
      </w:pPr>
      <w:r>
        <w:rPr>
          <w:i/>
          <w:iCs/>
          <w:color w:val="374151"/>
        </w:rPr>
        <w:t xml:space="preserve">Every recommendation maps to a measurable outcome. Targets are bounded, not point estimates, where data is limited.</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3400"/>
        <w:gridCol w:w="6680"/>
      </w:tblGrid>
      <w:tr>
        <w:trPr>
          <w:tblHeader/>
        </w:trPr>
        <w:tc>
          <w:tcPr>
            <w:tcW w:type="dxa" w:w="3400"/>
            <w:shd w:fill="1F3A5F" w:color="auto" w:val="clear"/>
            <w:tcMar>
              <w:top w:type="dxa" w:w="60"/>
              <w:left w:type="dxa" w:w="90"/>
              <w:bottom w:type="dxa" w:w="60"/>
              <w:right w:type="dxa" w:w="90"/>
            </w:tcMar>
          </w:tcPr>
          <w:p>
            <w:pPr>
              <w:spacing w:after="0"/>
            </w:pPr>
            <w:r>
              <w:rPr>
                <w:b/>
                <w:bCs/>
                <w:color w:val="FFFFFF"/>
                <w:sz w:val="20"/>
                <w:szCs w:val="20"/>
              </w:rPr>
              <w:t xml:space="preserve">Metric</w:t>
            </w:r>
          </w:p>
        </w:tc>
        <w:tc>
          <w:tcPr>
            <w:tcW w:type="dxa" w:w="6680"/>
            <w:shd w:fill="1F3A5F" w:color="auto" w:val="clear"/>
            <w:tcMar>
              <w:top w:type="dxa" w:w="60"/>
              <w:left w:type="dxa" w:w="90"/>
              <w:bottom w:type="dxa" w:w="60"/>
              <w:right w:type="dxa" w:w="90"/>
            </w:tcMar>
          </w:tcPr>
          <w:p>
            <w:pPr>
              <w:spacing w:after="0"/>
            </w:pPr>
            <w:r>
              <w:rPr>
                <w:b/>
                <w:bCs/>
                <w:color w:val="FFFFFF"/>
                <w:sz w:val="20"/>
                <w:szCs w:val="20"/>
              </w:rPr>
              <w:t xml:space="preserve">Definition / target</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Total cost of diversion</w:t>
            </w:r>
          </w:p>
        </w:tc>
        <w:tc>
          <w:tcPr>
            <w:tcW w:type="dxa" w:w="6680"/>
            <w:tcMar>
              <w:top w:type="dxa" w:w="60"/>
              <w:left w:type="dxa" w:w="90"/>
              <w:bottom w:type="dxa" w:w="60"/>
              <w:right w:type="dxa" w:w="90"/>
            </w:tcMar>
          </w:tcPr>
          <w:p>
            <w:pPr>
              <w:spacing w:after="0"/>
            </w:pPr>
            <w:r>
              <w:rPr>
                <w:b w:val="false"/>
                <w:bCs w:val="false"/>
                <w:color w:val="000000"/>
                <w:sz w:val="19"/>
                <w:szCs w:val="19"/>
              </w:rPr>
              <w:t xml:space="preserve">PHP / tonne diverted (CAPEX + OPEX + transport), bounded across feedstock scenarios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EPR compliance achievable</w:t>
            </w:r>
          </w:p>
        </w:tc>
        <w:tc>
          <w:tcPr>
            <w:tcW w:type="dxa" w:w="6680"/>
            <w:tcMar>
              <w:top w:type="dxa" w:w="60"/>
              <w:left w:type="dxa" w:w="90"/>
              <w:bottom w:type="dxa" w:w="60"/>
              <w:right w:type="dxa" w:w="90"/>
            </w:tcMar>
          </w:tcPr>
          <w:p>
            <w:pPr>
              <w:spacing w:after="0"/>
            </w:pPr>
            <w:r>
              <w:rPr>
                <w:b w:val="false"/>
                <w:bCs w:val="false"/>
                <w:color w:val="000000"/>
                <w:sz w:val="19"/>
                <w:szCs w:val="19"/>
              </w:rPr>
              <w:t xml:space="preserve">% of footprint recoverable per network configuration vs. the 60/70/80% targets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Liquid fuel yield</w:t>
            </w:r>
          </w:p>
        </w:tc>
        <w:tc>
          <w:tcPr>
            <w:tcW w:type="dxa" w:w="6680"/>
            <w:tcMar>
              <w:top w:type="dxa" w:w="60"/>
              <w:left w:type="dxa" w:w="90"/>
              <w:bottom w:type="dxa" w:w="60"/>
              <w:right w:type="dxa" w:w="90"/>
            </w:tcMar>
          </w:tcPr>
          <w:p>
            <w:pPr>
              <w:spacing w:after="0"/>
            </w:pPr>
            <w:r>
              <w:rPr>
                <w:b w:val="false"/>
                <w:bCs w:val="false"/>
                <w:color w:val="000000"/>
                <w:sz w:val="19"/>
                <w:szCs w:val="19"/>
              </w:rPr>
              <w:t xml:space="preserve">L pyrolysis oil / tonne feed (distribution, not point estimate)</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Break-even fuel price</w:t>
            </w:r>
          </w:p>
        </w:tc>
        <w:tc>
          <w:tcPr>
            <w:tcW w:type="dxa" w:w="6680"/>
            <w:tcMar>
              <w:top w:type="dxa" w:w="60"/>
              <w:left w:type="dxa" w:w="90"/>
              <w:bottom w:type="dxa" w:w="60"/>
              <w:right w:type="dxa" w:w="90"/>
            </w:tcMar>
          </w:tcPr>
          <w:p>
            <w:pPr>
              <w:spacing w:after="0"/>
            </w:pPr>
            <w:r>
              <w:rPr>
                <w:b w:val="false"/>
                <w:bCs w:val="false"/>
                <w:color w:val="000000"/>
                <w:sz w:val="19"/>
                <w:szCs w:val="19"/>
              </w:rPr>
              <w:t xml:space="preserve">PHP / L vs. imported diesel parity</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Carbon intensity</w:t>
            </w:r>
          </w:p>
        </w:tc>
        <w:tc>
          <w:tcPr>
            <w:tcW w:type="dxa" w:w="6680"/>
            <w:tcMar>
              <w:top w:type="dxa" w:w="60"/>
              <w:left w:type="dxa" w:w="90"/>
              <w:bottom w:type="dxa" w:w="60"/>
              <w:right w:type="dxa" w:w="90"/>
            </w:tcMar>
          </w:tcPr>
          <w:p>
            <w:pPr>
              <w:spacing w:after="0"/>
            </w:pPr>
            <w:r>
              <w:rPr>
                <w:b w:val="false"/>
                <w:bCs w:val="false"/>
                <w:color w:val="000000"/>
                <w:sz w:val="19"/>
                <w:szCs w:val="19"/>
              </w:rPr>
              <w:t xml:space="preserve">kg CO2e / tonne diverted (transport + process), decentralized vs. centralized</w:t>
            </w:r>
          </w:p>
        </w:tc>
      </w:tr>
    </w:tbl>
    <w:p>
      <w:pPr>
        <w:pStyle w:val="Heading1"/>
      </w:pPr>
      <w:r>
        <w:t xml:space="preserve">5. Right Fit and Scope (Narrow)</w:t>
      </w:r>
    </w:p>
    <w:p>
      <w:pPr>
        <w:spacing w:after="100"/>
      </w:pPr>
      <w:r>
        <w:t xml:space="preserve">Narrow scope: mixed post-consumer plastics (PP/PE/PS/multilayer) at MRF/LGU catchment scale in a defined region (e.g., Metro Manila or a single province), thermal (non-catalytic) pyrolysis to liquid fuel, network of 1–N sites. Excluded: catalyst design, monomer recovery (see PL1), full plant detailed engineering. The scope is sized so the contribution is the optimization method + PH-specific design, not a materials study.</w:t>
      </w:r>
    </w:p>
    <w:p>
      <w:pPr>
        <w:pStyle w:val="Heading1"/>
      </w:pPr>
      <w:r>
        <w:t xml:space="preserve">6. Novelty Statement</w:t>
      </w:r>
    </w:p>
    <w:p>
      <w:pPr>
        <w:spacing w:after="100"/>
      </w:pPr>
      <w:r>
        <w:t xml:space="preserve">A Bayesian/Gaussian-process surrogate of a rigorous pyrolysis-plus-separation flowsheet is embedded in a spatial superstructure optimization solved as a stochastic/robust program over empirically-characterized Philippine feedstock-composition uncertainty, subject to the RA 11898 recovery obligation. Prior work has taken these ingredients only separately and deterministically — composition-aware supply-chain design (Wang &amp; Maravelias, 2024) and incineration-vs-pyrolysis siting (Crîstiu et al., 2024) are both deterministic and unconstrained by a recovery target. The defensible contribution is their coupling — an uncertainty-aware surrogate inside a recovery-constrained spatial superstructure — plus the PH-specific decentralized design, not the reaction itself.</w:t>
      </w:r>
    </w:p>
    <w:p>
      <w:pPr>
        <w:pStyle w:val="Heading1"/>
      </w:pPr>
      <w:r>
        <w:t xml:space="preserve">7. Objectives</w:t>
      </w:r>
    </w:p>
    <w:p>
      <w:pPr>
        <w:pStyle w:val="Heading2"/>
      </w:pPr>
      <w:r>
        <w:t xml:space="preserve">General objective</w:t>
      </w:r>
    </w:p>
    <w:p>
      <w:pPr>
        <w:spacing w:after="100"/>
      </w:pPr>
      <w:r>
        <w:t xml:space="preserve">To design, via uncertainty-aware surrogate optimization, a decentralized mixed-plastic pyrolysis network that meets the Philippine EPR recovery trajectory at minimum total cost and carbon.</w:t>
      </w:r>
    </w:p>
    <w:p>
      <w:pPr>
        <w:pStyle w:val="Heading2"/>
      </w:pPr>
      <w:r>
        <w:t xml:space="preserve">Specific objectives</w:t>
      </w:r>
    </w:p>
    <w:p>
      <w:pPr>
        <w:spacing w:after="60"/>
      </w:pPr>
      <w:r>
        <w:rPr>
          <w:b/>
          <w:bCs/>
          <w:color w:val="2E6E63"/>
        </w:rPr>
        <w:t xml:space="preserve">O1.  </w:t>
      </w:r>
      <w:r>
        <w:t xml:space="preserve">Characterize Philippine mixed-plastic waste composition and its variance from public waste-characterization data.</w:t>
      </w:r>
    </w:p>
    <w:p>
      <w:pPr>
        <w:spacing w:after="60"/>
      </w:pPr>
      <w:r>
        <w:rPr>
          <w:b/>
          <w:bCs/>
          <w:color w:val="2E6E63"/>
        </w:rPr>
        <w:t xml:space="preserve">O2.  </w:t>
      </w:r>
      <w:r>
        <w:t xml:space="preserve">Build and verify a rigorous pyrolysis-plus-distillation flowsheet with literature-derived lumped kinetics.</w:t>
      </w:r>
    </w:p>
    <w:p>
      <w:pPr>
        <w:spacing w:after="60"/>
      </w:pPr>
      <w:r>
        <w:rPr>
          <w:b/>
          <w:bCs/>
          <w:color w:val="2E6E63"/>
        </w:rPr>
        <w:t xml:space="preserve">O3.  </w:t>
      </w:r>
      <w:r>
        <w:t xml:space="preserve">Train and validate a surrogate model that reproduces the flowsheet at a fraction of the cost.</w:t>
      </w:r>
    </w:p>
    <w:p>
      <w:pPr>
        <w:spacing w:after="60"/>
      </w:pPr>
      <w:r>
        <w:rPr>
          <w:b/>
          <w:bCs/>
          <w:color w:val="2E6E63"/>
        </w:rPr>
        <w:t xml:space="preserve">O4.  </w:t>
      </w:r>
      <w:r>
        <w:t xml:space="preserve">Formulate and solve a spatial superstructure optimization under feedstock uncertainty and the EPR constraint.</w:t>
      </w:r>
    </w:p>
    <w:p>
      <w:pPr>
        <w:spacing w:after="60"/>
      </w:pPr>
      <w:r>
        <w:rPr>
          <w:b/>
          <w:bCs/>
          <w:color w:val="2E6E63"/>
        </w:rPr>
        <w:t xml:space="preserve">O5.  </w:t>
      </w:r>
      <w:r>
        <w:t xml:space="preserve">Quantify cost, compliance, yield, and carbon for centralized vs. decentralized configurations, with sensitivity/UQ.</w:t>
      </w:r>
    </w:p>
    <w:p>
      <w:pPr>
        <w:pStyle w:val="Heading1"/>
      </w:pPr>
      <w:r>
        <w:t xml:space="preserve">8. Methodology and Model Architecture</w:t>
      </w:r>
    </w:p>
    <w:p>
      <w:pPr>
        <w:spacing w:after="70"/>
      </w:pPr>
      <w:r>
        <w:rPr>
          <w:b/>
          <w:bCs/>
        </w:rPr>
        <w:t xml:space="preserve">Step 1 — Base flowsheet: </w:t>
      </w:r>
      <w:r>
        <w:t xml:space="preserve">DWSIM yield/stoichiometric pyrolysis reactor using lumped kinetic parameters from the mixed-plastic pyrolysis literature, followed by product fractionation. Flag: neither DWSIM nor Aspen has a rigorous plastic-pyrolysis reactor; the lumped-kinetic surrogate and its uncertainty are themselves part of the contribution.</w:t>
      </w:r>
    </w:p>
    <w:p>
      <w:pPr>
        <w:spacing w:after="70"/>
      </w:pPr>
      <w:r>
        <w:rPr>
          <w:b/>
          <w:bCs/>
        </w:rPr>
        <w:t xml:space="preserve">Step 2 — Design of experiments: </w:t>
      </w:r>
      <w:r>
        <w:t xml:space="preserve">Latin-hypercube sampling over feedstock composition, temperature, and residence time to generate the surrogate training set.</w:t>
      </w:r>
    </w:p>
    <w:p>
      <w:pPr>
        <w:spacing w:after="70"/>
      </w:pPr>
      <w:r>
        <w:rPr>
          <w:b/>
          <w:bCs/>
        </w:rPr>
        <w:t xml:space="preserve">Step 3 — Surrogate: </w:t>
      </w:r>
      <w:r>
        <w:t xml:space="preserve">Gaussian-process (GPyTorch) or gradient-boosting (LightGBM) mapping conditions → yields/energy; Bayesian variant retained to propagate feedstock uncertainty.</w:t>
      </w:r>
    </w:p>
    <w:p>
      <w:pPr>
        <w:spacing w:after="70"/>
      </w:pPr>
      <w:r>
        <w:rPr>
          <w:b/>
          <w:bCs/>
        </w:rPr>
        <w:t xml:space="preserve">Step 4 — Superstructure optimization: </w:t>
      </w:r>
      <w:r>
        <w:t xml:space="preserve">Pyomo spatial model over candidate sites, capacities, and transport arcs; stochastic/robust formulation minimizing expected total cost + carbon subject to the RA 11898 recovery obligation, modeled as a footprint-based recovery constraint — the network must recover at least the mandated fraction (60–80%) of the defined packaging-footprint stream it serves — not as an economy-wide MSW recovery rate. The footprint-to-served-stream mapping is stated as an explicit modeling assumption (e.g., the network serves the aggregated packaging footprint of a defined set of obliged enterprises or LGU catchments).</w:t>
      </w:r>
    </w:p>
    <w:p>
      <w:pPr>
        <w:spacing w:after="70"/>
      </w:pPr>
      <w:r>
        <w:rPr>
          <w:b/>
          <w:bCs/>
        </w:rPr>
        <w:t xml:space="preserve">Step 5 — Economics &amp; environment: </w:t>
      </w:r>
      <w:r>
        <w:t xml:space="preserve">Techno-economic analysis (NPV/IRR, break-even fuel price) and streamlined LCA (kg CO2e/tonne) as objective components and reported outcomes.</w:t>
      </w:r>
    </w:p>
    <w:p>
      <w:pPr>
        <w:spacing w:after="100"/>
      </w:pPr>
      <w:r>
        <w:rPr>
          <w:b/>
          <w:bCs/>
        </w:rPr>
        <w:t xml:space="preserve">Software stack: </w:t>
      </w:r>
      <w:r>
        <w:t xml:space="preserve">Python (pandas, numpy), DWSIM (flowsheet), GPyTorch/scikit-learn/LightGBM (surrogate), Pyomo + open solver (superstructure), SALib (sensitivity), matplotlib/plotly (figures).</w:t>
      </w:r>
    </w:p>
    <w:p>
      <w:pPr>
        <w:pStyle w:val="Heading1"/>
      </w:pPr>
      <w:r>
        <w:t xml:space="preserve">9. Data Sources and Feasibility</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500"/>
        <w:gridCol w:w="2900"/>
        <w:gridCol w:w="1080"/>
        <w:gridCol w:w="3600"/>
      </w:tblGrid>
      <w:tr>
        <w:trPr>
          <w:tblHeader/>
        </w:trPr>
        <w:tc>
          <w:tcPr>
            <w:tcW w:type="dxa" w:w="2500"/>
            <w:shd w:fill="1F3A5F" w:color="auto" w:val="clear"/>
            <w:tcMar>
              <w:top w:type="dxa" w:w="60"/>
              <w:left w:type="dxa" w:w="90"/>
              <w:bottom w:type="dxa" w:w="60"/>
              <w:right w:type="dxa" w:w="90"/>
            </w:tcMar>
          </w:tcPr>
          <w:p>
            <w:pPr>
              <w:spacing w:after="0"/>
            </w:pPr>
            <w:r>
              <w:rPr>
                <w:b/>
                <w:bCs/>
                <w:color w:val="FFFFFF"/>
                <w:sz w:val="20"/>
                <w:szCs w:val="20"/>
              </w:rPr>
              <w:t xml:space="preserve">Data need</w:t>
            </w:r>
          </w:p>
        </w:tc>
        <w:tc>
          <w:tcPr>
            <w:tcW w:type="dxa" w:w="2900"/>
            <w:shd w:fill="1F3A5F" w:color="auto" w:val="clear"/>
            <w:tcMar>
              <w:top w:type="dxa" w:w="60"/>
              <w:left w:type="dxa" w:w="90"/>
              <w:bottom w:type="dxa" w:w="60"/>
              <w:right w:type="dxa" w:w="90"/>
            </w:tcMar>
          </w:tcPr>
          <w:p>
            <w:pPr>
              <w:spacing w:after="0"/>
            </w:pPr>
            <w:r>
              <w:rPr>
                <w:b/>
                <w:bCs/>
                <w:color w:val="FFFFFF"/>
                <w:sz w:val="20"/>
                <w:szCs w:val="20"/>
              </w:rPr>
              <w:t xml:space="preserve">Source</w:t>
            </w:r>
          </w:p>
        </w:tc>
        <w:tc>
          <w:tcPr>
            <w:tcW w:type="dxa" w:w="1080"/>
            <w:shd w:fill="1F3A5F" w:color="auto" w:val="clear"/>
            <w:tcMar>
              <w:top w:type="dxa" w:w="60"/>
              <w:left w:type="dxa" w:w="90"/>
              <w:bottom w:type="dxa" w:w="60"/>
              <w:right w:type="dxa" w:w="90"/>
            </w:tcMar>
          </w:tcPr>
          <w:p>
            <w:pPr>
              <w:spacing w:after="0"/>
            </w:pPr>
            <w:r>
              <w:rPr>
                <w:b/>
                <w:bCs/>
                <w:color w:val="FFFFFF"/>
                <w:sz w:val="20"/>
                <w:szCs w:val="20"/>
              </w:rPr>
              <w:t xml:space="preserve">Risk</w:t>
            </w:r>
          </w:p>
        </w:tc>
        <w:tc>
          <w:tcPr>
            <w:tcW w:type="dxa" w:w="3600"/>
            <w:shd w:fill="1F3A5F" w:color="auto" w:val="clear"/>
            <w:tcMar>
              <w:top w:type="dxa" w:w="60"/>
              <w:left w:type="dxa" w:w="90"/>
              <w:bottom w:type="dxa" w:w="60"/>
              <w:right w:type="dxa" w:w="90"/>
            </w:tcMar>
          </w:tcPr>
          <w:p>
            <w:pPr>
              <w:spacing w:after="0"/>
            </w:pPr>
            <w:r>
              <w:rPr>
                <w:b/>
                <w:bCs/>
                <w:color w:val="FFFFFF"/>
                <w:sz w:val="20"/>
                <w:szCs w:val="20"/>
              </w:rPr>
              <w:t xml:space="preserve">What it unlocks</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Waste composition + variance</w:t>
            </w:r>
          </w:p>
        </w:tc>
        <w:tc>
          <w:tcPr>
            <w:tcW w:type="dxa" w:w="2900"/>
            <w:tcMar>
              <w:top w:type="dxa" w:w="60"/>
              <w:left w:type="dxa" w:w="90"/>
              <w:bottom w:type="dxa" w:w="60"/>
              <w:right w:type="dxa" w:w="90"/>
            </w:tcMar>
          </w:tcPr>
          <w:p>
            <w:pPr>
              <w:spacing w:after="0"/>
            </w:pPr>
            <w:r>
              <w:rPr>
                <w:b w:val="false"/>
                <w:bCs w:val="false"/>
                <w:color w:val="000000"/>
                <w:sz w:val="19"/>
                <w:szCs w:val="19"/>
              </w:rPr>
              <w:t xml:space="preserve">NSWMC / World Bank / LGU waste-characterization studies (public)</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 / MEDIUM (locality variance)</w:t>
            </w:r>
          </w:p>
        </w:tc>
        <w:tc>
          <w:tcPr>
            <w:tcW w:type="dxa" w:w="3600"/>
            <w:tcMar>
              <w:top w:type="dxa" w:w="60"/>
              <w:left w:type="dxa" w:w="90"/>
              <w:bottom w:type="dxa" w:w="60"/>
              <w:right w:type="dxa" w:w="90"/>
            </w:tcMar>
          </w:tcPr>
          <w:p>
            <w:pPr>
              <w:spacing w:after="0"/>
            </w:pPr>
            <w:r>
              <w:rPr>
                <w:b w:val="false"/>
                <w:bCs w:val="false"/>
                <w:color w:val="000000"/>
                <w:sz w:val="19"/>
                <w:szCs w:val="19"/>
              </w:rPr>
              <w:t xml:space="preserve">Feedstock scenarios + uncertainty ranges. If only national aggregates exist, construct the uncertainty set via bootstrap / expert priors; pre-register a robust fallback (Bertsimas &amp; Sim, 2004) so results do not hinge on an over-precise distribution.</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EPR targets + penalties</w:t>
            </w:r>
          </w:p>
        </w:tc>
        <w:tc>
          <w:tcPr>
            <w:tcW w:type="dxa" w:w="2900"/>
            <w:tcMar>
              <w:top w:type="dxa" w:w="60"/>
              <w:left w:type="dxa" w:w="90"/>
              <w:bottom w:type="dxa" w:w="60"/>
              <w:right w:type="dxa" w:w="90"/>
            </w:tcMar>
          </w:tcPr>
          <w:p>
            <w:pPr>
              <w:spacing w:after="0"/>
            </w:pPr>
            <w:r>
              <w:rPr>
                <w:b w:val="false"/>
                <w:bCs w:val="false"/>
                <w:color w:val="000000"/>
                <w:sz w:val="19"/>
                <w:szCs w:val="19"/>
              </w:rPr>
              <w:t xml:space="preserve">RA 11898, DAO 2023-02, DAO 2024-04 (public)</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w:t>
            </w:r>
          </w:p>
        </w:tc>
        <w:tc>
          <w:tcPr>
            <w:tcW w:type="dxa" w:w="3600"/>
            <w:tcMar>
              <w:top w:type="dxa" w:w="60"/>
              <w:left w:type="dxa" w:w="90"/>
              <w:bottom w:type="dxa" w:w="60"/>
              <w:right w:type="dxa" w:w="90"/>
            </w:tcMar>
          </w:tcPr>
          <w:p>
            <w:pPr>
              <w:spacing w:after="0"/>
            </w:pPr>
            <w:r>
              <w:rPr>
                <w:b w:val="false"/>
                <w:bCs w:val="false"/>
                <w:color w:val="000000"/>
                <w:sz w:val="19"/>
                <w:szCs w:val="19"/>
              </w:rPr>
              <w:t xml:space="preserve">Footprint-obligation constraint (% of served packaging footprint) + non-compliance penalty (₱5–20M or 2× recovery-cost shortfall); requires an explicit footprint-to-network mapping assumption.</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Pyrolysis kinetics/yields</w:t>
            </w:r>
          </w:p>
        </w:tc>
        <w:tc>
          <w:tcPr>
            <w:tcW w:type="dxa" w:w="2900"/>
            <w:tcMar>
              <w:top w:type="dxa" w:w="60"/>
              <w:left w:type="dxa" w:w="90"/>
              <w:bottom w:type="dxa" w:w="60"/>
              <w:right w:type="dxa" w:w="90"/>
            </w:tcMar>
          </w:tcPr>
          <w:p>
            <w:pPr>
              <w:spacing w:after="0"/>
            </w:pPr>
            <w:r>
              <w:rPr>
                <w:b w:val="false"/>
                <w:bCs w:val="false"/>
                <w:color w:val="000000"/>
                <w:sz w:val="19"/>
                <w:szCs w:val="19"/>
              </w:rPr>
              <w:t xml:space="preserve">Peer-reviewed lumped-kinetic literature</w:t>
            </w:r>
          </w:p>
        </w:tc>
        <w:tc>
          <w:tcPr>
            <w:tcW w:type="dxa" w:w="1080"/>
            <w:tcMar>
              <w:top w:type="dxa" w:w="60"/>
              <w:left w:type="dxa" w:w="90"/>
              <w:bottom w:type="dxa" w:w="60"/>
              <w:right w:type="dxa" w:w="90"/>
            </w:tcMar>
          </w:tcPr>
          <w:p>
            <w:pPr>
              <w:spacing w:after="0"/>
            </w:pPr>
            <w:r>
              <w:rPr>
                <w:b w:val="false"/>
                <w:bCs w:val="false"/>
                <w:color w:val="000000"/>
                <w:sz w:val="19"/>
                <w:szCs w:val="19"/>
              </w:rPr>
              <w:t xml:space="preserve">LOW</w:t>
            </w:r>
          </w:p>
        </w:tc>
        <w:tc>
          <w:tcPr>
            <w:tcW w:type="dxa" w:w="3600"/>
            <w:tcMar>
              <w:top w:type="dxa" w:w="60"/>
              <w:left w:type="dxa" w:w="90"/>
              <w:bottom w:type="dxa" w:w="60"/>
              <w:right w:type="dxa" w:w="90"/>
            </w:tcMar>
          </w:tcPr>
          <w:p>
            <w:pPr>
              <w:spacing w:after="0"/>
            </w:pPr>
            <w:r>
              <w:rPr>
                <w:b w:val="false"/>
                <w:bCs w:val="false"/>
                <w:color w:val="000000"/>
                <w:sz w:val="19"/>
                <w:szCs w:val="19"/>
              </w:rPr>
              <w:t xml:space="preserve">Base flowsheet + surrogate training</w:t>
            </w:r>
          </w:p>
        </w:tc>
      </w:tr>
      <w:tr>
        <w:tc>
          <w:tcPr>
            <w:tcW w:type="dxa" w:w="2500"/>
            <w:tcMar>
              <w:top w:type="dxa" w:w="60"/>
              <w:left w:type="dxa" w:w="90"/>
              <w:bottom w:type="dxa" w:w="60"/>
              <w:right w:type="dxa" w:w="90"/>
            </w:tcMar>
          </w:tcPr>
          <w:p>
            <w:pPr>
              <w:spacing w:after="0"/>
            </w:pPr>
            <w:r>
              <w:rPr>
                <w:b w:val="false"/>
                <w:bCs w:val="false"/>
                <w:color w:val="000000"/>
                <w:sz w:val="19"/>
                <w:szCs w:val="19"/>
              </w:rPr>
              <w:t xml:space="preserve">Cost/transport/energy prices</w:t>
            </w:r>
          </w:p>
        </w:tc>
        <w:tc>
          <w:tcPr>
            <w:tcW w:type="dxa" w:w="2900"/>
            <w:tcMar>
              <w:top w:type="dxa" w:w="60"/>
              <w:left w:type="dxa" w:w="90"/>
              <w:bottom w:type="dxa" w:w="60"/>
              <w:right w:type="dxa" w:w="90"/>
            </w:tcMar>
          </w:tcPr>
          <w:p>
            <w:pPr>
              <w:spacing w:after="0"/>
            </w:pPr>
            <w:r>
              <w:rPr>
                <w:b w:val="false"/>
                <w:bCs w:val="false"/>
                <w:color w:val="000000"/>
                <w:sz w:val="19"/>
                <w:szCs w:val="19"/>
              </w:rPr>
              <w:t xml:space="preserve">Vendor quotes, DOE fuel prices, public logistics rates</w:t>
            </w:r>
          </w:p>
        </w:tc>
        <w:tc>
          <w:tcPr>
            <w:tcW w:type="dxa" w:w="1080"/>
            <w:tcMar>
              <w:top w:type="dxa" w:w="60"/>
              <w:left w:type="dxa" w:w="90"/>
              <w:bottom w:type="dxa" w:w="60"/>
              <w:right w:type="dxa" w:w="90"/>
            </w:tcMar>
          </w:tcPr>
          <w:p>
            <w:pPr>
              <w:spacing w:after="0"/>
            </w:pPr>
            <w:r>
              <w:rPr>
                <w:b w:val="false"/>
                <w:bCs w:val="false"/>
                <w:color w:val="000000"/>
                <w:sz w:val="19"/>
                <w:szCs w:val="19"/>
              </w:rPr>
              <w:t xml:space="preserve">MEDIUM</w:t>
            </w:r>
          </w:p>
        </w:tc>
        <w:tc>
          <w:tcPr>
            <w:tcW w:type="dxa" w:w="3600"/>
            <w:tcMar>
              <w:top w:type="dxa" w:w="60"/>
              <w:left w:type="dxa" w:w="90"/>
              <w:bottom w:type="dxa" w:w="60"/>
              <w:right w:type="dxa" w:w="90"/>
            </w:tcMar>
          </w:tcPr>
          <w:p>
            <w:pPr>
              <w:spacing w:after="0"/>
            </w:pPr>
            <w:r>
              <w:rPr>
                <w:b w:val="false"/>
                <w:bCs w:val="false"/>
                <w:color w:val="000000"/>
                <w:sz w:val="19"/>
                <w:szCs w:val="19"/>
              </w:rPr>
              <w:t xml:space="preserve">TEA objective coefficients</w:t>
            </w:r>
          </w:p>
        </w:tc>
      </w:tr>
    </w:tbl>
    <w:p>
      <w:pPr>
        <w:pStyle w:val="Heading1"/>
      </w:pPr>
      <w:r>
        <w:t xml:space="preserve">10. Complete Thesis Outline</w:t>
      </w:r>
    </w:p>
    <w:p>
      <w:pPr>
        <w:pStyle w:val="Heading2"/>
      </w:pPr>
      <w:r>
        <w:t xml:space="preserve">1. Introduction</w:t>
      </w:r>
    </w:p>
    <w:p>
      <w:pPr>
        <w:pStyle w:val="ListParagraph"/>
        <w:numPr>
          <w:ilvl w:val="0"/>
          <w:numId w:val="2"/>
        </w:numPr>
        <w:spacing w:after="60"/>
      </w:pPr>
      <w:r>
        <w:t xml:space="preserve">Background: plastic waste and the EPR Act</w:t>
      </w:r>
    </w:p>
    <w:p>
      <w:pPr>
        <w:pStyle w:val="ListParagraph"/>
        <w:numPr>
          <w:ilvl w:val="0"/>
          <w:numId w:val="2"/>
        </w:numPr>
        <w:spacing w:after="60"/>
      </w:pPr>
      <w:r>
        <w:t xml:space="preserve">Problem statement and research questions</w:t>
      </w:r>
    </w:p>
    <w:p>
      <w:pPr>
        <w:pStyle w:val="ListParagraph"/>
        <w:numPr>
          <w:ilvl w:val="0"/>
          <w:numId w:val="2"/>
        </w:numPr>
        <w:spacing w:after="60"/>
      </w:pPr>
      <w:r>
        <w:t xml:space="preserve">Objectives (general + specific)</w:t>
      </w:r>
    </w:p>
    <w:p>
      <w:pPr>
        <w:pStyle w:val="ListParagraph"/>
        <w:numPr>
          <w:ilvl w:val="0"/>
          <w:numId w:val="2"/>
        </w:numPr>
        <w:spacing w:after="60"/>
      </w:pPr>
      <w:r>
        <w:t xml:space="preserve">Scope and delimitations</w:t>
      </w:r>
    </w:p>
    <w:p>
      <w:pPr>
        <w:pStyle w:val="ListParagraph"/>
        <w:numPr>
          <w:ilvl w:val="0"/>
          <w:numId w:val="2"/>
        </w:numPr>
        <w:spacing w:after="60"/>
      </w:pPr>
      <w:r>
        <w:t xml:space="preserve">Significance to Philippine industry and policy</w:t>
      </w:r>
    </w:p>
    <w:p>
      <w:pPr>
        <w:pStyle w:val="Heading2"/>
      </w:pPr>
      <w:r>
        <w:t xml:space="preserve">2. Review of Related Literature</w:t>
      </w:r>
    </w:p>
    <w:p>
      <w:pPr>
        <w:pStyle w:val="ListParagraph"/>
        <w:numPr>
          <w:ilvl w:val="0"/>
          <w:numId w:val="2"/>
        </w:numPr>
        <w:spacing w:after="60"/>
      </w:pPr>
      <w:r>
        <w:t xml:space="preserve">Plastic pyrolysis chemistry and lumped kinetics</w:t>
      </w:r>
    </w:p>
    <w:p>
      <w:pPr>
        <w:pStyle w:val="ListParagraph"/>
        <w:numPr>
          <w:ilvl w:val="0"/>
          <w:numId w:val="2"/>
        </w:numPr>
        <w:spacing w:after="60"/>
      </w:pPr>
      <w:r>
        <w:t xml:space="preserve">Surrogate modeling in PSE</w:t>
      </w:r>
    </w:p>
    <w:p>
      <w:pPr>
        <w:pStyle w:val="ListParagraph"/>
        <w:numPr>
          <w:ilvl w:val="0"/>
          <w:numId w:val="2"/>
        </w:numPr>
        <w:spacing w:after="60"/>
      </w:pPr>
      <w:r>
        <w:t xml:space="preserve">Superstructure/network optimization</w:t>
      </w:r>
    </w:p>
    <w:p>
      <w:pPr>
        <w:pStyle w:val="ListParagraph"/>
        <w:numPr>
          <w:ilvl w:val="0"/>
          <w:numId w:val="2"/>
        </w:numPr>
        <w:spacing w:after="60"/>
      </w:pPr>
      <w:r>
        <w:t xml:space="preserve">Optimization under uncertainty</w:t>
      </w:r>
    </w:p>
    <w:p>
      <w:pPr>
        <w:pStyle w:val="ListParagraph"/>
        <w:numPr>
          <w:ilvl w:val="0"/>
          <w:numId w:val="2"/>
        </w:numPr>
        <w:spacing w:after="60"/>
      </w:pPr>
      <w:r>
        <w:t xml:space="preserve">Synthesis and the research gap (gap matrix)</w:t>
      </w:r>
    </w:p>
    <w:p>
      <w:pPr>
        <w:pStyle w:val="Heading2"/>
      </w:pPr>
      <w:r>
        <w:t xml:space="preserve">3. Methodology</w:t>
      </w:r>
    </w:p>
    <w:p>
      <w:pPr>
        <w:pStyle w:val="ListParagraph"/>
        <w:numPr>
          <w:ilvl w:val="0"/>
          <w:numId w:val="2"/>
        </w:numPr>
        <w:spacing w:after="60"/>
      </w:pPr>
      <w:r>
        <w:t xml:space="preserve">Feedstock characterization</w:t>
      </w:r>
    </w:p>
    <w:p>
      <w:pPr>
        <w:pStyle w:val="ListParagraph"/>
        <w:numPr>
          <w:ilvl w:val="0"/>
          <w:numId w:val="2"/>
        </w:numPr>
        <w:spacing w:after="60"/>
      </w:pPr>
      <w:r>
        <w:t xml:space="preserve">Flowsheet construction and verification</w:t>
      </w:r>
    </w:p>
    <w:p>
      <w:pPr>
        <w:pStyle w:val="ListParagraph"/>
        <w:numPr>
          <w:ilvl w:val="0"/>
          <w:numId w:val="2"/>
        </w:numPr>
        <w:spacing w:after="60"/>
      </w:pPr>
      <w:r>
        <w:t xml:space="preserve">DOE and surrogate training/validation</w:t>
      </w:r>
    </w:p>
    <w:p>
      <w:pPr>
        <w:pStyle w:val="ListParagraph"/>
        <w:numPr>
          <w:ilvl w:val="0"/>
          <w:numId w:val="2"/>
        </w:numPr>
        <w:spacing w:after="60"/>
      </w:pPr>
      <w:r>
        <w:t xml:space="preserve">Superstructure formulation under uncertainty</w:t>
      </w:r>
    </w:p>
    <w:p>
      <w:pPr>
        <w:pStyle w:val="ListParagraph"/>
        <w:numPr>
          <w:ilvl w:val="0"/>
          <w:numId w:val="2"/>
        </w:numPr>
        <w:spacing w:after="60"/>
      </w:pPr>
      <w:r>
        <w:t xml:space="preserve">TEA/LCA and sensitivity/UQ plan</w:t>
      </w:r>
    </w:p>
    <w:p>
      <w:pPr>
        <w:pStyle w:val="Heading2"/>
      </w:pPr>
      <w:r>
        <w:t xml:space="preserve">4. Results and Discussion</w:t>
      </w:r>
    </w:p>
    <w:p>
      <w:pPr>
        <w:pStyle w:val="ListParagraph"/>
        <w:numPr>
          <w:ilvl w:val="0"/>
          <w:numId w:val="2"/>
        </w:numPr>
        <w:spacing w:after="60"/>
      </w:pPr>
      <w:r>
        <w:t xml:space="preserve">Surrogate accuracy and speed-up</w:t>
      </w:r>
    </w:p>
    <w:p>
      <w:pPr>
        <w:pStyle w:val="ListParagraph"/>
        <w:numPr>
          <w:ilvl w:val="0"/>
          <w:numId w:val="2"/>
        </w:numPr>
        <w:spacing w:after="60"/>
      </w:pPr>
      <w:r>
        <w:t xml:space="preserve">Optimal network configurations vs. EPR targets</w:t>
      </w:r>
    </w:p>
    <w:p>
      <w:pPr>
        <w:pStyle w:val="ListParagraph"/>
        <w:numPr>
          <w:ilvl w:val="0"/>
          <w:numId w:val="2"/>
        </w:numPr>
        <w:spacing w:after="60"/>
      </w:pPr>
      <w:r>
        <w:t xml:space="preserve">Cost/carbon/yield trade-offs</w:t>
      </w:r>
    </w:p>
    <w:p>
      <w:pPr>
        <w:pStyle w:val="ListParagraph"/>
        <w:numPr>
          <w:ilvl w:val="0"/>
          <w:numId w:val="2"/>
        </w:numPr>
        <w:spacing w:after="60"/>
      </w:pPr>
      <w:r>
        <w:t xml:space="preserve">Centralized vs. decentralized</w:t>
      </w:r>
    </w:p>
    <w:p>
      <w:pPr>
        <w:pStyle w:val="ListParagraph"/>
        <w:numPr>
          <w:ilvl w:val="0"/>
          <w:numId w:val="2"/>
        </w:numPr>
        <w:spacing w:after="60"/>
      </w:pPr>
      <w:r>
        <w:t xml:space="preserve">Sensitivity and uncertainty</w:t>
      </w:r>
    </w:p>
    <w:p>
      <w:pPr>
        <w:pStyle w:val="Heading2"/>
      </w:pPr>
      <w:r>
        <w:t xml:space="preserve">5. Conclusions and Recommendations</w:t>
      </w:r>
    </w:p>
    <w:p>
      <w:pPr>
        <w:pStyle w:val="ListParagraph"/>
        <w:numPr>
          <w:ilvl w:val="0"/>
          <w:numId w:val="2"/>
        </w:numPr>
        <w:spacing w:after="60"/>
      </w:pPr>
      <w:r>
        <w:t xml:space="preserve">Findings against objectives</w:t>
      </w:r>
    </w:p>
    <w:p>
      <w:pPr>
        <w:pStyle w:val="ListParagraph"/>
        <w:numPr>
          <w:ilvl w:val="0"/>
          <w:numId w:val="2"/>
        </w:numPr>
        <w:spacing w:after="60"/>
      </w:pPr>
      <w:r>
        <w:t xml:space="preserve">Policy/industry implications</w:t>
      </w:r>
    </w:p>
    <w:p>
      <w:pPr>
        <w:pStyle w:val="ListParagraph"/>
        <w:numPr>
          <w:ilvl w:val="0"/>
          <w:numId w:val="2"/>
        </w:numPr>
        <w:spacing w:after="60"/>
      </w:pPr>
      <w:r>
        <w:t xml:space="preserve">Limitations</w:t>
      </w:r>
    </w:p>
    <w:p>
      <w:pPr>
        <w:pStyle w:val="ListParagraph"/>
        <w:numPr>
          <w:ilvl w:val="0"/>
          <w:numId w:val="2"/>
        </w:numPr>
        <w:spacing w:after="60"/>
      </w:pPr>
      <w:r>
        <w:t xml:space="preserve">Bridge to PhD (IPIS digital-twin layer) and to the D spin-off</w:t>
      </w:r>
    </w:p>
    <w:p>
      <w:pPr>
        <w:pStyle w:val="Heading1"/>
      </w:pPr>
      <w:r>
        <w:t xml:space="preserve">11. End-to-End Thesis Lifecycle</w:t>
      </w:r>
    </w:p>
    <w:p>
      <w:pPr>
        <w:spacing w:after="100"/>
      </w:pPr>
      <w:r>
        <w:rPr>
          <w:i/>
          <w:iCs/>
          <w:color w:val="374151"/>
        </w:rPr>
        <w:t xml:space="preserve">Time is not the constraint; execution is. Phases are sequential but iterative — loop back as findings demand.</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700"/>
        <w:gridCol w:w="1750"/>
        <w:gridCol w:w="3550"/>
        <w:gridCol w:w="2400"/>
        <w:gridCol w:w="1680"/>
      </w:tblGrid>
      <w:tr>
        <w:trPr>
          <w:tblHeader/>
        </w:trPr>
        <w:tc>
          <w:tcPr>
            <w:tcW w:type="dxa" w:w="700"/>
            <w:shd w:fill="1F3A5F" w:color="auto" w:val="clear"/>
            <w:tcMar>
              <w:top w:type="dxa" w:w="60"/>
              <w:left w:type="dxa" w:w="90"/>
              <w:bottom w:type="dxa" w:w="60"/>
              <w:right w:type="dxa" w:w="90"/>
            </w:tcMar>
          </w:tcPr>
          <w:p>
            <w:pPr>
              <w:spacing w:after="0"/>
            </w:pPr>
            <w:r>
              <w:rPr>
                <w:b/>
                <w:bCs/>
                <w:color w:val="FFFFFF"/>
                <w:sz w:val="20"/>
                <w:szCs w:val="20"/>
              </w:rPr>
              <w:t xml:space="preserve">Phase</w:t>
            </w:r>
          </w:p>
        </w:tc>
        <w:tc>
          <w:tcPr>
            <w:tcW w:type="dxa" w:w="1750"/>
            <w:shd w:fill="1F3A5F" w:color="auto" w:val="clear"/>
            <w:tcMar>
              <w:top w:type="dxa" w:w="60"/>
              <w:left w:type="dxa" w:w="90"/>
              <w:bottom w:type="dxa" w:w="60"/>
              <w:right w:type="dxa" w:w="90"/>
            </w:tcMar>
          </w:tcPr>
          <w:p>
            <w:pPr>
              <w:spacing w:after="0"/>
            </w:pPr>
            <w:r>
              <w:rPr>
                <w:b/>
                <w:bCs/>
                <w:color w:val="FFFFFF"/>
                <w:sz w:val="20"/>
                <w:szCs w:val="20"/>
              </w:rPr>
              <w:t xml:space="preserve">Focus</w:t>
            </w:r>
          </w:p>
        </w:tc>
        <w:tc>
          <w:tcPr>
            <w:tcW w:type="dxa" w:w="3550"/>
            <w:shd w:fill="1F3A5F" w:color="auto" w:val="clear"/>
            <w:tcMar>
              <w:top w:type="dxa" w:w="60"/>
              <w:left w:type="dxa" w:w="90"/>
              <w:bottom w:type="dxa" w:w="60"/>
              <w:right w:type="dxa" w:w="90"/>
            </w:tcMar>
          </w:tcPr>
          <w:p>
            <w:pPr>
              <w:spacing w:after="0"/>
            </w:pPr>
            <w:r>
              <w:rPr>
                <w:b/>
                <w:bCs/>
                <w:color w:val="FFFFFF"/>
                <w:sz w:val="20"/>
                <w:szCs w:val="20"/>
              </w:rPr>
              <w:t xml:space="preserve">Key activities</w:t>
            </w:r>
          </w:p>
        </w:tc>
        <w:tc>
          <w:tcPr>
            <w:tcW w:type="dxa" w:w="2400"/>
            <w:shd w:fill="1F3A5F" w:color="auto" w:val="clear"/>
            <w:tcMar>
              <w:top w:type="dxa" w:w="60"/>
              <w:left w:type="dxa" w:w="90"/>
              <w:bottom w:type="dxa" w:w="60"/>
              <w:right w:type="dxa" w:w="90"/>
            </w:tcMar>
          </w:tcPr>
          <w:p>
            <w:pPr>
              <w:spacing w:after="0"/>
            </w:pPr>
            <w:r>
              <w:rPr>
                <w:b/>
                <w:bCs/>
                <w:color w:val="FFFFFF"/>
                <w:sz w:val="20"/>
                <w:szCs w:val="20"/>
              </w:rPr>
              <w:t xml:space="preserve">Deliverable</w:t>
            </w:r>
          </w:p>
        </w:tc>
        <w:tc>
          <w:tcPr>
            <w:tcW w:type="dxa" w:w="1680"/>
            <w:shd w:fill="1F3A5F" w:color="auto" w:val="clear"/>
            <w:tcMar>
              <w:top w:type="dxa" w:w="60"/>
              <w:left w:type="dxa" w:w="90"/>
              <w:bottom w:type="dxa" w:w="60"/>
              <w:right w:type="dxa" w:w="90"/>
            </w:tcMar>
          </w:tcPr>
          <w:p>
            <w:pPr>
              <w:spacing w:after="0"/>
            </w:pPr>
            <w:r>
              <w:rPr>
                <w:b/>
                <w:bCs/>
                <w:color w:val="FFFFFF"/>
                <w:sz w:val="20"/>
                <w:szCs w:val="20"/>
              </w:rPr>
              <w:t xml:space="preserve">Tools</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P0</w:t>
            </w:r>
          </w:p>
        </w:tc>
        <w:tc>
          <w:tcPr>
            <w:tcW w:type="dxa" w:w="1750"/>
            <w:tcMar>
              <w:top w:type="dxa" w:w="60"/>
              <w:left w:type="dxa" w:w="90"/>
              <w:bottom w:type="dxa" w:w="60"/>
              <w:right w:type="dxa" w:w="90"/>
            </w:tcMar>
          </w:tcPr>
          <w:p>
            <w:pPr>
              <w:spacing w:after="0"/>
            </w:pPr>
            <w:r>
              <w:rPr>
                <w:b w:val="false"/>
                <w:bCs w:val="false"/>
                <w:color w:val="000000"/>
                <w:sz w:val="19"/>
                <w:szCs w:val="19"/>
              </w:rPr>
              <w:t xml:space="preserve">Repository &amp; environment setup</w:t>
            </w:r>
          </w:p>
        </w:tc>
        <w:tc>
          <w:tcPr>
            <w:tcW w:type="dxa" w:w="3550"/>
            <w:tcMar>
              <w:top w:type="dxa" w:w="60"/>
              <w:left w:type="dxa" w:w="90"/>
              <w:bottom w:type="dxa" w:w="60"/>
              <w:right w:type="dxa" w:w="90"/>
            </w:tcMar>
          </w:tcPr>
          <w:p>
            <w:pPr>
              <w:spacing w:after="0"/>
            </w:pPr>
            <w:r>
              <w:rPr>
                <w:b w:val="false"/>
                <w:bCs w:val="false"/>
                <w:color w:val="000000"/>
                <w:sz w:val="19"/>
                <w:szCs w:val="19"/>
              </w:rPr>
              <w:t xml:space="preserve">Create the dedicated GitHub repo and a dedicated Claude session; scaffold folders; pin this prospectus as the session brief.</w:t>
            </w:r>
          </w:p>
        </w:tc>
        <w:tc>
          <w:tcPr>
            <w:tcW w:type="dxa" w:w="2400"/>
            <w:tcMar>
              <w:top w:type="dxa" w:w="60"/>
              <w:left w:type="dxa" w:w="90"/>
              <w:bottom w:type="dxa" w:w="60"/>
              <w:right w:type="dxa" w:w="90"/>
            </w:tcMar>
          </w:tcPr>
          <w:p>
            <w:pPr>
              <w:spacing w:after="0"/>
            </w:pPr>
            <w:r>
              <w:rPr>
                <w:b w:val="false"/>
                <w:bCs w:val="false"/>
                <w:color w:val="000000"/>
                <w:sz w:val="19"/>
                <w:szCs w:val="19"/>
              </w:rPr>
              <w:t xml:space="preserve">README, environment.yml, folder scaffold, CITATION.cff</w:t>
            </w:r>
          </w:p>
        </w:tc>
        <w:tc>
          <w:tcPr>
            <w:tcW w:type="dxa" w:w="1680"/>
            <w:tcMar>
              <w:top w:type="dxa" w:w="60"/>
              <w:left w:type="dxa" w:w="90"/>
              <w:bottom w:type="dxa" w:w="60"/>
              <w:right w:type="dxa" w:w="90"/>
            </w:tcMar>
          </w:tcPr>
          <w:p>
            <w:pPr>
              <w:spacing w:after="0"/>
            </w:pPr>
            <w:r>
              <w:rPr>
                <w:b w:val="false"/>
                <w:bCs w:val="false"/>
                <w:color w:val="000000"/>
                <w:sz w:val="19"/>
                <w:szCs w:val="19"/>
              </w:rPr>
              <w:t xml:space="preserve">GitHub, conda/venv, Claude</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P1</w:t>
            </w:r>
          </w:p>
        </w:tc>
        <w:tc>
          <w:tcPr>
            <w:tcW w:type="dxa" w:w="1750"/>
            <w:tcMar>
              <w:top w:type="dxa" w:w="60"/>
              <w:left w:type="dxa" w:w="90"/>
              <w:bottom w:type="dxa" w:w="60"/>
              <w:right w:type="dxa" w:w="90"/>
            </w:tcMar>
          </w:tcPr>
          <w:p>
            <w:pPr>
              <w:spacing w:after="0"/>
            </w:pPr>
            <w:r>
              <w:rPr>
                <w:b w:val="false"/>
                <w:bCs w:val="false"/>
                <w:color w:val="000000"/>
                <w:sz w:val="19"/>
                <w:szCs w:val="19"/>
              </w:rPr>
              <w:t xml:space="preserve">Literature review &amp; gap consolidation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Systematic review; build an annotated bibliography and a gap matrix mapping each cited work to the specific gap this thesis fills.</w:t>
            </w:r>
          </w:p>
        </w:tc>
        <w:tc>
          <w:tcPr>
            <w:tcW w:type="dxa" w:w="2400"/>
            <w:tcMar>
              <w:top w:type="dxa" w:w="60"/>
              <w:left w:type="dxa" w:w="90"/>
              <w:bottom w:type="dxa" w:w="60"/>
              <w:right w:type="dxa" w:w="90"/>
            </w:tcMar>
          </w:tcPr>
          <w:p>
            <w:pPr>
              <w:spacing w:after="0"/>
            </w:pPr>
            <w:r>
              <w:rPr>
                <w:b w:val="false"/>
                <w:bCs w:val="false"/>
                <w:color w:val="000000"/>
                <w:sz w:val="19"/>
                <w:szCs w:val="19"/>
              </w:rPr>
              <w:t xml:space="preserve">Annotated bibliography + gap matrix</w:t>
            </w:r>
          </w:p>
        </w:tc>
        <w:tc>
          <w:tcPr>
            <w:tcW w:type="dxa" w:w="1680"/>
            <w:tcMar>
              <w:top w:type="dxa" w:w="60"/>
              <w:left w:type="dxa" w:w="90"/>
              <w:bottom w:type="dxa" w:w="60"/>
              <w:right w:type="dxa" w:w="90"/>
            </w:tcMar>
          </w:tcPr>
          <w:p>
            <w:pPr>
              <w:spacing w:after="0"/>
            </w:pPr>
            <w:r>
              <w:rPr>
                <w:b w:val="false"/>
                <w:bCs w:val="false"/>
                <w:color w:val="000000"/>
                <w:sz w:val="19"/>
                <w:szCs w:val="19"/>
              </w:rPr>
              <w:t xml:space="preserve">Zotero, Claude</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P2</w:t>
            </w:r>
          </w:p>
        </w:tc>
        <w:tc>
          <w:tcPr>
            <w:tcW w:type="dxa" w:w="1750"/>
            <w:tcMar>
              <w:top w:type="dxa" w:w="60"/>
              <w:left w:type="dxa" w:w="90"/>
              <w:bottom w:type="dxa" w:w="60"/>
              <w:right w:type="dxa" w:w="90"/>
            </w:tcMar>
          </w:tcPr>
          <w:p>
            <w:pPr>
              <w:spacing w:after="0"/>
            </w:pPr>
            <w:r>
              <w:rPr>
                <w:b w:val="false"/>
                <w:bCs w:val="false"/>
                <w:color w:val="000000"/>
                <w:sz w:val="19"/>
                <w:szCs w:val="19"/>
              </w:rPr>
              <w:t xml:space="preserve">Base process model build &amp; verification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Construct and verify the pyrolysis-plus-distillation flowsheet against published/design data before any data-driven layer is added.</w:t>
            </w:r>
          </w:p>
        </w:tc>
        <w:tc>
          <w:tcPr>
            <w:tcW w:type="dxa" w:w="2400"/>
            <w:tcMar>
              <w:top w:type="dxa" w:w="60"/>
              <w:left w:type="dxa" w:w="90"/>
              <w:bottom w:type="dxa" w:w="60"/>
              <w:right w:type="dxa" w:w="90"/>
            </w:tcMar>
          </w:tcPr>
          <w:p>
            <w:pPr>
              <w:spacing w:after="0"/>
            </w:pPr>
            <w:r>
              <w:rPr>
                <w:b w:val="false"/>
                <w:bCs w:val="false"/>
                <w:color w:val="000000"/>
                <w:sz w:val="19"/>
                <w:szCs w:val="19"/>
              </w:rPr>
              <w:t xml:space="preserve">Verified base model + verification note</w:t>
            </w:r>
          </w:p>
        </w:tc>
        <w:tc>
          <w:tcPr>
            <w:tcW w:type="dxa" w:w="1680"/>
            <w:tcMar>
              <w:top w:type="dxa" w:w="60"/>
              <w:left w:type="dxa" w:w="90"/>
              <w:bottom w:type="dxa" w:w="60"/>
              <w:right w:type="dxa" w:w="90"/>
            </w:tcMar>
          </w:tcPr>
          <w:p>
            <w:pPr>
              <w:spacing w:after="0"/>
            </w:pPr>
            <w:r>
              <w:rPr>
                <w:b w:val="false"/>
                <w:bCs w:val="false"/>
                <w:color w:val="000000"/>
                <w:sz w:val="19"/>
                <w:szCs w:val="19"/>
              </w:rPr>
              <w:t xml:space="preserve">DWSIM, Python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P3</w:t>
            </w:r>
          </w:p>
        </w:tc>
        <w:tc>
          <w:tcPr>
            <w:tcW w:type="dxa" w:w="1750"/>
            <w:tcMar>
              <w:top w:type="dxa" w:w="60"/>
              <w:left w:type="dxa" w:w="90"/>
              <w:bottom w:type="dxa" w:w="60"/>
              <w:right w:type="dxa" w:w="90"/>
            </w:tcMar>
          </w:tcPr>
          <w:p>
            <w:pPr>
              <w:spacing w:after="0"/>
            </w:pPr>
            <w:r>
              <w:rPr>
                <w:b w:val="false"/>
                <w:bCs w:val="false"/>
                <w:color w:val="000000"/>
                <w:sz w:val="19"/>
                <w:szCs w:val="19"/>
              </w:rPr>
              <w:t xml:space="preserve">Data acquisition / generation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Characterize feedstock from public studies; run a Latin-hypercube DOE on the flowsheet to build the surrogate training set.</w:t>
            </w:r>
          </w:p>
        </w:tc>
        <w:tc>
          <w:tcPr>
            <w:tcW w:type="dxa" w:w="2400"/>
            <w:tcMar>
              <w:top w:type="dxa" w:w="60"/>
              <w:left w:type="dxa" w:w="90"/>
              <w:bottom w:type="dxa" w:w="60"/>
              <w:right w:type="dxa" w:w="90"/>
            </w:tcMar>
          </w:tcPr>
          <w:p>
            <w:pPr>
              <w:spacing w:after="0"/>
            </w:pPr>
            <w:r>
              <w:rPr>
                <w:b w:val="false"/>
                <w:bCs w:val="false"/>
                <w:color w:val="000000"/>
                <w:sz w:val="19"/>
                <w:szCs w:val="19"/>
              </w:rPr>
              <w:t xml:space="preserve">Curated dataset + design-of-experiments record</w:t>
            </w:r>
          </w:p>
        </w:tc>
        <w:tc>
          <w:tcPr>
            <w:tcW w:type="dxa" w:w="1680"/>
            <w:tcMar>
              <w:top w:type="dxa" w:w="60"/>
              <w:left w:type="dxa" w:w="90"/>
              <w:bottom w:type="dxa" w:w="60"/>
              <w:right w:type="dxa" w:w="90"/>
            </w:tcMar>
          </w:tcPr>
          <w:p>
            <w:pPr>
              <w:spacing w:after="0"/>
            </w:pPr>
            <w:r>
              <w:rPr>
                <w:b w:val="false"/>
                <w:bCs w:val="false"/>
                <w:color w:val="000000"/>
                <w:sz w:val="19"/>
                <w:szCs w:val="19"/>
              </w:rPr>
              <w:t xml:space="preserve">pandas, numpy, SALib, DWSIM automation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P4</w:t>
            </w:r>
          </w:p>
        </w:tc>
        <w:tc>
          <w:tcPr>
            <w:tcW w:type="dxa" w:w="1750"/>
            <w:tcMar>
              <w:top w:type="dxa" w:w="60"/>
              <w:left w:type="dxa" w:w="90"/>
              <w:bottom w:type="dxa" w:w="60"/>
              <w:right w:type="dxa" w:w="90"/>
            </w:tcMar>
          </w:tcPr>
          <w:p>
            <w:pPr>
              <w:spacing w:after="0"/>
            </w:pPr>
            <w:r>
              <w:rPr>
                <w:b w:val="false"/>
                <w:bCs w:val="false"/>
                <w:color w:val="000000"/>
                <w:sz w:val="19"/>
                <w:szCs w:val="19"/>
              </w:rPr>
              <w:t xml:space="preserve">Method-layer development</w:t>
            </w:r>
          </w:p>
        </w:tc>
        <w:tc>
          <w:tcPr>
            <w:tcW w:type="dxa" w:w="3550"/>
            <w:tcMar>
              <w:top w:type="dxa" w:w="60"/>
              <w:left w:type="dxa" w:w="90"/>
              <w:bottom w:type="dxa" w:w="60"/>
              <w:right w:type="dxa" w:w="90"/>
            </w:tcMar>
          </w:tcPr>
          <w:p>
            <w:pPr>
              <w:spacing w:after="0"/>
            </w:pPr>
            <w:r>
              <w:rPr>
                <w:b w:val="false"/>
                <w:bCs w:val="false"/>
                <w:color w:val="000000"/>
                <w:sz w:val="19"/>
                <w:szCs w:val="19"/>
              </w:rPr>
              <w:t xml:space="preserve">Develop the Bayesian/GP surrogate and the stochastic superstructure optimizer; iterate on features/formulation; version every experiment.</w:t>
            </w:r>
          </w:p>
        </w:tc>
        <w:tc>
          <w:tcPr>
            <w:tcW w:type="dxa" w:w="2400"/>
            <w:tcMar>
              <w:top w:type="dxa" w:w="60"/>
              <w:left w:type="dxa" w:w="90"/>
              <w:bottom w:type="dxa" w:w="60"/>
              <w:right w:type="dxa" w:w="90"/>
            </w:tcMar>
          </w:tcPr>
          <w:p>
            <w:pPr>
              <w:spacing w:after="0"/>
            </w:pPr>
            <w:r>
              <w:rPr>
                <w:b w:val="false"/>
                <w:bCs w:val="false"/>
                <w:color w:val="000000"/>
                <w:sz w:val="19"/>
                <w:szCs w:val="19"/>
              </w:rPr>
              <w:t xml:space="preserve">Trained/solved surrogate + optimized network design</w:t>
            </w:r>
          </w:p>
        </w:tc>
        <w:tc>
          <w:tcPr>
            <w:tcW w:type="dxa" w:w="1680"/>
            <w:tcMar>
              <w:top w:type="dxa" w:w="60"/>
              <w:left w:type="dxa" w:w="90"/>
              <w:bottom w:type="dxa" w:w="60"/>
              <w:right w:type="dxa" w:w="90"/>
            </w:tcMar>
          </w:tcPr>
          <w:p>
            <w:pPr>
              <w:spacing w:after="0"/>
            </w:pPr>
            <w:r>
              <w:rPr>
                <w:b w:val="false"/>
                <w:bCs w:val="false"/>
                <w:color w:val="000000"/>
                <w:sz w:val="19"/>
                <w:szCs w:val="19"/>
              </w:rPr>
              <w:t xml:space="preserve">GPyTorch/LightGBM, Pyomo</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P5</w:t>
            </w:r>
          </w:p>
        </w:tc>
        <w:tc>
          <w:tcPr>
            <w:tcW w:type="dxa" w:w="1750"/>
            <w:tcMar>
              <w:top w:type="dxa" w:w="60"/>
              <w:left w:type="dxa" w:w="90"/>
              <w:bottom w:type="dxa" w:w="60"/>
              <w:right w:type="dxa" w:w="90"/>
            </w:tcMar>
          </w:tcPr>
          <w:p>
            <w:pPr>
              <w:spacing w:after="0"/>
            </w:pPr>
            <w:r>
              <w:rPr>
                <w:b w:val="false"/>
                <w:bCs w:val="false"/>
                <w:color w:val="000000"/>
                <w:sz w:val="19"/>
                <w:szCs w:val="19"/>
              </w:rPr>
              <w:t xml:space="preserve">Validation &amp; benchmarking</w:t>
            </w:r>
          </w:p>
        </w:tc>
        <w:tc>
          <w:tcPr>
            <w:tcW w:type="dxa" w:w="3550"/>
            <w:tcMar>
              <w:top w:type="dxa" w:w="60"/>
              <w:left w:type="dxa" w:w="90"/>
              <w:bottom w:type="dxa" w:w="60"/>
              <w:right w:type="dxa" w:w="90"/>
            </w:tcMar>
          </w:tcPr>
          <w:p>
            <w:pPr>
              <w:spacing w:after="0"/>
            </w:pPr>
            <w:r>
              <w:rPr>
                <w:b w:val="false"/>
                <w:bCs w:val="false"/>
                <w:color w:val="000000"/>
                <w:sz w:val="19"/>
                <w:szCs w:val="19"/>
              </w:rPr>
              <w:t xml:space="preserve">Validate against held-out flowsheet runs and a deterministic baseline; benchmark versus a naive baseline; report error and generalisation bounds.</w:t>
            </w:r>
          </w:p>
        </w:tc>
        <w:tc>
          <w:tcPr>
            <w:tcW w:type="dxa" w:w="2400"/>
            <w:tcMar>
              <w:top w:type="dxa" w:w="60"/>
              <w:left w:type="dxa" w:w="90"/>
              <w:bottom w:type="dxa" w:w="60"/>
              <w:right w:type="dxa" w:w="90"/>
            </w:tcMar>
          </w:tcPr>
          <w:p>
            <w:pPr>
              <w:spacing w:after="0"/>
            </w:pPr>
            <w:r>
              <w:rPr>
                <w:b w:val="false"/>
                <w:bCs w:val="false"/>
                <w:color w:val="000000"/>
                <w:sz w:val="19"/>
                <w:szCs w:val="19"/>
              </w:rPr>
              <w:t xml:space="preserve">Validation &amp; benchmarking report</w:t>
            </w:r>
          </w:p>
        </w:tc>
        <w:tc>
          <w:tcPr>
            <w:tcW w:type="dxa" w:w="1680"/>
            <w:tcMar>
              <w:top w:type="dxa" w:w="60"/>
              <w:left w:type="dxa" w:w="90"/>
              <w:bottom w:type="dxa" w:w="60"/>
              <w:right w:type="dxa" w:w="90"/>
            </w:tcMar>
          </w:tcPr>
          <w:p>
            <w:pPr>
              <w:spacing w:after="0"/>
            </w:pPr>
            <w:r>
              <w:rPr>
                <w:b w:val="false"/>
                <w:bCs w:val="false"/>
                <w:color w:val="000000"/>
                <w:sz w:val="19"/>
                <w:szCs w:val="19"/>
              </w:rPr>
              <w:t xml:space="preserve">scikit-learn, scipy,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P6</w:t>
            </w:r>
          </w:p>
        </w:tc>
        <w:tc>
          <w:tcPr>
            <w:tcW w:type="dxa" w:w="1750"/>
            <w:tcMar>
              <w:top w:type="dxa" w:w="60"/>
              <w:left w:type="dxa" w:w="90"/>
              <w:bottom w:type="dxa" w:w="60"/>
              <w:right w:type="dxa" w:w="90"/>
            </w:tcMar>
          </w:tcPr>
          <w:p>
            <w:pPr>
              <w:spacing w:after="0"/>
            </w:pPr>
            <w:r>
              <w:rPr>
                <w:b w:val="false"/>
                <w:bCs w:val="false"/>
                <w:color w:val="000000"/>
                <w:sz w:val="19"/>
                <w:szCs w:val="19"/>
              </w:rPr>
              <w:t xml:space="preserve">Sensitivity, uncertainty &amp; economics</w:t>
            </w:r>
          </w:p>
        </w:tc>
        <w:tc>
          <w:tcPr>
            <w:tcW w:type="dxa" w:w="3550"/>
            <w:tcMar>
              <w:top w:type="dxa" w:w="60"/>
              <w:left w:type="dxa" w:w="90"/>
              <w:bottom w:type="dxa" w:w="60"/>
              <w:right w:type="dxa" w:w="90"/>
            </w:tcMar>
          </w:tcPr>
          <w:p>
            <w:pPr>
              <w:spacing w:after="0"/>
            </w:pPr>
            <w:r>
              <w:rPr>
                <w:b w:val="false"/>
                <w:bCs w:val="false"/>
                <w:color w:val="000000"/>
                <w:sz w:val="19"/>
                <w:szCs w:val="19"/>
              </w:rPr>
              <w:t xml:space="preserve">Global sensitivity + uncertainty quantification; techno-economic analysis (NPV/IRR, break-even price) and streamlined LCA.</w:t>
            </w:r>
          </w:p>
        </w:tc>
        <w:tc>
          <w:tcPr>
            <w:tcW w:type="dxa" w:w="2400"/>
            <w:tcMar>
              <w:top w:type="dxa" w:w="60"/>
              <w:left w:type="dxa" w:w="90"/>
              <w:bottom w:type="dxa" w:w="60"/>
              <w:right w:type="dxa" w:w="90"/>
            </w:tcMar>
          </w:tcPr>
          <w:p>
            <w:pPr>
              <w:spacing w:after="0"/>
            </w:pPr>
            <w:r>
              <w:rPr>
                <w:b w:val="false"/>
                <w:bCs w:val="false"/>
                <w:color w:val="000000"/>
                <w:sz w:val="19"/>
                <w:szCs w:val="19"/>
              </w:rPr>
              <w:t xml:space="preserve">Sensitivity/UQ analysis + economics</w:t>
            </w:r>
          </w:p>
        </w:tc>
        <w:tc>
          <w:tcPr>
            <w:tcW w:type="dxa" w:w="1680"/>
            <w:tcMar>
              <w:top w:type="dxa" w:w="60"/>
              <w:left w:type="dxa" w:w="90"/>
              <w:bottom w:type="dxa" w:w="60"/>
              <w:right w:type="dxa" w:w="90"/>
            </w:tcMar>
          </w:tcPr>
          <w:p>
            <w:pPr>
              <w:spacing w:after="0"/>
            </w:pPr>
            <w:r>
              <w:rPr>
                <w:b w:val="false"/>
                <w:bCs w:val="false"/>
                <w:color w:val="000000"/>
                <w:sz w:val="19"/>
                <w:szCs w:val="19"/>
              </w:rPr>
              <w:t xml:space="preserve">SALib, pyomo,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P7</w:t>
            </w:r>
          </w:p>
        </w:tc>
        <w:tc>
          <w:tcPr>
            <w:tcW w:type="dxa" w:w="1750"/>
            <w:tcMar>
              <w:top w:type="dxa" w:w="60"/>
              <w:left w:type="dxa" w:w="90"/>
              <w:bottom w:type="dxa" w:w="60"/>
              <w:right w:type="dxa" w:w="90"/>
            </w:tcMar>
          </w:tcPr>
          <w:p>
            <w:pPr>
              <w:spacing w:after="0"/>
            </w:pPr>
            <w:r>
              <w:rPr>
                <w:b w:val="false"/>
                <w:bCs w:val="false"/>
                <w:color w:val="000000"/>
                <w:sz w:val="19"/>
                <w:szCs w:val="19"/>
              </w:rPr>
              <w:t xml:space="preserve">Manuscript drafting</w:t>
            </w:r>
          </w:p>
        </w:tc>
        <w:tc>
          <w:tcPr>
            <w:tcW w:type="dxa" w:w="3550"/>
            <w:tcMar>
              <w:top w:type="dxa" w:w="60"/>
              <w:left w:type="dxa" w:w="90"/>
              <w:bottom w:type="dxa" w:w="60"/>
              <w:right w:type="dxa" w:w="90"/>
            </w:tcMar>
          </w:tcPr>
          <w:p>
            <w:pPr>
              <w:spacing w:after="0"/>
            </w:pPr>
            <w:r>
              <w:rPr>
                <w:b w:val="false"/>
                <w:bCs w:val="false"/>
                <w:color w:val="000000"/>
                <w:sz w:val="19"/>
                <w:szCs w:val="19"/>
              </w:rPr>
              <w:t xml:space="preserve">Draft the thesis chapters and, in parallel, the target-journal manuscript; keep figures reproducible from /src.</w:t>
            </w:r>
          </w:p>
        </w:tc>
        <w:tc>
          <w:tcPr>
            <w:tcW w:type="dxa" w:w="2400"/>
            <w:tcMar>
              <w:top w:type="dxa" w:w="60"/>
              <w:left w:type="dxa" w:w="90"/>
              <w:bottom w:type="dxa" w:w="60"/>
              <w:right w:type="dxa" w:w="90"/>
            </w:tcMar>
          </w:tcPr>
          <w:p>
            <w:pPr>
              <w:spacing w:after="0"/>
            </w:pPr>
            <w:r>
              <w:rPr>
                <w:b w:val="false"/>
                <w:bCs w:val="false"/>
                <w:color w:val="000000"/>
                <w:sz w:val="19"/>
                <w:szCs w:val="19"/>
              </w:rPr>
              <w:t xml:space="preserve">Thesis draft + journal manuscript draft</w:t>
            </w:r>
          </w:p>
        </w:tc>
        <w:tc>
          <w:tcPr>
            <w:tcW w:type="dxa" w:w="1680"/>
            <w:tcMar>
              <w:top w:type="dxa" w:w="60"/>
              <w:left w:type="dxa" w:w="90"/>
              <w:bottom w:type="dxa" w:w="60"/>
              <w:right w:type="dxa" w:w="90"/>
            </w:tcMar>
          </w:tcPr>
          <w:p>
            <w:pPr>
              <w:spacing w:after="0"/>
            </w:pPr>
            <w:r>
              <w:rPr>
                <w:b w:val="false"/>
                <w:bCs w:val="false"/>
                <w:color w:val="000000"/>
                <w:sz w:val="19"/>
                <w:szCs w:val="19"/>
              </w:rPr>
              <w:t xml:space="preserve">docx/LaTeX, matplotlib</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P8</w:t>
            </w:r>
          </w:p>
        </w:tc>
        <w:tc>
          <w:tcPr>
            <w:tcW w:type="dxa" w:w="1750"/>
            <w:tcMar>
              <w:top w:type="dxa" w:w="60"/>
              <w:left w:type="dxa" w:w="90"/>
              <w:bottom w:type="dxa" w:w="60"/>
              <w:right w:type="dxa" w:w="90"/>
            </w:tcMar>
          </w:tcPr>
          <w:p>
            <w:pPr>
              <w:spacing w:after="0"/>
            </w:pPr>
            <w:r>
              <w:rPr>
                <w:b w:val="false"/>
                <w:bCs w:val="false"/>
                <w:color w:val="000000"/>
                <w:sz w:val="19"/>
                <w:szCs w:val="19"/>
              </w:rPr>
              <w:t xml:space="preserve">Defense preparation &amp; submission</w:t>
            </w:r>
          </w:p>
        </w:tc>
        <w:tc>
          <w:tcPr>
            <w:tcW w:type="dxa" w:w="3550"/>
            <w:tcMar>
              <w:top w:type="dxa" w:w="60"/>
              <w:left w:type="dxa" w:w="90"/>
              <w:bottom w:type="dxa" w:w="60"/>
              <w:right w:type="dxa" w:w="90"/>
            </w:tcMar>
          </w:tcPr>
          <w:p>
            <w:pPr>
              <w:spacing w:after="0"/>
            </w:pPr>
            <w:r>
              <w:rPr>
                <w:b w:val="false"/>
                <w:bCs w:val="false"/>
                <w:color w:val="000000"/>
                <w:sz w:val="19"/>
                <w:szCs w:val="19"/>
              </w:rPr>
              <w:t xml:space="preserve">Defense deck, mock defense, reviewer-style critique pass, revisions; submit thesis and journal manuscript.</w:t>
            </w:r>
          </w:p>
        </w:tc>
        <w:tc>
          <w:tcPr>
            <w:tcW w:type="dxa" w:w="2400"/>
            <w:tcMar>
              <w:top w:type="dxa" w:w="60"/>
              <w:left w:type="dxa" w:w="90"/>
              <w:bottom w:type="dxa" w:w="60"/>
              <w:right w:type="dxa" w:w="90"/>
            </w:tcMar>
          </w:tcPr>
          <w:p>
            <w:pPr>
              <w:spacing w:after="0"/>
            </w:pPr>
            <w:r>
              <w:rPr>
                <w:b w:val="false"/>
                <w:bCs w:val="false"/>
                <w:color w:val="000000"/>
                <w:sz w:val="19"/>
                <w:szCs w:val="19"/>
              </w:rPr>
              <w:t xml:space="preserve">Final thesis + submitted manuscript</w:t>
            </w:r>
          </w:p>
        </w:tc>
        <w:tc>
          <w:tcPr>
            <w:tcW w:type="dxa" w:w="1680"/>
            <w:tcMar>
              <w:top w:type="dxa" w:w="60"/>
              <w:left w:type="dxa" w:w="90"/>
              <w:bottom w:type="dxa" w:w="60"/>
              <w:right w:type="dxa" w:w="90"/>
            </w:tcMar>
          </w:tcPr>
          <w:p>
            <w:pPr>
              <w:spacing w:after="0"/>
            </w:pPr>
            <w:r>
              <w:rPr>
                <w:b w:val="false"/>
                <w:bCs w:val="false"/>
                <w:color w:val="000000"/>
                <w:sz w:val="19"/>
                <w:szCs w:val="19"/>
              </w:rPr>
              <w:t xml:space="preserve">Claude (reviewer simulation)</w:t>
            </w:r>
          </w:p>
        </w:tc>
      </w:tr>
      <w:tr>
        <w:tc>
          <w:tcPr>
            <w:tcW w:type="dxa" w:w="700"/>
            <w:tcMar>
              <w:top w:type="dxa" w:w="60"/>
              <w:left w:type="dxa" w:w="90"/>
              <w:bottom w:type="dxa" w:w="60"/>
              <w:right w:type="dxa" w:w="90"/>
            </w:tcMar>
          </w:tcPr>
          <w:p>
            <w:pPr>
              <w:spacing w:after="0"/>
            </w:pPr>
            <w:r>
              <w:rPr>
                <w:b w:val="false"/>
                <w:bCs w:val="false"/>
                <w:color w:val="000000"/>
                <w:sz w:val="19"/>
                <w:szCs w:val="19"/>
              </w:rPr>
              <w:t xml:space="preserve">P9</w:t>
            </w:r>
          </w:p>
        </w:tc>
        <w:tc>
          <w:tcPr>
            <w:tcW w:type="dxa" w:w="1750"/>
            <w:tcMar>
              <w:top w:type="dxa" w:w="60"/>
              <w:left w:type="dxa" w:w="90"/>
              <w:bottom w:type="dxa" w:w="60"/>
              <w:right w:type="dxa" w:w="90"/>
            </w:tcMar>
          </w:tcPr>
          <w:p>
            <w:pPr>
              <w:spacing w:after="0"/>
            </w:pPr>
            <w:r>
              <w:rPr>
                <w:b w:val="false"/>
                <w:bCs w:val="false"/>
                <w:color w:val="000000"/>
                <w:sz w:val="19"/>
                <w:szCs w:val="19"/>
              </w:rPr>
              <w:t xml:space="preserve">Preservation &amp; archival</w:t>
            </w:r>
          </w:p>
        </w:tc>
        <w:tc>
          <w:tcPr>
            <w:tcW w:type="dxa" w:w="3550"/>
            <w:tcMar>
              <w:top w:type="dxa" w:w="60"/>
              <w:left w:type="dxa" w:w="90"/>
              <w:bottom w:type="dxa" w:w="60"/>
              <w:right w:type="dxa" w:w="90"/>
            </w:tcMar>
          </w:tcPr>
          <w:p>
            <w:pPr>
              <w:spacing w:after="0"/>
            </w:pPr>
            <w:r>
              <w:rPr>
                <w:b w:val="false"/>
                <w:bCs w:val="false"/>
                <w:color w:val="000000"/>
                <w:sz w:val="19"/>
                <w:szCs w:val="19"/>
              </w:rPr>
              <w:t xml:space="preserve">Tag a release; mint a DOI via the Zenodo–GitHub integration BEFORE submission; freeze data provenance.</w:t>
            </w:r>
          </w:p>
        </w:tc>
        <w:tc>
          <w:tcPr>
            <w:tcW w:type="dxa" w:w="2400"/>
            <w:tcMar>
              <w:top w:type="dxa" w:w="60"/>
              <w:left w:type="dxa" w:w="90"/>
              <w:bottom w:type="dxa" w:w="60"/>
              <w:right w:type="dxa" w:w="90"/>
            </w:tcMar>
          </w:tcPr>
          <w:p>
            <w:pPr>
              <w:spacing w:after="0"/>
            </w:pPr>
            <w:r>
              <w:rPr>
                <w:b w:val="false"/>
                <w:bCs w:val="false"/>
                <w:color w:val="000000"/>
                <w:sz w:val="19"/>
                <w:szCs w:val="19"/>
              </w:rPr>
              <w:t xml:space="preserve">Tagged release + Zenodo DOI</w:t>
            </w:r>
          </w:p>
        </w:tc>
        <w:tc>
          <w:tcPr>
            <w:tcW w:type="dxa" w:w="1680"/>
            <w:tcMar>
              <w:top w:type="dxa" w:w="60"/>
              <w:left w:type="dxa" w:w="90"/>
              <w:bottom w:type="dxa" w:w="60"/>
              <w:right w:type="dxa" w:w="90"/>
            </w:tcMar>
          </w:tcPr>
          <w:p>
            <w:pPr>
              <w:spacing w:after="0"/>
            </w:pPr>
            <w:r>
              <w:rPr>
                <w:b w:val="false"/>
                <w:bCs w:val="false"/>
                <w:color w:val="000000"/>
                <w:sz w:val="19"/>
                <w:szCs w:val="19"/>
              </w:rPr>
              <w:t xml:space="preserve">GitHub Releases, Zenodo</w:t>
            </w:r>
          </w:p>
        </w:tc>
      </w:tr>
    </w:tbl>
    <w:p>
      <w:pPr>
        <w:pStyle w:val="Heading1"/>
      </w:pPr>
      <w:r>
        <w:t xml:space="preserve">12. GitHub Repository and Dedicated Claude Session Protocol</w:t>
      </w:r>
    </w:p>
    <w:p>
      <w:pPr>
        <w:spacing w:after="100"/>
      </w:pPr>
      <w:r>
        <w:rPr>
          <w:b/>
          <w:bCs/>
        </w:rPr>
        <w:t xml:space="preserve">Repository name: </w:t>
      </w:r>
      <w:r>
        <w:rPr>
          <w:b/>
          <w:bCs/>
          <w:color w:val="2E6E63"/>
        </w:rPr>
        <w:t xml:space="preserve">ipis-thesis-pyrolysis-epr</w:t>
      </w:r>
    </w:p>
    <w:p>
      <w:pPr>
        <w:spacing w:after="100"/>
      </w:pPr>
      <w:r>
        <w:t xml:space="preserve">This thesis is documented and preserved in its own repository, created at P0, before any modeling. It runs in its own dedicated Claude session so context stays clean across the 15 theses. Pin this prospectus as the session brief and advance phase by phase.</w:t>
      </w:r>
    </w:p>
    <w:p>
      <w:pPr>
        <w:pStyle w:val="Heading2"/>
      </w:pPr>
      <w:r>
        <w:t xml:space="preserve">Repository structure</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2000"/>
        <w:gridCol w:w="8080"/>
      </w:tblGrid>
      <w:tr>
        <w:trPr>
          <w:tblHeader/>
        </w:trPr>
        <w:tc>
          <w:tcPr>
            <w:tcW w:type="dxa" w:w="2000"/>
            <w:shd w:fill="1F3A5F" w:color="auto" w:val="clear"/>
            <w:tcMar>
              <w:top w:type="dxa" w:w="60"/>
              <w:left w:type="dxa" w:w="90"/>
              <w:bottom w:type="dxa" w:w="60"/>
              <w:right w:type="dxa" w:w="90"/>
            </w:tcMar>
          </w:tcPr>
          <w:p>
            <w:pPr>
              <w:spacing w:after="0"/>
            </w:pPr>
            <w:r>
              <w:rPr>
                <w:b/>
                <w:bCs/>
                <w:color w:val="FFFFFF"/>
                <w:sz w:val="20"/>
                <w:szCs w:val="20"/>
              </w:rPr>
              <w:t xml:space="preserve">Folder</w:t>
            </w:r>
          </w:p>
        </w:tc>
        <w:tc>
          <w:tcPr>
            <w:tcW w:type="dxa" w:w="8080"/>
            <w:shd w:fill="1F3A5F" w:color="auto" w:val="clear"/>
            <w:tcMar>
              <w:top w:type="dxa" w:w="60"/>
              <w:left w:type="dxa" w:w="90"/>
              <w:bottom w:type="dxa" w:w="60"/>
              <w:right w:type="dxa" w:w="90"/>
            </w:tcMar>
          </w:tcPr>
          <w:p>
            <w:pPr>
              <w:spacing w:after="0"/>
            </w:pPr>
            <w:r>
              <w:rPr>
                <w:b/>
                <w:bCs/>
                <w:color w:val="FFFFFF"/>
                <w:sz w:val="20"/>
                <w:szCs w:val="20"/>
              </w:rPr>
              <w:t xml:space="preserve">Purpose</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/docs</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Prospectus (this file), design notes, decision log, meeting notes.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/literature</w:t>
            </w:r>
          </w:p>
        </w:tc>
        <w:tc>
          <w:tcPr>
            <w:tcW w:type="dxa" w:w="8080"/>
            <w:tcMar>
              <w:top w:type="dxa" w:w="60"/>
              <w:left w:type="dxa" w:w="90"/>
              <w:bottom w:type="dxa" w:w="60"/>
              <w:right w:type="dxa" w:w="90"/>
            </w:tcMar>
          </w:tcPr>
          <w:p>
            <w:pPr>
              <w:spacing w:after="0"/>
            </w:pPr>
            <w:r>
              <w:rPr>
                <w:b w:val="false"/>
                <w:bCs w:val="false"/>
                <w:color w:val="000000"/>
                <w:sz w:val="19"/>
                <w:szCs w:val="19"/>
              </w:rPr>
              <w:t xml:space="preserve">PDFs + the annotated bibliography and gap matrix (P1).</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/models</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Process-simulation files (flowsheets, property-package configs) and their verification notes.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/data</w:t>
            </w:r>
          </w:p>
        </w:tc>
        <w:tc>
          <w:tcPr>
            <w:tcW w:type="dxa" w:w="8080"/>
            <w:tcMar>
              <w:top w:type="dxa" w:w="60"/>
              <w:left w:type="dxa" w:w="90"/>
              <w:bottom w:type="dxa" w:w="60"/>
              <w:right w:type="dxa" w:w="90"/>
            </w:tcMar>
          </w:tcPr>
          <w:p>
            <w:pPr>
              <w:spacing w:after="0"/>
            </w:pPr>
            <w:r>
              <w:rPr>
                <w:b w:val="false"/>
                <w:bCs w:val="false"/>
                <w:color w:val="000000"/>
                <w:sz w:val="19"/>
                <w:szCs w:val="19"/>
              </w:rPr>
              <w:t xml:space="preserve">Datasets with a data/README documenting provenance, licence, and any transformations. No proprietary plant data is committed — see governance below.</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/notebooks</w:t>
            </w:r>
          </w:p>
        </w:tc>
        <w:tc>
          <w:tcPr>
            <w:tcW w:type="dxa" w:w="8080"/>
            <w:tcMar>
              <w:top w:type="dxa" w:w="60"/>
              <w:left w:type="dxa" w:w="90"/>
              <w:bottom w:type="dxa" w:w="60"/>
              <w:right w:type="dxa" w:w="90"/>
            </w:tcMar>
          </w:tcPr>
          <w:p>
            <w:pPr>
              <w:spacing w:after="0"/>
            </w:pPr>
            <w:r>
              <w:rPr>
                <w:b w:val="false"/>
                <w:bCs w:val="false"/>
                <w:color w:val="000000"/>
                <w:sz w:val="19"/>
                <w:szCs w:val="19"/>
              </w:rPr>
              <w:t xml:space="preserve">Exploratory Jupyter notebooks; numbered by phase (e.g., 04_surrogate_training.ipynb).</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/src</w:t>
            </w:r>
          </w:p>
        </w:tc>
        <w:tc>
          <w:tcPr>
            <w:tcW w:type="dxa" w:w="8080"/>
            <w:tcMar>
              <w:top w:type="dxa" w:w="60"/>
              <w:left w:type="dxa" w:w="90"/>
              <w:bottom w:type="dxa" w:w="60"/>
              <w:right w:type="dxa" w:w="90"/>
            </w:tcMar>
          </w:tcPr>
          <w:p>
            <w:pPr>
              <w:spacing w:after="0"/>
            </w:pPr>
            <w:r>
              <w:rPr>
                <w:b w:val="false"/>
                <w:bCs w:val="false"/>
                <w:color w:val="000000"/>
                <w:sz w:val="19"/>
                <w:szCs w:val="19"/>
              </w:rPr>
              <w:t xml:space="preserve">Production-aware, commented modules that reproduce every figure and result from raw inputs.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/results</w:t>
            </w:r>
          </w:p>
        </w:tc>
        <w:tc>
          <w:tcPr>
            <w:tcW w:type="dxa" w:w="8080"/>
            <w:tcMar>
              <w:top w:type="dxa" w:w="60"/>
              <w:left w:type="dxa" w:w="90"/>
              <w:bottom w:type="dxa" w:w="60"/>
              <w:right w:type="dxa" w:w="90"/>
            </w:tcMar>
          </w:tcPr>
          <w:p>
            <w:pPr>
              <w:spacing w:after="0"/>
            </w:pPr>
            <w:r>
              <w:rPr>
                <w:b w:val="false"/>
                <w:bCs w:val="false"/>
                <w:color w:val="000000"/>
                <w:sz w:val="19"/>
                <w:szCs w:val="19"/>
              </w:rPr>
              <w:t xml:space="preserve">Model outputs, metrics, and serialized artifacts (surrogates, controllers, optimizers).</w:t>
            </w:r>
          </w:p>
        </w:tc>
      </w:tr>
      <w:tr>
        <w:tc>
          <w:tcPr>
            <w:tcW w:type="dxa" w:w="2000"/>
            <w:tcMar>
              <w:top w:type="dxa" w:w="60"/>
              <w:left w:type="dxa" w:w="90"/>
              <w:bottom w:type="dxa" w:w="60"/>
              <w:right w:type="dxa" w:w="90"/>
            </w:tcMar>
          </w:tcPr>
          <w:p>
            <w:pPr>
              <w:spacing w:after="0"/>
            </w:pPr>
            <w:r>
              <w:rPr>
                <w:b w:val="false"/>
                <w:bCs w:val="false"/>
                <w:color w:val="000000"/>
                <w:sz w:val="19"/>
                <w:szCs w:val="19"/>
              </w:rPr>
              <w:t xml:space="preserve">/manuscript</w:t>
            </w:r>
          </w:p>
        </w:tc>
        <w:tc>
          <w:tcPr>
            <w:tcW w:type="dxa" w:w="8080"/>
            <w:tcMar>
              <w:top w:type="dxa" w:w="60"/>
              <w:left w:type="dxa" w:w="90"/>
              <w:bottom w:type="dxa" w:w="60"/>
              <w:right w:type="dxa" w:w="90"/>
            </w:tcMar>
          </w:tcPr>
          <w:p>
            <w:pPr>
              <w:spacing w:after="0"/>
            </w:pPr>
            <w:r>
              <w:rPr>
                <w:b w:val="false"/>
                <w:bCs w:val="false"/>
                <w:color w:val="000000"/>
                <w:sz w:val="19"/>
                <w:szCs w:val="19"/>
              </w:rPr>
              <w:t xml:space="preserve">Thesis chapters and the journal manuscript (Markdown/LaTeX), plus /figures.</w:t>
            </w:r>
          </w:p>
        </w:tc>
      </w:tr>
    </w:tbl>
    <w:p>
      <w:pPr>
        <w:pStyle w:val="Heading2"/>
      </w:pPr>
      <w:r>
        <w:t xml:space="preserve">Workflow</w:t>
      </w:r>
    </w:p>
    <w:p>
      <w:pPr>
        <w:pStyle w:val="ListParagraph"/>
        <w:numPr>
          <w:ilvl w:val="0"/>
          <w:numId w:val="2"/>
        </w:numPr>
        <w:spacing w:after="60"/>
      </w:pPr>
      <w:r>
        <w:t xml:space="preserve">One branch per lifecycle phase; merge to main at each phase gate.</w:t>
      </w:r>
    </w:p>
    <w:p>
      <w:pPr>
        <w:pStyle w:val="ListParagraph"/>
        <w:numPr>
          <w:ilvl w:val="0"/>
          <w:numId w:val="2"/>
        </w:numPr>
        <w:spacing w:after="60"/>
      </w:pPr>
      <w:r>
        <w:t xml:space="preserve">Conventional commits; commit early and often — the repo is the preservation record, not an afterthought.</w:t>
      </w:r>
    </w:p>
    <w:p>
      <w:pPr>
        <w:pStyle w:val="ListParagraph"/>
        <w:numPr>
          <w:ilvl w:val="0"/>
          <w:numId w:val="2"/>
        </w:numPr>
        <w:spacing w:after="60"/>
      </w:pPr>
      <w:r>
        <w:t xml:space="preserve">Tag a release at each milestone (verified base model, trained method layer, submission).</w:t>
      </w:r>
    </w:p>
    <w:p>
      <w:pPr>
        <w:pStyle w:val="ListParagraph"/>
        <w:numPr>
          <w:ilvl w:val="0"/>
          <w:numId w:val="2"/>
        </w:numPr>
        <w:spacing w:after="60"/>
      </w:pPr>
      <w:r>
        <w:t xml:space="preserve">/src must reproduce every figure and result from raw inputs; no un-scripted manual steps.</w:t>
      </w:r>
    </w:p>
    <w:p>
      <w:pPr>
        <w:pStyle w:val="Heading2"/>
      </w:pPr>
      <w:r>
        <w:t xml:space="preserve">Preservation before submission</w:t>
      </w:r>
    </w:p>
    <w:p>
      <w:pPr>
        <w:pStyle w:val="ListParagraph"/>
        <w:numPr>
          <w:ilvl w:val="0"/>
          <w:numId w:val="2"/>
        </w:numPr>
        <w:spacing w:after="60"/>
      </w:pPr>
      <w:r>
        <w:t xml:space="preserve">Connect the repository to Zenodo via the GitHub integration.</w:t>
      </w:r>
    </w:p>
    <w:p>
      <w:pPr>
        <w:pStyle w:val="ListParagraph"/>
        <w:numPr>
          <w:ilvl w:val="0"/>
          <w:numId w:val="2"/>
        </w:numPr>
        <w:spacing w:after="60"/>
      </w:pPr>
      <w:r>
        <w:t xml:space="preserve">Cut a pre-submission release; Zenodo mints a DOI for that exact snapshot.</w:t>
      </w:r>
    </w:p>
    <w:p>
      <w:pPr>
        <w:pStyle w:val="ListParagraph"/>
        <w:numPr>
          <w:ilvl w:val="0"/>
          <w:numId w:val="2"/>
        </w:numPr>
        <w:spacing w:after="60"/>
      </w:pPr>
      <w:r>
        <w:t xml:space="preserve">Cite the DOI in the thesis and the journal manuscript so the artifact is permanently referenceable.</w:t>
      </w:r>
    </w:p>
    <w:p>
      <w:pPr>
        <w:pStyle w:val="ListParagraph"/>
        <w:numPr>
          <w:ilvl w:val="0"/>
          <w:numId w:val="2"/>
        </w:numPr>
        <w:spacing w:after="60"/>
      </w:pPr>
      <w:r>
        <w:t xml:space="preserve">Freeze data provenance in data/README at the same commit.</w:t>
      </w:r>
    </w:p>
    <w:p>
      <w:pPr>
        <w:pStyle w:val="Heading2"/>
      </w:pPr>
      <w:r>
        <w:t xml:space="preserve">Data governance</w:t>
      </w:r>
    </w:p>
    <w:p>
      <w:pPr>
        <w:pStyle w:val="ListParagraph"/>
        <w:numPr>
          <w:ilvl w:val="0"/>
          <w:numId w:val="2"/>
        </w:numPr>
        <w:spacing w:after="60"/>
      </w:pPr>
      <w:r>
        <w:t xml:space="preserve">Never commit proprietary plant, partner, or company data to the public repository.</w:t>
      </w:r>
    </w:p>
    <w:p>
      <w:pPr>
        <w:pStyle w:val="ListParagraph"/>
        <w:numPr>
          <w:ilvl w:val="0"/>
          <w:numId w:val="2"/>
        </w:numPr>
        <w:spacing w:after="60"/>
      </w:pPr>
      <w:r>
        <w:t xml:space="preserve">Use .gitignore for large simulation files and raw datasets; store them locally or in a private submodule.</w:t>
      </w:r>
    </w:p>
    <w:p>
      <w:pPr>
        <w:pStyle w:val="ListParagraph"/>
        <w:numPr>
          <w:ilvl w:val="0"/>
          <w:numId w:val="2"/>
        </w:numPr>
        <w:spacing w:after="60"/>
      </w:pPr>
      <w:r>
        <w:t xml:space="preserve">Document provenance and licence for every dataset used.</w:t>
      </w:r>
    </w:p>
    <w:p>
      <w:pPr>
        <w:pStyle w:val="ListParagraph"/>
        <w:numPr>
          <w:ilvl w:val="0"/>
          <w:numId w:val="2"/>
        </w:numPr>
        <w:spacing w:after="60"/>
      </w:pPr>
      <w:r>
        <w:t xml:space="preserve">Keep any industry-partner data out of the public repo entirely.</w:t>
      </w:r>
    </w:p>
    <w:p>
      <w:pPr>
        <w:pStyle w:val="Heading1"/>
      </w:pPr>
      <w:r>
        <w:t xml:space="preserve">13. Target Journals and Publication Path</w:t>
      </w:r>
    </w:p>
    <w:p>
      <w:pPr>
        <w:spacing w:after="100"/>
      </w:pPr>
      <w:r>
        <w:rPr>
          <w:b/>
          <w:bCs/>
        </w:rPr>
        <w:t xml:space="preserve">Primary: </w:t>
      </w:r>
      <w:r>
        <w:t xml:space="preserve">Computers &amp; Chemical Engineering. </w:t>
      </w:r>
      <w:r>
        <w:rPr>
          <w:b/>
          <w:bCs/>
        </w:rPr>
        <w:t xml:space="preserve">Fallback: </w:t>
      </w:r>
      <w:r>
        <w:t xml:space="preserve">Journal of Cleaner Production / ACS Sustainable Chemistry &amp; Engineering.</w:t>
      </w:r>
    </w:p>
    <w:p>
      <w:pPr>
        <w:spacing w:after="100"/>
      </w:pPr>
      <w:r>
        <w:t xml:space="preserve">Draft the journal manuscript in parallel with the thesis chapters (P7) so submission (P8) does not become a separate project. The thesis is the long form; the paper is the distilled contribution.</w:t>
      </w:r>
    </w:p>
    <w:p>
      <w:pPr>
        <w:pStyle w:val="Heading1"/>
      </w:pPr>
      <w:r>
        <w:t xml:space="preserve">14. Key References to Pursue</w:t>
      </w:r>
    </w:p>
    <w:p>
      <w:pPr>
        <w:spacing w:after="100"/>
      </w:pPr>
      <w:r>
        <w:rPr>
          <w:i/>
          <w:iCs/>
          <w:color w:val="374151"/>
        </w:rPr>
        <w:t xml:space="preserve">Bodies of literature to review in P1. These are directions, not citations — pull exact, verifiable references during the systematic review; do not cite from memory.</w:t>
      </w:r>
    </w:p>
    <w:p>
      <w:pPr>
        <w:pStyle w:val="ListParagraph"/>
        <w:numPr>
          <w:ilvl w:val="0"/>
          <w:numId w:val="2"/>
        </w:numPr>
        <w:spacing w:after="60"/>
      </w:pPr>
      <w:r>
        <w:t xml:space="preserve">Mixed-plastic pyrolysis lumped kinetics and yields (review literature).</w:t>
      </w:r>
    </w:p>
    <w:p>
      <w:pPr>
        <w:pStyle w:val="ListParagraph"/>
        <w:numPr>
          <w:ilvl w:val="0"/>
          <w:numId w:val="2"/>
        </w:numPr>
        <w:spacing w:after="60"/>
      </w:pPr>
      <w:r>
        <w:t xml:space="preserve">Gaussian-process / surrogate-assisted optimization in process systems engineering.</w:t>
      </w:r>
    </w:p>
    <w:p>
      <w:pPr>
        <w:pStyle w:val="ListParagraph"/>
        <w:numPr>
          <w:ilvl w:val="0"/>
          <w:numId w:val="2"/>
        </w:numPr>
        <w:spacing w:after="60"/>
      </w:pPr>
      <w:r>
        <w:t xml:space="preserve">Superstructure optimization and process network synthesis.</w:t>
      </w:r>
    </w:p>
    <w:p>
      <w:pPr>
        <w:pStyle w:val="ListParagraph"/>
        <w:numPr>
          <w:ilvl w:val="0"/>
          <w:numId w:val="2"/>
        </w:numPr>
        <w:spacing w:after="60"/>
      </w:pPr>
      <w:r>
        <w:t xml:space="preserve">Stochastic and robust optimization under feedstock uncertainty.</w:t>
      </w:r>
    </w:p>
    <w:p>
      <w:pPr>
        <w:pStyle w:val="ListParagraph"/>
        <w:numPr>
          <w:ilvl w:val="0"/>
          <w:numId w:val="2"/>
        </w:numPr>
        <w:spacing w:after="60"/>
      </w:pPr>
      <w:r>
        <w:t xml:space="preserve">Philippine EPR Act (RA 11898) and DENR implementing rules; PH waste-characterization studies.</w:t>
      </w:r>
    </w:p>
    <w:p>
      <w:pPr>
        <w:pStyle w:val="Heading1"/>
      </w:pPr>
      <w:r>
        <w:t xml:space="preserve">15. Risk Register</w:t>
      </w:r>
    </w:p>
    <w:tbl>
      <w:tblPr>
        <w:tblW w:type="dxa" w:w="10080"/>
        <w:tblBorders>
          <w:top w:val="single" w:color="B7C0CC" w:sz="2"/>
          <w:left w:val="single" w:color="B7C0CC" w:sz="2"/>
          <w:bottom w:val="single" w:color="B7C0CC" w:sz="2"/>
          <w:right w:val="single" w:color="B7C0CC" w:sz="2"/>
          <w:insideH w:val="single" w:color="D6DCE4" w:sz="1"/>
          <w:insideV w:val="single" w:color="D6DCE4" w:sz="1"/>
        </w:tblBorders>
      </w:tblPr>
      <w:tblGrid>
        <w:gridCol w:w="3400"/>
        <w:gridCol w:w="6680"/>
      </w:tblGrid>
      <w:tr>
        <w:trPr>
          <w:tblHeader/>
        </w:trPr>
        <w:tc>
          <w:tcPr>
            <w:tcW w:type="dxa" w:w="3400"/>
            <w:shd w:fill="1F3A5F" w:color="auto" w:val="clear"/>
            <w:tcMar>
              <w:top w:type="dxa" w:w="60"/>
              <w:left w:type="dxa" w:w="90"/>
              <w:bottom w:type="dxa" w:w="60"/>
              <w:right w:type="dxa" w:w="90"/>
            </w:tcMar>
          </w:tcPr>
          <w:p>
            <w:pPr>
              <w:spacing w:after="0"/>
            </w:pPr>
            <w:r>
              <w:rPr>
                <w:b/>
                <w:bCs/>
                <w:color w:val="FFFFFF"/>
                <w:sz w:val="20"/>
                <w:szCs w:val="20"/>
              </w:rPr>
              <w:t xml:space="preserve">Risk</w:t>
            </w:r>
          </w:p>
        </w:tc>
        <w:tc>
          <w:tcPr>
            <w:tcW w:type="dxa" w:w="6680"/>
            <w:shd w:fill="1F3A5F" w:color="auto" w:val="clear"/>
            <w:tcMar>
              <w:top w:type="dxa" w:w="60"/>
              <w:left w:type="dxa" w:w="90"/>
              <w:bottom w:type="dxa" w:w="60"/>
              <w:right w:type="dxa" w:w="90"/>
            </w:tcMar>
          </w:tcPr>
          <w:p>
            <w:pPr>
              <w:spacing w:after="0"/>
            </w:pPr>
            <w:r>
              <w:rPr>
                <w:b/>
                <w:bCs/>
                <w:color w:val="FFFFFF"/>
                <w:sz w:val="20"/>
                <w:szCs w:val="20"/>
              </w:rPr>
              <w:t xml:space="preserve">Mitigation</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Novelty read as incremental TEA</w:t>
            </w:r>
          </w:p>
        </w:tc>
        <w:tc>
          <w:tcPr>
            <w:tcW w:type="dxa" w:w="6680"/>
            <w:tcMar>
              <w:top w:type="dxa" w:w="60"/>
              <w:left w:type="dxa" w:w="90"/>
              <w:bottom w:type="dxa" w:w="60"/>
              <w:right w:type="dxa" w:w="90"/>
            </w:tcMar>
          </w:tcPr>
          <w:p>
            <w:pPr>
              <w:spacing w:after="0"/>
            </w:pPr>
            <w:r>
              <w:rPr>
                <w:b w:val="false"/>
                <w:bCs w:val="false"/>
                <w:color w:val="000000"/>
                <w:sz w:val="19"/>
                <w:szCs w:val="19"/>
              </w:rPr>
              <w:t xml:space="preserve">Lead with the method (uncertainty-aware surrogate + spatial superstructure); frame the PH design as the application, not the contribution.</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Lumped-kinetic uncertainty attacked in review</w:t>
            </w:r>
          </w:p>
        </w:tc>
        <w:tc>
          <w:tcPr>
            <w:tcW w:type="dxa" w:w="6680"/>
            <w:tcMar>
              <w:top w:type="dxa" w:w="60"/>
              <w:left w:type="dxa" w:w="90"/>
              <w:bottom w:type="dxa" w:w="60"/>
              <w:right w:type="dxa" w:w="90"/>
            </w:tcMar>
          </w:tcPr>
          <w:p>
            <w:pPr>
              <w:spacing w:after="0"/>
            </w:pPr>
            <w:r>
              <w:rPr>
                <w:b w:val="false"/>
                <w:bCs w:val="false"/>
                <w:color w:val="000000"/>
                <w:sz w:val="19"/>
                <w:szCs w:val="19"/>
              </w:rPr>
              <w:t xml:space="preserve">Make kinetic uncertainty an explicit propagated input; include sensitivity to kinetic parameters.</w:t>
            </w:r>
          </w:p>
        </w:tc>
      </w:tr>
      <w:tr>
        <w:tc>
          <w:tcPr>
            <w:tcW w:type="dxa" w:w="3400"/>
            <w:tcMar>
              <w:top w:type="dxa" w:w="60"/>
              <w:left w:type="dxa" w:w="90"/>
              <w:bottom w:type="dxa" w:w="60"/>
              <w:right w:type="dxa" w:w="90"/>
            </w:tcMar>
          </w:tcPr>
          <w:p>
            <w:pPr>
              <w:spacing w:after="0"/>
            </w:pPr>
            <w:r>
              <w:rPr>
                <w:b w:val="false"/>
                <w:bCs w:val="false"/>
                <w:color w:val="000000"/>
                <w:sz w:val="19"/>
                <w:szCs w:val="19"/>
              </w:rPr>
              <w:t xml:space="preserve">Cost/logistics data sparse</w:t>
            </w:r>
          </w:p>
        </w:tc>
        <w:tc>
          <w:tcPr>
            <w:tcW w:type="dxa" w:w="6680"/>
            <w:tcMar>
              <w:top w:type="dxa" w:w="60"/>
              <w:left w:type="dxa" w:w="90"/>
              <w:bottom w:type="dxa" w:w="60"/>
              <w:right w:type="dxa" w:w="90"/>
            </w:tcMar>
          </w:tcPr>
          <w:p>
            <w:pPr>
              <w:spacing w:after="0"/>
            </w:pPr>
            <w:r>
              <w:rPr>
                <w:b w:val="false"/>
                <w:bCs w:val="false"/>
                <w:color w:val="000000"/>
                <w:sz w:val="19"/>
                <w:szCs w:val="19"/>
              </w:rPr>
              <w:t xml:space="preserve">Use bounded ranges + scenario analysis; report results as distributions, not point values.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7280"/>
        <w:sz w:val="16"/>
        <w:szCs w:val="16"/>
      </w:rPr>
      <w:t xml:space="preserve">Bien Busico  —  MS Thesis Prospectus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6B7280"/>
        <w:sz w:val="16"/>
        <w:szCs w:val="16"/>
      </w:rPr>
      <w:t xml:space="preserve">Idea W1 / A  •  ipis-thesis-pyrolysis-epr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Calibri" w:cs="Calibri" w:eastAsia="Calibri" w:hAnsi="Calibri"/>
      <w:b/>
      <w:bCs/>
      <w:color w:val="1F3A5F"/>
      <w:sz w:val="34"/>
      <w:szCs w:val="34"/>
    </w:rPr>
  </w:style>
  <w:style w:type="paragraph" w:styleId="Heading1">
    <w:name w:val="Heading 1"/>
    <w:basedOn w:val="Normal"/>
    <w:next w:val="Normal"/>
    <w:qFormat/>
    <w:pPr>
      <w:keepNext/>
      <w:spacing w:after="100" w:before="260"/>
      <w:outlineLvl w:val="0"/>
    </w:pPr>
    <w:rPr>
      <w:rFonts w:ascii="Calibri" w:cs="Calibri" w:eastAsia="Calibri" w:hAnsi="Calibri"/>
      <w:b/>
      <w:bCs/>
      <w:color w:val="1F3A5F"/>
      <w:sz w:val="27"/>
      <w:szCs w:val="27"/>
    </w:rPr>
  </w:style>
  <w:style w:type="paragraph" w:styleId="Heading2">
    <w:name w:val="Heading 2"/>
    <w:basedOn w:val="Normal"/>
    <w:next w:val="Normal"/>
    <w:qFormat/>
    <w:pPr>
      <w:keepNext/>
      <w:spacing w:after="60" w:before="150"/>
      <w:outlineLvl w:val="1"/>
    </w:pPr>
    <w:rPr>
      <w:rFonts w:ascii="Calibri" w:cs="Calibri" w:eastAsia="Calibri" w:hAnsi="Calibri"/>
      <w:b/>
      <w:bCs/>
      <w:color w:val="2E6E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Surrogate Optimization of Decentralized Mixed-Plastic Pyrolysis Networks for EPR-Compliant Liquid Fuel Recovery in the Philippines</dc:title>
  <dc:creator>Bien Busico</dc:creator>
  <dc:description>MS Thesis Prospectus — W1 / A</dc:description>
  <cp:lastModifiedBy>Un-named</cp:lastModifiedBy>
  <cp:revision>1</cp:revision>
  <dcterms:created xsi:type="dcterms:W3CDTF">2026-07-05T00:02:49.750Z</dcterms:created>
  <dcterms:modified xsi:type="dcterms:W3CDTF">2026-07-05T00:02:49.750Z</dcterms:modified>
</cp:coreProperties>
</file>

<file path=docProps/custom.xml><?xml version="1.0" encoding="utf-8"?>
<Properties xmlns="http://schemas.openxmlformats.org/officeDocument/2006/custom-properties" xmlns:vt="http://schemas.openxmlformats.org/officeDocument/2006/docPropsVTypes"/>
</file>