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CALGB 10403  - Induction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Pegaspargase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0"/>
        </w:rPr>
        <w:t>Vincristine: Receive intravenously Weekly on Days 1,8,15,22 (total 4 doses).</w:t>
      </w:r>
    </w:p>
    <w:p>
      <w:pPr>
        <w:pStyle w:val="ListBullet"/>
      </w:pPr>
      <w:r>
        <w:rPr>
          <w:sz w:val="20"/>
        </w:rPr>
        <w:t>Dexamethasone: Take by mouth Daily on Days 1-7, 15-21 (total 14 doses).</w:t>
      </w:r>
    </w:p>
    <w:p>
      <w:pPr>
        <w:pStyle w:val="ListBullet"/>
      </w:pPr>
      <w:r>
        <w:rPr>
          <w:sz w:val="20"/>
        </w:rPr>
        <w:t>Pegaspargase: Receive intravenously Once on Day 4 (total 1 dose).</w:t>
      </w:r>
    </w:p>
    <w:p>
      <w:pPr>
        <w:pStyle w:val="ListBullet"/>
      </w:pPr>
      <w:r>
        <w:rPr>
          <w:sz w:val="20"/>
        </w:rPr>
        <w:t>Daunorubicin: Receive intravenously Weekly on Days 1,8,15,22 (total 4 doses).</w:t>
      </w:r>
    </w:p>
    <w:p>
      <w:pPr>
        <w:pStyle w:val="ListBullet"/>
      </w:pPr>
      <w:r>
        <w:rPr>
          <w:sz w:val="20"/>
        </w:rPr>
        <w:t>IT Methotrexate: Receive intrathecally. Given during lumbar puncture Every 2 weeks on Days 8,29 (total 2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First, Last</w:t>
          </w:r>
        </w:p>
        <w:p>
          <w:pPr>
            <w:jc w:val="left"/>
          </w:pPr>
          <w:r>
            <w:rPr>
              <w:i/>
              <w:sz w:val="20"/>
            </w:rPr>
            <w:t>MM/DD/YYYY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