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 일시: 2025-08-04 17:44)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2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1. 주요 금리(최근 24개월)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산금채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2.51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▼1.01%p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산금채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정기예금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2.57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▼0.76%p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예금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정기적금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2.80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▲0.22%p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적금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일반신용대출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5.03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▼0.88%p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일반신용대출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주택담보대출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3.93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▼0.23%p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주택담보대출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2. 주요 정기예금 상품 및 금리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4"/>
        </w:rPr>
        <w:t xml:space="preserve"> </w:t>
      </w:r>
    </w:p>
    <w:tbl>
      <w:tblPr>
        <w:tblStyle w:val="LightShading-Accent4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44"/>
        <w:gridCol w:w="1744"/>
        <w:gridCol w:w="1744"/>
        <w:gridCol w:w="1744"/>
        <w:gridCol w:w="1744"/>
        <w:gridCol w:w="1744"/>
      </w:tblGrid>
      <w:tr>
        <w:tc>
          <w:tcPr>
            <w:tcW w:type="dxa" w:w="2551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금융기관</w:t>
            </w:r>
          </w:p>
        </w:tc>
        <w:tc>
          <w:tcPr>
            <w:tcW w:type="dxa" w:w="3118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상품명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이자계산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만기(월)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세전금리</w:t>
            </w:r>
          </w:p>
        </w:tc>
        <w:tc>
          <w:tcPr>
            <w:tcW w:type="dxa" w:w="1134"/>
            <w:vAlign w:val="center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최고우대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수협은행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헤이(Hey)정기예금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주식회사 케이뱅크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코드K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NH올원e예금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JB 다이렉트예금통장</w:t>
              <w:br/>
              <w:t>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주식회사 카카오뱅크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카카오뱅크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우리은행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WON플러스예금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전북은행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JB 123 정기예금</w:t>
              <w:br/>
              <w:t xml:space="preserve"> (만기일시지급식)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한국산업은행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KDB 정기예금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한국스탠다드차타드은행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e-그린세이브예금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2.75</w:t>
            </w:r>
          </w:p>
        </w:tc>
      </w:tr>
      <w:tr>
        <w:tc>
          <w:tcPr>
            <w:tcW w:type="dxa" w:w="2551"/>
            <w:vAlign w:val="center"/>
          </w:tcPr>
          <w:p>
            <w:pPr>
              <w:spacing w:before="113" w:after="113"/>
              <w:jc w:val="distribute"/>
            </w:pPr>
            <w:r>
              <w:t>농협은행주식회사</w:t>
            </w:r>
          </w:p>
        </w:tc>
        <w:tc>
          <w:tcPr>
            <w:tcW w:type="dxa" w:w="3118"/>
            <w:vAlign w:val="center"/>
          </w:tcPr>
          <w:p>
            <w:pPr>
              <w:spacing w:before="113" w:after="113"/>
              <w:jc w:val="distribute"/>
            </w:pPr>
            <w:r>
              <w:t>NH왈츠회전예금 II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단리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12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2.45</w:t>
            </w:r>
          </w:p>
        </w:tc>
        <w:tc>
          <w:tcPr>
            <w:tcW w:type="dxa" w:w="1134"/>
            <w:vAlign w:val="center"/>
          </w:tcPr>
          <w:p>
            <w:pPr>
              <w:spacing w:before="113" w:after="113"/>
            </w:pPr>
            <w:r>
              <w:t>2.55</w:t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Style w:val="LightShading-Accent6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9865"/>
          </w:tcPr>
          <w:p>
            <w:pPr>
              <w:jc w:val="lef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sz w:val="24"/>
              </w:rPr>
              <w:t>주의사항</w:t>
            </w:r>
          </w:p>
          <w:p>
            <w:pPr>
              <w:pStyle w:val="ListBulle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color w:val="F79646"/>
                <w:sz w:val="20"/>
              </w:rPr>
              <w:t>이번 장에서 작성한 정기예금 금리 현황표는 API 호출 시점에 따라 값이 다르므로, 참고용으로만 사용하세요.</w:t>
            </w:r>
          </w:p>
          <w:p>
            <w:pPr>
              <w:pStyle w:val="ListBullet"/>
            </w:pPr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color w:val="F79646"/>
                <w:sz w:val="20"/>
              </w:rPr>
              <w:t>정기예금 상품의 금리는 수시로 변경될 수 있으므로, 거래전 반드시 해당 금융회사에 문의하시기 바랍니다.</w:t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