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3480"/>
        <w:gridCol w:w="2160"/>
        <w:gridCol w:w="953"/>
        <w:gridCol w:w="953"/>
        <w:gridCol w:w="951"/>
        <w:tblGridChange w:id="0">
          <w:tblGrid>
            <w:gridCol w:w="1020"/>
            <w:gridCol w:w="3480"/>
            <w:gridCol w:w="2160"/>
            <w:gridCol w:w="953"/>
            <w:gridCol w:w="953"/>
            <w:gridCol w:w="95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2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2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2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Index Number: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2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7.0" w:type="dxa"/>
        <w:jc w:val="left"/>
        <w:tblInd w:w="0.0" w:type="dxa"/>
        <w:tblLayout w:type="fixed"/>
        <w:tblLook w:val="0400"/>
      </w:tblPr>
      <w:tblGrid>
        <w:gridCol w:w="1894"/>
        <w:gridCol w:w="7633"/>
        <w:tblGridChange w:id="0">
          <w:tblGrid>
            <w:gridCol w:w="1894"/>
            <w:gridCol w:w="7633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236220</wp:posOffset>
                  </wp:positionH>
                  <wp:positionV relativeFrom="paragraph">
                    <wp:posOffset>73660</wp:posOffset>
                  </wp:positionV>
                  <wp:extent cx="875665" cy="875665"/>
                  <wp:effectExtent b="0" l="0" r="0" t="0"/>
                  <wp:wrapNone/>
                  <wp:docPr descr="DHS logo CMYK" id="2" name="image4.jpg"/>
                  <a:graphic>
                    <a:graphicData uri="http://schemas.openxmlformats.org/drawingml/2006/picture">
                      <pic:pic>
                        <pic:nvPicPr>
                          <pic:cNvPr descr="DHS logo CMYK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875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DUNMAN HIGH SCHOOL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Preliminary Examination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Year 6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8"/>
        <w:gridCol w:w="4260"/>
        <w:gridCol w:w="2970"/>
        <w:tblGridChange w:id="0">
          <w:tblGrid>
            <w:gridCol w:w="2958"/>
            <w:gridCol w:w="4260"/>
            <w:gridCol w:w="2970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40" w:before="40" w:line="240" w:lineRule="auto"/>
              <w:contextualSpacing w:val="0"/>
              <w:rPr>
                <w:rFonts w:ascii="Arial Black" w:cs="Arial Black" w:eastAsia="Arial Black" w:hAnsi="Arial Black"/>
                <w:sz w:val="32"/>
                <w:szCs w:val="3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COMPUTING PAPER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40" w:before="80" w:line="240" w:lineRule="auto"/>
              <w:contextualSpacing w:val="0"/>
              <w:rPr>
                <w:rFonts w:ascii="Arial Black" w:cs="Arial Black" w:eastAsia="Arial Black" w:hAnsi="Arial Blac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8"/>
                <w:szCs w:val="28"/>
                <w:rtl w:val="0"/>
              </w:rPr>
              <w:t xml:space="preserve">                9597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2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Higher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20" w:before="40" w:line="240" w:lineRule="auto"/>
              <w:ind w:right="48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20 September 2018 </w:t>
            </w:r>
          </w:p>
          <w:p w:rsidR="00000000" w:rsidDel="00000000" w:rsidP="00000000" w:rsidRDefault="00000000" w:rsidRPr="00000000" w14:paraId="0000001E">
            <w:pPr>
              <w:spacing w:after="20" w:before="40" w:line="240" w:lineRule="auto"/>
              <w:ind w:right="48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3 hours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2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20" w:before="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05"/>
        <w:gridCol w:w="5122"/>
        <w:tblGridChange w:id="0">
          <w:tblGrid>
            <w:gridCol w:w="4405"/>
            <w:gridCol w:w="51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2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Instructions: Answer all questions.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2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2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2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2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20" w:before="40"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2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2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20" w:before="4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2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after="20" w:before="4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paper consists of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questions.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20" w:before="40"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after="20" w:before="40" w:line="240" w:lineRule="auto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[Turn over]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The Singapore Quick Response Code (SGQR) is a single QR code that combines multiple </w:t>
        <w:br w:type="textWrapping"/>
        <w:t xml:space="preserve">    e-payment solutions into one. It is intended to simplify QR e-payments in Singapore for </w:t>
        <w:br w:type="textWrapping"/>
        <w:t xml:space="preserve">    both consumers and merchants.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Currently, consumers see multiple QR codes at merchant stores promoting various </w:t>
        <w:br w:type="textWrapping"/>
        <w:t xml:space="preserve">    e-payment solutions. This can be confusing for consumers who have to manually find if </w:t>
        <w:br w:type="textWrapping"/>
        <w:t xml:space="preserve">    their preferred e-payment option is accepted. Merchants are also impacted by the </w:t>
        <w:br w:type="textWrapping"/>
        <w:t xml:space="preserve">    aesthetic and logistics constraints of supporting multiple QR codes on their limited display </w:t>
        <w:br w:type="textWrapping"/>
        <w:t xml:space="preserve">    and retail space. With SGQR, consumers will see a single SGQR label that shows all QR </w:t>
        <w:br w:type="textWrapping"/>
        <w:t xml:space="preserve">    payment options that the merchant accepts. For merchants, SGQR will be an </w:t>
        <w:br w:type="textWrapping"/>
        <w:t xml:space="preserve">    infrastructure-light and cheaper way to accept multiple types of e-payments.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633591" cy="35290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591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color w:val="2a2a2a"/>
          <w:highlight w:val="white"/>
        </w:rPr>
      </w:pPr>
      <w:r w:rsidDel="00000000" w:rsidR="00000000" w:rsidRPr="00000000">
        <w:rPr>
          <w:color w:val="2a2a2a"/>
          <w:highlight w:val="white"/>
          <w:rtl w:val="0"/>
        </w:rPr>
        <w:t xml:space="preserve">    </w:t>
      </w:r>
      <w:r w:rsidDel="00000000" w:rsidR="00000000" w:rsidRPr="00000000">
        <w:rPr>
          <w:color w:val="2a2a2a"/>
          <w:highlight w:val="white"/>
          <w:rtl w:val="0"/>
        </w:rPr>
        <w:t xml:space="preserve">Merchants that currently offer QR code payments will have their existing QR codes </w:t>
        <w:br w:type="textWrapping"/>
        <w:t xml:space="preserve">    replaced with a single SGQR label over the next six months. The first phase of SGQR </w:t>
        <w:br w:type="textWrapping"/>
        <w:t xml:space="preserve">    label replacement, starting with merchants in the Central Business District, will be </w:t>
        <w:br w:type="textWrapping"/>
        <w:t xml:space="preserve">    commencing in late September 2018.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(a)</w:t>
      </w:r>
      <w:r w:rsidDel="00000000" w:rsidR="00000000" w:rsidRPr="00000000">
        <w:rPr>
          <w:highlight w:val="white"/>
          <w:rtl w:val="0"/>
        </w:rPr>
        <w:t xml:space="preserve"> You have been engaged as a project manager to oversee the implementation of SGQR </w:t>
        <w:br w:type="textWrapping"/>
        <w:t xml:space="preserve">      in Dunman High School (DHS) canteen. Produce a project proposal outlining the key </w:t>
        <w:br w:type="textWrapping"/>
        <w:t xml:space="preserve">      activities to make DHS canteen cashless by March 2019. Your proposal should include </w:t>
        <w:br w:type="textWrapping"/>
        <w:t xml:space="preserve">      the essential elements such as problem statement, project management processes and </w:t>
        <w:br w:type="textWrapping"/>
        <w:t xml:space="preserve">      tools (e.g. PERT chart and Gantt chart), roles of team members, etc.                          [19]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(b)</w:t>
      </w:r>
      <w:r w:rsidDel="00000000" w:rsidR="00000000" w:rsidRPr="00000000">
        <w:rPr>
          <w:highlight w:val="white"/>
          <w:rtl w:val="0"/>
        </w:rPr>
        <w:t xml:space="preserve"> Beyond SGQR and in line with the Smart Nation drive, you have also engaged a systems </w:t>
        <w:br w:type="textWrapping"/>
        <w:t xml:space="preserve">      analyst to come up with an online food ordering application to allow students and staff to </w:t>
        <w:br w:type="textWrapping"/>
        <w:t xml:space="preserve">      avoid long queues and streamline the food preparation process using their mobile </w:t>
        <w:br w:type="textWrapping"/>
        <w:t xml:space="preserve">      devices. The school management also wishes to keep track of the situation to provide </w:t>
        <w:br w:type="textWrapping"/>
        <w:t xml:space="preserve">      feedback to the canteen vendors.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Outline the deliverables in the various phases of the software development life cycle </w:t>
        <w:br w:type="textWrapping"/>
        <w:t xml:space="preserve">      (specification, design, development, documentation, implementation, testing/modification </w:t>
        <w:br w:type="textWrapping"/>
        <w:t xml:space="preserve">      and maintenance). Be sure to adapt your answer to the question context.                   [12]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(c)</w:t>
      </w:r>
      <w:r w:rsidDel="00000000" w:rsidR="00000000" w:rsidRPr="00000000">
        <w:rPr>
          <w:highlight w:val="white"/>
          <w:rtl w:val="0"/>
        </w:rPr>
        <w:t xml:space="preserve"> Networking is critical in such a project/system. Give an example of where each of the </w:t>
        <w:br w:type="textWrapping"/>
        <w:t xml:space="preserve">      following networking concept is applicable in your project/system.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(i)</w:t>
      </w:r>
      <w:r w:rsidDel="00000000" w:rsidR="00000000" w:rsidRPr="00000000">
        <w:rPr>
          <w:highlight w:val="white"/>
          <w:rtl w:val="0"/>
        </w:rPr>
        <w:t xml:space="preserve"> synchronous and asynchronous data transmission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(ii)</w:t>
      </w:r>
      <w:r w:rsidDel="00000000" w:rsidR="00000000" w:rsidRPr="00000000">
        <w:rPr>
          <w:highlight w:val="white"/>
          <w:rtl w:val="0"/>
        </w:rPr>
        <w:t xml:space="preserve"> simplex, half duplex and full duplex mode of data transmission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(iii)</w:t>
      </w:r>
      <w:r w:rsidDel="00000000" w:rsidR="00000000" w:rsidRPr="00000000">
        <w:rPr>
          <w:highlight w:val="white"/>
          <w:rtl w:val="0"/>
        </w:rPr>
        <w:t xml:space="preserve"> packet switching and circuit switching for data transmission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                                                                                              [6]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highlight w:val="white"/>
          <w:rtl w:val="0"/>
        </w:rPr>
        <w:t xml:space="preserve">(d)</w:t>
      </w:r>
      <w:r w:rsidDel="00000000" w:rsidR="00000000" w:rsidRPr="00000000">
        <w:rPr>
          <w:highlight w:val="white"/>
          <w:rtl w:val="0"/>
        </w:rPr>
        <w:t xml:space="preserve"> You are also mindful about and is determined to prevent cybersecurity attacks like the </w:t>
        <w:br w:type="textWrapping"/>
        <w:t xml:space="preserve">      recent SingHealth data breach of the personal information of 1.5 million patients. Outline </w:t>
        <w:br w:type="textWrapping"/>
        <w:t xml:space="preserve">      a comprehensive organisational security plan which goes beyond technical controls </w:t>
        <w:br w:type="textWrapping"/>
        <w:t xml:space="preserve">      (user authentication, access levels, antivirus, firewalls) to ensure that both the hardware </w:t>
        <w:br w:type="textWrapping"/>
        <w:t xml:space="preserve">      infrastructure and software applications are well secured against cybersecurity hacks. 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Mergesort uses a divide and conquer approach to successively divide a list into half, </w:t>
        <w:br w:type="textWrapping"/>
        <w:t xml:space="preserve">    forming two sublists, until each sublist is of length 1. The sublists are then sorted and </w:t>
        <w:br w:type="textWrapping"/>
        <w:t xml:space="preserve">    merged into larger sublists until they are recombined into a single sorted list. An algorithm </w:t>
        <w:br w:type="textWrapping"/>
        <w:t xml:space="preserve">    for mergesort is given below.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rocedure mergesort(mergelist)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 len(mergelist) &gt; 1 then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 = len(mergelist) div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lefthalf = mergelist[:mid]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ighthalf = mergerlist[mid:]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mergesort(lefthalf)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mergesort(righthalf)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0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hile i &lt; len(lefthalf) and i &lt; len(righthalf)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 lefthalf[i] &lt; righthalf[j] then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mergelist[k] = lefthalf[i]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i + 1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mergelist[k] = righthalf[j]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j = j + 1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ndif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k + 1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ndwhile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hile i &lt; len(lefthalf)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mergelist[k] = lefthalf[i]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i + 1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k + 1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ndwhile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j &lt; len(righthalf)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mergelist[k] = righthalf[j]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j = j + 1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k = k + 1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ndwhile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ndif</w:t>
      </w:r>
    </w:p>
    <w:p w:rsidR="00000000" w:rsidDel="00000000" w:rsidP="00000000" w:rsidRDefault="00000000" w:rsidRPr="00000000" w14:paraId="0000009E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The following list of numbers is to be sorted using mergesort: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mergelist = [5, 3, 2, 7, 9, 1, 3, 8]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What are the first two lists to be merged?                                                                          [2]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Draw a graphical representation of how the above list is first split into halves until each </w:t>
        <w:br w:type="textWrapping"/>
        <w:t xml:space="preserve">      sublist contains zero or one items, and then the sublists are merged to become the </w:t>
        <w:br w:type="textWrapping"/>
        <w:t xml:space="preserve">      sorted list.                                                                                                                         [4]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Give and justify the time complexity of mergesort.                                                           [2]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(d)</w:t>
      </w:r>
      <w:r w:rsidDel="00000000" w:rsidR="00000000" w:rsidRPr="00000000">
        <w:rPr>
          <w:rtl w:val="0"/>
        </w:rPr>
        <w:t xml:space="preserve"> Compare the space complexities of mergesort and quicksort.                                         [2]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3(a)</w:t>
      </w:r>
      <w:r w:rsidDel="00000000" w:rsidR="00000000" w:rsidRPr="00000000">
        <w:rPr>
          <w:rtl w:val="0"/>
        </w:rPr>
        <w:t xml:space="preserve"> Devise an algorithm to sort a list of words so that the anagrams are grouped together. </w:t>
        <w:br w:type="textWrapping"/>
        <w:t xml:space="preserve">        For example, if the unsorted list is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ar, phone, rat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 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fter sorting we should get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ar, rat, phone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ince tar and rat are anagrams, they are grouped together.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[5]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 (b)</w:t>
      </w:r>
      <w:r w:rsidDel="00000000" w:rsidR="00000000" w:rsidRPr="00000000">
        <w:rPr>
          <w:rtl w:val="0"/>
        </w:rPr>
        <w:t xml:space="preserve"> Devise an algorithm to find the length of the longest palindrome in a string s.              [5]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A program needs to be written to store and manage product information. The program will</w:t>
        <w:br w:type="textWrapping"/>
        <w:t xml:space="preserve">    have the following functionality: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ble to display a list of products in alphabetical order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support efficient additions and deletions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search for a product efficiently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Explain why it is better to use a binary search tree (BST) than an ordered array to store </w:t>
        <w:br w:type="textWrapping"/>
        <w:t xml:space="preserve"> 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nd manage product information.                                                                                     [2]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The initial list of products to be stored are: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battery, cable, detergent, medicine, soap, towel, yoyo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 Draw the BST 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(i)</w:t>
      </w:r>
      <w:r w:rsidDel="00000000" w:rsidR="00000000" w:rsidRPr="00000000">
        <w:rPr>
          <w:rtl w:val="0"/>
        </w:rPr>
        <w:t xml:space="preserve"> from the initial list to support efficient seach, addition and deletion                              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(ii)</w:t>
      </w:r>
      <w:r w:rsidDel="00000000" w:rsidR="00000000" w:rsidRPr="00000000">
        <w:rPr>
          <w:rtl w:val="0"/>
        </w:rPr>
        <w:t xml:space="preserve"> when new items earphone and eraser have been inserted in that order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(iii)</w:t>
      </w:r>
      <w:r w:rsidDel="00000000" w:rsidR="00000000" w:rsidRPr="00000000">
        <w:rPr>
          <w:rtl w:val="0"/>
        </w:rPr>
        <w:t xml:space="preserve"> when medicine has been deleted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[5]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State the postorder traversal output of the updated BST.                                                 [1]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(d)</w:t>
      </w:r>
      <w:r w:rsidDel="00000000" w:rsidR="00000000" w:rsidRPr="00000000">
        <w:rPr>
          <w:rtl w:val="0"/>
        </w:rPr>
        <w:t xml:space="preserve"> Outline how the BST can be reorganised after a series of additions and deletions to </w:t>
        <w:br w:type="textWrapping"/>
        <w:t xml:space="preserve">      ensure optimal search performance.                                                                                [2]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A digital media company currently sells electronic books and audio books. Each book has </w:t>
        <w:br w:type="textWrapping"/>
        <w:t xml:space="preserve">    a unique id, title, image and price. An electronic book has a default number of pages while </w:t>
        <w:br w:type="textWrapping"/>
        <w:t xml:space="preserve">    an audio book has a duration.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Draw a class diagram showing the relationship between the different digital book types. </w:t>
        <w:br w:type="textWrapping"/>
        <w:t xml:space="preserve">                                                                                                                                               [3]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Using appropriate examples, explain the following terms: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    (i)</w:t>
      </w:r>
      <w:r w:rsidDel="00000000" w:rsidR="00000000" w:rsidRPr="00000000">
        <w:rPr>
          <w:rtl w:val="0"/>
        </w:rPr>
        <w:t xml:space="preserve"> encapsulation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   (ii)</w:t>
      </w:r>
      <w:r w:rsidDel="00000000" w:rsidR="00000000" w:rsidRPr="00000000">
        <w:rPr>
          <w:rtl w:val="0"/>
        </w:rPr>
        <w:t xml:space="preserve"> inheritance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  (iii)</w:t>
      </w:r>
      <w:r w:rsidDel="00000000" w:rsidR="00000000" w:rsidRPr="00000000">
        <w:rPr>
          <w:rtl w:val="0"/>
        </w:rPr>
        <w:t xml:space="preserve"> polymorphism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[6]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To improve sales, the company decides to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(i)</w:t>
      </w:r>
      <w:r w:rsidDel="00000000" w:rsidR="00000000" w:rsidRPr="00000000">
        <w:rPr>
          <w:rtl w:val="0"/>
        </w:rPr>
        <w:t xml:space="preserve"> offer discounts on selected book items. Discounts on each book may vary from 0 to </w:t>
        <w:br w:type="textWrapping"/>
        <w:t xml:space="preserve">         50%.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(ii)</w:t>
      </w:r>
      <w:r w:rsidDel="00000000" w:rsidR="00000000" w:rsidRPr="00000000">
        <w:rPr>
          <w:rtl w:val="0"/>
        </w:rPr>
        <w:t xml:space="preserve"> sell digital movies. Each movie has a duration as well as a rating with possible values G, </w:t>
        <w:br w:type="textWrapping"/>
        <w:t xml:space="preserve">        PG and PG13. 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(iii) offer a monthly subscription service with unlimited access to all digital media.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Explain how these changes will affect your design in </w:t>
      </w:r>
      <w:r w:rsidDel="00000000" w:rsidR="00000000" w:rsidRPr="00000000">
        <w:rPr>
          <w:b w:val="1"/>
          <w:rtl w:val="0"/>
        </w:rPr>
        <w:t xml:space="preserve">part (a)</w:t>
      </w:r>
      <w:r w:rsidDel="00000000" w:rsidR="00000000" w:rsidRPr="00000000">
        <w:rPr>
          <w:rtl w:val="0"/>
        </w:rPr>
        <w:t xml:space="preserve">.                                        [6]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The following figure shows the partial contents of an unnormalised relational database </w:t>
        <w:br w:type="textWrapping"/>
        <w:t xml:space="preserve">     table for library book loans by an amateur database administrator. 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590"/>
        <w:gridCol w:w="1185"/>
        <w:gridCol w:w="885"/>
        <w:gridCol w:w="915"/>
        <w:gridCol w:w="885"/>
        <w:gridCol w:w="870"/>
        <w:gridCol w:w="1035"/>
        <w:gridCol w:w="930"/>
        <w:tblGridChange w:id="0">
          <w:tblGrid>
            <w:gridCol w:w="735"/>
            <w:gridCol w:w="1590"/>
            <w:gridCol w:w="1185"/>
            <w:gridCol w:w="885"/>
            <w:gridCol w:w="915"/>
            <w:gridCol w:w="885"/>
            <w:gridCol w:w="870"/>
            <w:gridCol w:w="1035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PublisherID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PublisherName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BorrowerID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BorrowerName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LoanDate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highlight w:val="white"/>
                <w:rtl w:val="0"/>
              </w:rPr>
              <w:t xml:space="preserve">A2345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Superhuman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Peter 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P0928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Healthy Global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Robert Lim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roblim@gmail.com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20181004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A1133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Agile 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Sophia 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P7823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CS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Robert Lim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roblim@gmail.com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20181004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B5104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Python Advanced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Zen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P8246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It Harder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Mary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maryt@yahoo.com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20181007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A2257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Berry Mile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P8246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It Harder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 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20181007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B7513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Alibaba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Jacky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P3245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Ali Pub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 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20181007</w:t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Give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potential anomalies that can occur with this design.                                         [2]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Give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advantages of normalisation.                                                                           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Give the table specification in 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(i)</w:t>
      </w:r>
      <w:r w:rsidDel="00000000" w:rsidR="00000000" w:rsidRPr="00000000">
        <w:rPr>
          <w:rtl w:val="0"/>
        </w:rPr>
        <w:t xml:space="preserve"> 1NF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(ii)</w:t>
      </w:r>
      <w:r w:rsidDel="00000000" w:rsidR="00000000" w:rsidRPr="00000000">
        <w:rPr>
          <w:rtl w:val="0"/>
        </w:rPr>
        <w:t xml:space="preserve"> 2NF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(iii)</w:t>
      </w:r>
      <w:r w:rsidDel="00000000" w:rsidR="00000000" w:rsidRPr="00000000">
        <w:rPr>
          <w:rtl w:val="0"/>
        </w:rPr>
        <w:t xml:space="preserve"> 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[6]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(d)</w:t>
      </w:r>
      <w:r w:rsidDel="00000000" w:rsidR="00000000" w:rsidRPr="00000000">
        <w:rPr>
          <w:rtl w:val="0"/>
        </w:rPr>
        <w:t xml:space="preserve"> Draw an E-R diagram to represent your normalised design.                                            [3]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(e)</w:t>
      </w:r>
      <w:r w:rsidDel="00000000" w:rsidR="00000000" w:rsidRPr="00000000">
        <w:rPr>
          <w:rtl w:val="0"/>
        </w:rPr>
        <w:t xml:space="preserve"> The following figure shows the notification email sent to the borrower upon successful </w:t>
        <w:br w:type="textWrapping"/>
        <w:t xml:space="preserve">     loan of library books.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30.0" w:type="dxa"/>
        <w:jc w:val="left"/>
        <w:tblInd w:w="3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Oct 4, 2018, 6:52 PM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From: NLB &lt;helpdesk@nlb.gov.sg&gt;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To: roblim@gmail.com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Dear Robert Lim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 for using NLB's e-notification service through email, a free service available to all library members.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This notification service confirms the number of items you have borrowed at the library book borrowing station.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 have borrowed 2 item(s) at 18:52 on 4 Oct 2018 at Serangoon Public Library: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1.  Superhuman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Due on: 25 October 2018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2.  Agile Methodology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Due on: 25 October 2018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 may also check your updated account status at http://www.nlb.gov.sg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Describe how the customised contents of the notification email are generated from the </w:t>
        <w:br w:type="textWrapping"/>
        <w:t xml:space="preserve">    database. You may assume that the default loan period is 21 days.                                 [3]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 END OF PAPER ***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