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粮食银行需求改进</w:t>
      </w:r>
    </w:p>
    <w:p>
      <w:pPr>
        <w:pStyle w:val="4"/>
        <w:numPr>
          <w:ilvl w:val="0"/>
          <w:numId w:val="1"/>
        </w:numPr>
        <w:rPr>
          <w:rStyle w:val="7"/>
          <w:rFonts w:hint="eastAsia"/>
          <w:b w:val="0"/>
          <w:lang w:val="en-US" w:eastAsia="zh-CN"/>
        </w:rPr>
      </w:pPr>
      <w:r>
        <w:rPr>
          <w:rStyle w:val="7"/>
          <w:rFonts w:hint="eastAsia"/>
          <w:b w:val="0"/>
          <w:lang w:val="en-US" w:eastAsia="zh-CN"/>
        </w:rPr>
        <w:t>储户存粮合并</w:t>
      </w:r>
    </w:p>
    <w:p>
      <w:pPr>
        <w:numPr>
          <w:ilvl w:val="1"/>
          <w:numId w:val="2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营业员登录点击</w:t>
      </w:r>
      <w:r>
        <w:rPr>
          <w:rFonts w:hint="eastAsia"/>
          <w:b/>
          <w:bCs/>
          <w:color w:val="2E75B6" w:themeColor="accent1" w:themeShade="BF"/>
          <w:lang w:val="en-US" w:eastAsia="zh-CN"/>
        </w:rPr>
        <w:t>存粮</w:t>
      </w:r>
      <w:r>
        <w:rPr>
          <w:rFonts w:hint="eastAsia"/>
          <w:lang w:val="en-US" w:eastAsia="zh-CN"/>
        </w:rPr>
        <w:t>选择</w:t>
      </w:r>
      <w:r>
        <w:rPr>
          <w:rFonts w:hint="eastAsia"/>
          <w:b/>
          <w:bCs/>
          <w:color w:val="0070C0"/>
          <w:lang w:val="en-US" w:eastAsia="zh-CN"/>
        </w:rPr>
        <w:t>合并储户存粮,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输入储户账号密码，查询出可以合并的储粮信息，勾选进行合并。合并存粮的条件必须是相同存储产品、存储等级、存期。目前只支持勾选两条数据进行合并。</w:t>
      </w:r>
      <w:r>
        <w:rPr>
          <w:rFonts w:hint="eastAsia"/>
          <w:b/>
          <w:bCs/>
          <w:color w:val="0070C0"/>
          <w:lang w:val="en-US" w:eastAsia="zh-CN"/>
        </w:rPr>
        <w:t xml:space="preserve"> </w:t>
      </w:r>
      <w:r>
        <w:rPr>
          <w:rFonts w:hint="eastAsia"/>
          <w:b/>
          <w:bCs/>
          <w:color w:val="0070C0"/>
          <w:lang w:val="en-US" w:eastAsia="zh-CN"/>
        </w:rPr>
        <w:tab/>
      </w:r>
      <w:r>
        <w:rPr>
          <w:rFonts w:hint="eastAsia"/>
          <w:b/>
          <w:bCs/>
          <w:color w:val="0070C0"/>
          <w:lang w:val="en-US" w:eastAsia="zh-CN"/>
        </w:rPr>
        <w:tab/>
      </w:r>
      <w:r>
        <w:rPr>
          <w:rFonts w:hint="eastAsia"/>
          <w:b/>
          <w:bCs/>
          <w:color w:val="0070C0"/>
          <w:lang w:val="en-US" w:eastAsia="zh-CN"/>
        </w:rPr>
        <w:tab/>
      </w:r>
      <w:r>
        <w:rPr>
          <w:rFonts w:hint="eastAsia"/>
          <w:b/>
          <w:bCs/>
          <w:color w:val="0070C0"/>
          <w:lang w:val="en-US" w:eastAsia="zh-CN"/>
        </w:rPr>
        <w:tab/>
      </w:r>
      <w:r>
        <w:drawing>
          <wp:inline distT="0" distB="0" distL="114300" distR="114300">
            <wp:extent cx="5311140" cy="189547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965325"/>
            <wp:effectExtent l="0" t="0" r="571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0070C0"/>
          <w:lang w:val="en-US" w:eastAsia="zh-CN"/>
        </w:rPr>
      </w:pPr>
    </w:p>
    <w:p>
      <w:pPr>
        <w:numPr>
          <w:ilvl w:val="0"/>
          <w:numId w:val="2"/>
        </w:numPr>
        <w:ind w:left="525" w:leftChars="0" w:firstLine="0" w:firstLineChars="0"/>
        <w:rPr>
          <w:rStyle w:val="7"/>
          <w:rFonts w:hint="eastAsia"/>
          <w:b w:val="0"/>
          <w:bCs/>
          <w:lang w:val="en-US" w:eastAsia="zh-CN"/>
        </w:rPr>
      </w:pPr>
      <w:r>
        <w:rPr>
          <w:rStyle w:val="7"/>
          <w:rFonts w:hint="eastAsia"/>
          <w:b w:val="0"/>
          <w:bCs/>
          <w:lang w:val="en-US" w:eastAsia="zh-CN"/>
        </w:rPr>
        <w:t>添加修改错误存粮记录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Style w:val="7"/>
          <w:rFonts w:hint="eastAsia"/>
          <w:b w:val="0"/>
          <w:bCs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营业员登录点击</w:t>
      </w: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存粮》修改错误存粮</w:t>
      </w:r>
      <w:r>
        <w:rPr>
          <w:rFonts w:hint="eastAsia"/>
          <w:lang w:val="en-US" w:eastAsia="zh-CN"/>
        </w:rPr>
        <w:t>。操作成功后，修改的该条存粮信息保存到数据库再点击</w:t>
      </w: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查询》储户业务统计</w:t>
      </w:r>
      <w:r>
        <w:rPr>
          <w:rFonts w:hint="eastAsia"/>
          <w:lang w:val="en-US" w:eastAsia="zh-CN"/>
        </w:rPr>
        <w:t>，出入储户账号选择存粮种类查询出该存粮信息，点击</w:t>
      </w: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详细</w:t>
      </w:r>
      <w:r>
        <w:rPr>
          <w:rFonts w:hint="eastAsia"/>
          <w:lang w:val="en-US" w:eastAsia="zh-CN"/>
        </w:rPr>
        <w:t>显示该修改存粮记录信息。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997200"/>
            <wp:effectExtent l="0" t="0" r="1016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01945" cy="1741805"/>
            <wp:effectExtent l="0" t="0" r="825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1741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792220"/>
            <wp:effectExtent l="0" t="0" r="444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9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525" w:leftChars="0" w:firstLine="0" w:firstLineChars="0"/>
        <w:rPr>
          <w:rStyle w:val="7"/>
          <w:rFonts w:hint="eastAsia"/>
          <w:b w:val="0"/>
          <w:bCs/>
          <w:lang w:val="en-US" w:eastAsia="zh-CN"/>
        </w:rPr>
      </w:pPr>
      <w:r>
        <w:rPr>
          <w:rStyle w:val="7"/>
          <w:rFonts w:hint="eastAsia"/>
          <w:b w:val="0"/>
          <w:bCs/>
        </w:rPr>
        <w:t>添加退还</w:t>
      </w:r>
      <w:r>
        <w:rPr>
          <w:rStyle w:val="7"/>
          <w:rFonts w:hint="eastAsia"/>
          <w:b w:val="0"/>
          <w:bCs/>
          <w:lang w:val="en-US" w:eastAsia="zh-CN"/>
        </w:rPr>
        <w:t>储户存粮</w:t>
      </w:r>
    </w:p>
    <w:p>
      <w:pPr>
        <w:ind w:firstLine="420" w:firstLineChars="0"/>
        <w:rPr>
          <w:rStyle w:val="7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7"/>
          <w:rFonts w:hint="eastAsia"/>
          <w:b w:val="0"/>
          <w:bCs/>
          <w:lang w:val="en-US" w:eastAsia="zh-CN"/>
        </w:rPr>
        <w:t xml:space="preserve">  </w:t>
      </w:r>
      <w:r>
        <w:rPr>
          <w:rStyle w:val="7"/>
          <w:rFonts w:hint="eastAsia"/>
          <w:b w:val="0"/>
          <w:bCs/>
          <w:sz w:val="21"/>
          <w:szCs w:val="21"/>
          <w:lang w:val="en-US" w:eastAsia="zh-CN"/>
        </w:rPr>
        <w:t xml:space="preserve">  登录管理员账号，点击退还选择要退还的储粮信息</w:t>
      </w:r>
    </w:p>
    <w:p>
      <w:pPr>
        <w:ind w:firstLine="420" w:firstLineChars="0"/>
        <w:rPr>
          <w:rStyle w:val="7"/>
          <w:rFonts w:hint="eastAsia"/>
          <w:b w:val="0"/>
          <w:bCs/>
          <w:lang w:val="en-US" w:eastAsia="zh-CN"/>
        </w:rPr>
      </w:pPr>
      <w:r>
        <w:rPr>
          <w:rStyle w:val="7"/>
          <w:rFonts w:hint="eastAsia"/>
          <w:b w:val="0"/>
          <w:bCs/>
          <w:sz w:val="21"/>
          <w:szCs w:val="21"/>
          <w:lang w:val="en-US" w:eastAsia="zh-CN"/>
        </w:rPr>
        <w:t xml:space="preserve">     退还的存粮记录保存到数据库中，在储户业务统计详细记录里显示退还记录</w:t>
      </w:r>
      <w:r>
        <w:rPr>
          <w:rStyle w:val="7"/>
          <w:rFonts w:hint="eastAsia"/>
          <w:b w:val="0"/>
          <w:bCs/>
          <w:lang w:val="en-US" w:eastAsia="zh-CN"/>
        </w:rPr>
        <w:t>。</w:t>
      </w:r>
    </w:p>
    <w:p>
      <w:pPr>
        <w:ind w:firstLine="420" w:firstLineChars="0"/>
        <w:rPr>
          <w:rStyle w:val="7"/>
          <w:rFonts w:hint="eastAsia"/>
          <w:b w:val="0"/>
          <w:bCs/>
          <w:lang w:val="en-US" w:eastAsia="zh-CN"/>
        </w:rPr>
      </w:pPr>
    </w:p>
    <w:p>
      <w:pPr>
        <w:ind w:firstLine="420" w:firstLineChars="0"/>
        <w:rPr>
          <w:rStyle w:val="7"/>
          <w:rFonts w:hint="eastAsia"/>
          <w:b w:val="0"/>
          <w:bCs/>
          <w:lang w:val="en-US" w:eastAsia="zh-CN"/>
        </w:rPr>
      </w:pPr>
      <w:r>
        <w:rPr>
          <w:rStyle w:val="7"/>
          <w:rFonts w:hint="eastAsia"/>
          <w:b w:val="0"/>
          <w:bCs/>
          <w:lang w:val="en-US" w:eastAsia="zh-CN"/>
        </w:rPr>
        <w:tab/>
      </w:r>
      <w:r>
        <w:drawing>
          <wp:inline distT="0" distB="0" distL="114300" distR="114300">
            <wp:extent cx="5264150" cy="2238375"/>
            <wp:effectExtent l="0" t="0" r="1270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525" w:leftChars="0" w:firstLine="0" w:firstLineChars="0"/>
        <w:rPr>
          <w:rStyle w:val="7"/>
          <w:rFonts w:hint="eastAsia"/>
          <w:b w:val="0"/>
          <w:bCs/>
          <w:lang w:val="en-US" w:eastAsia="zh-CN"/>
        </w:rPr>
      </w:pPr>
      <w:r>
        <w:rPr>
          <w:rStyle w:val="7"/>
          <w:rFonts w:hint="eastAsia"/>
          <w:b w:val="0"/>
          <w:bCs/>
          <w:lang w:val="en-US" w:eastAsia="zh-CN"/>
        </w:rPr>
        <w:t>预存转实存记录</w:t>
      </w:r>
    </w:p>
    <w:p>
      <w:pPr>
        <w:numPr>
          <w:ilvl w:val="0"/>
          <w:numId w:val="0"/>
        </w:numPr>
        <w:ind w:left="525" w:leftChars="0"/>
        <w:rPr>
          <w:rStyle w:val="7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7"/>
          <w:rFonts w:hint="eastAsia"/>
          <w:b w:val="0"/>
          <w:bCs/>
          <w:lang w:val="en-US" w:eastAsia="zh-CN"/>
        </w:rPr>
        <w:t xml:space="preserve">  </w:t>
      </w:r>
      <w:r>
        <w:rPr>
          <w:rStyle w:val="7"/>
          <w:rFonts w:hint="eastAsia"/>
          <w:b w:val="0"/>
          <w:bCs/>
          <w:sz w:val="21"/>
          <w:szCs w:val="21"/>
          <w:lang w:val="en-US" w:eastAsia="zh-CN"/>
        </w:rPr>
        <w:t xml:space="preserve"> 管理员登录点击报表》预存转实存记录统计</w:t>
      </w:r>
    </w:p>
    <w:p>
      <w:pPr>
        <w:numPr>
          <w:ilvl w:val="0"/>
          <w:numId w:val="0"/>
        </w:numPr>
        <w:ind w:left="525" w:leftChars="0" w:firstLine="419" w:firstLineChars="0"/>
        <w:rPr>
          <w:rStyle w:val="7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7"/>
          <w:rFonts w:hint="eastAsia"/>
          <w:b w:val="0"/>
          <w:bCs/>
          <w:sz w:val="21"/>
          <w:szCs w:val="21"/>
          <w:lang w:val="en-US" w:eastAsia="zh-CN"/>
        </w:rPr>
        <w:t>查看预存转实存信息。可根据查询条件筛选预存和实存、是否已经转实存记录信息。</w:t>
      </w:r>
    </w:p>
    <w:p>
      <w:pPr>
        <w:numPr>
          <w:ilvl w:val="0"/>
          <w:numId w:val="0"/>
        </w:numPr>
        <w:ind w:left="525" w:leftChars="0" w:firstLine="419" w:firstLineChars="0"/>
        <w:rPr>
          <w:rStyle w:val="7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7"/>
          <w:rFonts w:hint="eastAsia"/>
          <w:b w:val="0"/>
          <w:bCs/>
          <w:sz w:val="21"/>
          <w:szCs w:val="21"/>
          <w:lang w:val="en-US" w:eastAsia="zh-CN"/>
        </w:rPr>
        <w:t>营业员在操作预存粮时，插入数据到预存转实存记录表中，根据条件判断，如果</w:t>
      </w:r>
      <w:r>
        <w:rPr>
          <w:rStyle w:val="7"/>
          <w:rFonts w:hint="eastAsia"/>
          <w:b w:val="0"/>
          <w:bCs/>
          <w:sz w:val="21"/>
          <w:szCs w:val="21"/>
          <w:lang w:val="en-US" w:eastAsia="zh-CN"/>
        </w:rPr>
        <w:tab/>
      </w:r>
      <w:r>
        <w:rPr>
          <w:rStyle w:val="7"/>
          <w:rFonts w:hint="eastAsia"/>
          <w:b w:val="0"/>
          <w:bCs/>
          <w:sz w:val="21"/>
          <w:szCs w:val="21"/>
          <w:lang w:val="en-US" w:eastAsia="zh-CN"/>
        </w:rPr>
        <w:t xml:space="preserve"> 预存转实存表已经存在某条存粮信息，则更新该条预存数据记录中。</w:t>
      </w:r>
    </w:p>
    <w:p>
      <w:pPr>
        <w:numPr>
          <w:ilvl w:val="0"/>
          <w:numId w:val="0"/>
        </w:numPr>
        <w:ind w:left="525" w:leftChars="0"/>
        <w:rPr>
          <w:rStyle w:val="7"/>
          <w:rFonts w:hint="eastAsia"/>
          <w:b w:val="0"/>
          <w:bCs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Style w:val="7"/>
          <w:rFonts w:hint="eastAsia"/>
          <w:b w:val="0"/>
          <w:bCs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Style w:val="7"/>
          <w:rFonts w:hint="eastAsia"/>
          <w:b w:val="0"/>
          <w:bCs/>
          <w:lang w:val="en-US" w:eastAsia="zh-CN"/>
        </w:rPr>
      </w:pPr>
    </w:p>
    <w:p>
      <w:pPr>
        <w:numPr>
          <w:ilvl w:val="0"/>
          <w:numId w:val="0"/>
        </w:numPr>
        <w:ind w:left="525" w:leftChars="0"/>
        <w:rPr>
          <w:rStyle w:val="7"/>
          <w:rFonts w:hint="eastAsia"/>
          <w:b w:val="0"/>
          <w:bCs/>
          <w:lang w:val="en-US" w:eastAsia="zh-CN"/>
        </w:rPr>
      </w:pPr>
      <w:r>
        <w:drawing>
          <wp:inline distT="0" distB="0" distL="114300" distR="114300">
            <wp:extent cx="5270500" cy="2869565"/>
            <wp:effectExtent l="0" t="0" r="635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eastAsia"/>
          <w:b w:val="0"/>
          <w:bCs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Style w:val="7"/>
          <w:rFonts w:hint="eastAsia"/>
          <w:b w:val="0"/>
          <w:bCs/>
          <w:lang w:val="en-US" w:eastAsia="zh-CN"/>
        </w:rPr>
      </w:pPr>
      <w:r>
        <w:rPr>
          <w:rStyle w:val="7"/>
          <w:rFonts w:hint="eastAsia"/>
          <w:b w:val="0"/>
          <w:bCs/>
          <w:lang w:val="en-US" w:eastAsia="zh-CN"/>
        </w:rPr>
        <w:t xml:space="preserve">        </w:t>
      </w:r>
    </w:p>
    <w:p>
      <w:pPr>
        <w:numPr>
          <w:ilvl w:val="0"/>
          <w:numId w:val="2"/>
        </w:numPr>
        <w:ind w:left="525" w:leftChars="0" w:firstLine="0" w:firstLineChars="0"/>
        <w:rPr>
          <w:rStyle w:val="7"/>
          <w:rFonts w:hint="eastAsia"/>
          <w:b w:val="0"/>
          <w:bCs/>
          <w:lang w:val="en-US" w:eastAsia="zh-CN"/>
        </w:rPr>
      </w:pPr>
      <w:r>
        <w:rPr>
          <w:rStyle w:val="7"/>
          <w:rFonts w:hint="eastAsia"/>
          <w:b w:val="0"/>
          <w:bCs/>
          <w:lang w:val="en-US" w:eastAsia="zh-CN"/>
        </w:rPr>
        <w:t>结息续存记录、结息计算</w:t>
      </w:r>
    </w:p>
    <w:p>
      <w:pPr>
        <w:numPr>
          <w:ilvl w:val="0"/>
          <w:numId w:val="0"/>
        </w:numPr>
        <w:rPr>
          <w:rStyle w:val="7"/>
          <w:rFonts w:hint="eastAsia"/>
          <w:b w:val="0"/>
          <w:bCs/>
          <w:lang w:val="en-US" w:eastAsia="zh-CN"/>
        </w:rPr>
      </w:pPr>
      <w:r>
        <w:rPr>
          <w:rStyle w:val="7"/>
          <w:rFonts w:hint="eastAsia"/>
          <w:b w:val="0"/>
          <w:bCs/>
          <w:lang w:val="en-US" w:eastAsia="zh-CN"/>
        </w:rPr>
        <w:t xml:space="preserve">       </w:t>
      </w:r>
      <w:r>
        <w:rPr>
          <w:rStyle w:val="7"/>
          <w:rFonts w:hint="eastAsia"/>
          <w:b w:val="0"/>
          <w:bCs/>
          <w:sz w:val="21"/>
          <w:szCs w:val="21"/>
          <w:lang w:val="en-US" w:eastAsia="zh-CN"/>
        </w:rPr>
        <w:t>管理员登录点击</w:t>
      </w:r>
      <w:r>
        <w:rPr>
          <w:rStyle w:val="7"/>
          <w:rFonts w:hint="eastAsia"/>
          <w:b/>
          <w:bCs w:val="0"/>
          <w:color w:val="5B9BD5" w:themeColor="accent1"/>
          <w:sz w:val="21"/>
          <w:szCs w:val="21"/>
          <w:lang w:val="en-US" w:eastAsia="zh-CN"/>
          <w14:textFill>
            <w14:solidFill>
              <w14:schemeClr w14:val="accent1"/>
            </w14:solidFill>
          </w14:textFill>
        </w:rPr>
        <w:t>加盟店结算》结息结算</w:t>
      </w:r>
      <w:r>
        <w:rPr>
          <w:rStyle w:val="7"/>
          <w:rFonts w:hint="eastAsia"/>
          <w:b w:val="0"/>
          <w:bCs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2721610"/>
            <wp:effectExtent l="0" t="0" r="1079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2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532380"/>
            <wp:effectExtent l="0" t="0" r="952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2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网点名称、日期查询出数据，两个列表，第一个显示储户结息续存记录，第二个列表针对结息续存显示需要操作的结息计算记录。根据状态选择结算某条记录，如果是未结算，点击可结算该笔利息，然后可点击结算单据打印小票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532380"/>
            <wp:effectExtent l="0" t="0" r="952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2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点击支付现金完成操作。</w:t>
      </w:r>
    </w:p>
    <w:p>
      <w:pPr>
        <w:numPr>
          <w:ilvl w:val="0"/>
          <w:numId w:val="0"/>
        </w:numPr>
        <w:rPr>
          <w:rStyle w:val="7"/>
          <w:rFonts w:hint="eastAsia"/>
          <w:b w:val="0"/>
          <w:bCs/>
          <w:lang w:val="en-US" w:eastAsia="zh-CN"/>
        </w:rPr>
      </w:pPr>
      <w:r>
        <w:rPr>
          <w:rStyle w:val="7"/>
          <w:rFonts w:hint="eastAsia"/>
          <w:b w:val="0"/>
          <w:bCs/>
          <w:lang w:val="en-US" w:eastAsia="zh-CN"/>
        </w:rPr>
        <w:t xml:space="preserve">       </w:t>
      </w:r>
    </w:p>
    <w:p>
      <w:pPr>
        <w:numPr>
          <w:ilvl w:val="0"/>
          <w:numId w:val="2"/>
        </w:numPr>
        <w:ind w:left="525" w:leftChars="0" w:firstLine="0" w:firstLineChars="0"/>
        <w:rPr>
          <w:rStyle w:val="7"/>
          <w:rFonts w:hint="eastAsia"/>
          <w:b w:val="0"/>
          <w:bCs/>
          <w:szCs w:val="22"/>
          <w:lang w:val="en-US" w:eastAsia="zh-CN"/>
        </w:rPr>
      </w:pPr>
      <w:r>
        <w:rPr>
          <w:rStyle w:val="7"/>
          <w:rFonts w:hint="eastAsia"/>
          <w:b w:val="0"/>
          <w:bCs/>
          <w:szCs w:val="22"/>
          <w:lang w:val="en-US" w:eastAsia="zh-CN"/>
        </w:rPr>
        <w:t>议价分红型存粮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议价分红型存粮同分红型存粮类似，但最后的结算价格由储户与分网点商议决定，不使用系统当前的市场价。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议价分红型存粮使用步骤如下：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i w:val="0"/>
          <w:caps w:val="0"/>
          <w:color w:val="666666"/>
          <w:spacing w:val="0"/>
          <w:sz w:val="24"/>
          <w:szCs w:val="24"/>
          <w:shd w:val="clear" w:fill="EBF0EF"/>
          <w:lang w:val="en-US" w:eastAsia="zh-CN"/>
        </w:rPr>
      </w:pPr>
      <w:r>
        <w:rPr>
          <w:rFonts w:hint="eastAsia"/>
          <w:lang w:val="en-US" w:eastAsia="zh-CN"/>
        </w:rPr>
        <w:t>1&gt;设置存储期限菜单添加“按照商议到期价分红(议价分红)”的利息计算方式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91610" cy="3562985"/>
            <wp:effectExtent l="0" t="0" r="8890" b="18415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3562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2&gt;存粮价格与利率设置页面添加“议价分红”的存粮利率，并且设置当存储期限为“分红”或者“议价分红”时，到期价格与合同价格不可用。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32985" cy="3322320"/>
            <wp:effectExtent l="0" t="0" r="5715" b="11430"/>
            <wp:docPr id="1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3322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3&gt;营业员系统在存粮菜单下添加“分红议价”子菜单</w:t>
      </w:r>
    </w:p>
    <w:p>
      <w:pPr>
        <w:keepNext w:val="0"/>
        <w:keepLines w:val="0"/>
        <w:widowControl/>
        <w:suppressLineNumbers w:val="0"/>
        <w:jc w:val="left"/>
        <w:rPr>
          <w:b w:val="0"/>
          <w:bCs w:val="0"/>
          <w:sz w:val="24"/>
          <w:szCs w:val="24"/>
        </w:rPr>
      </w:pP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55895" cy="3801745"/>
            <wp:effectExtent l="0" t="0" r="1905" b="8255"/>
            <wp:docPr id="1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80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存粮信息中显示“到期价”信息，如没有设置过，则显示0，在此种情况下使用该笔存粮做兑换、存转销等操作，存粮利息的计算方式与普通分红型相同（即按照当前系统设置的市场价计算利息）；如已经设置过，则显示设置后的到期价，在此种情况下使用该笔存粮做兑换、存转销等操作，存粮利息的计算方式按照储户与网点共同约定好的到期价计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在“利息”一栏中，如存粮没到期，则显示“未到期”信息；如存粮已到期但储户与管理员尚未设定结算价，此处利息按普通分红型存储计算；如存粮已到期并且储户与管理员已经设定结算价，此处利息按约定到期价计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未进行结算价格约定的存粮可以进行一次价格设定，已进行结算价格设定的存粮不可以重复设定。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该页面的储户存粮信息仅显示存储类型为“议价分红”型的存储。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0EC8F1"/>
    <w:multiLevelType w:val="singleLevel"/>
    <w:tmpl w:val="EC0EC8F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1D78F5E"/>
    <w:multiLevelType w:val="multilevel"/>
    <w:tmpl w:val="21D78F5E"/>
    <w:lvl w:ilvl="0" w:tentative="0">
      <w:start w:val="1"/>
      <w:numFmt w:val="decimal"/>
      <w:suff w:val="nothing"/>
      <w:lvlText w:val="%1、"/>
      <w:lvlJc w:val="left"/>
      <w:pPr>
        <w:ind w:left="525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525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525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525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525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525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525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525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525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D9C2602"/>
    <w:rsid w:val="39F825BA"/>
    <w:rsid w:val="3DA03464"/>
    <w:rsid w:val="3EB33C1F"/>
    <w:rsid w:val="450D2408"/>
    <w:rsid w:val="4F46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2018-03-09T01:59:00Z</dcterms:created>
  <dc:creator>Edge</dc:creator>
  <cp:lastModifiedBy>ly_wy</cp:lastModifiedBy>
  <dcterms:modified xsi:type="dcterms:W3CDTF">2018-03-09T08:35:19Z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