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Session 1: Induction and the foundations of research</w:t>
      </w:r>
    </w:p>
    <w:p>
      <w:r>
        <w:rPr>
          <w:i/>
        </w:rPr>
        <w:t>Pre-session card for COM7401 Research Methods (On Campus). Read this card first: it says what to do, in what order, and why.</w:t>
      </w:r>
    </w:p>
    <w:p>
      <w:pPr>
        <w:pStyle w:val="Heading1"/>
      </w:pPr>
      <w:r>
        <w:t>Why this preparation matters</w:t>
      </w:r>
    </w:p>
    <w:p>
      <w:r>
        <w:t>This session introduces the module, the portfolio and what research is. In class you analyse a real research case in a group. The preparation gives you a starting topic and an honest picture of your own research skills, which every later session builds on.</w:t>
      </w:r>
    </w:p>
    <w:p>
      <w:pPr>
        <w:pStyle w:val="Heading1"/>
      </w:pPr>
      <w:r>
        <w:t>What you must do before the session</w:t>
      </w:r>
    </w:p>
    <w:p>
      <w:pPr>
        <w:pStyle w:val="Heading2"/>
      </w:pPr>
      <w:r>
        <w:t>1. Choose two or three broad topic areas</w:t>
      </w:r>
    </w:p>
    <w:p>
      <w:pPr>
        <w:spacing w:after="60"/>
      </w:pPr>
      <w:r>
        <w:rPr>
          <w:b/>
          <w:color w:val="1A3B70"/>
        </w:rPr>
        <w:t xml:space="preserve">Do: </w:t>
      </w:r>
      <w:r>
        <w:t>Write down two or three broad areas in computing, data or cybersecurity that interest you. Broad areas are enough, for example the use of AI in software testing. Do not try to write research questions yet.</w:t>
      </w:r>
    </w:p>
    <w:p>
      <w:pPr>
        <w:spacing w:after="60"/>
      </w:pPr>
      <w:r>
        <w:rPr>
          <w:b/>
          <w:color w:val="1A3B70"/>
        </w:rPr>
        <w:t xml:space="preserve">Where: </w:t>
      </w:r>
      <w:r>
        <w:t>Your own notes, or the box at the end of this card.</w:t>
      </w:r>
    </w:p>
    <w:p>
      <w:pPr>
        <w:spacing w:after="60"/>
      </w:pPr>
      <w:r>
        <w:rPr>
          <w:b/>
          <w:color w:val="1A3B70"/>
        </w:rPr>
        <w:t xml:space="preserve">Bring or produce: </w:t>
      </w:r>
      <w:r>
        <w:t>A short list of topic areas.</w:t>
      </w:r>
    </w:p>
    <w:p>
      <w:pPr>
        <w:spacing w:after="60"/>
      </w:pPr>
      <w:r>
        <w:rPr>
          <w:b/>
          <w:color w:val="1A3B70"/>
        </w:rPr>
        <w:t xml:space="preserve">Why it matters: </w:t>
      </w:r>
      <w:r>
        <w:t>In Week 2 you narrow one area into a research question. Starting broad means you choose something you can stay interested in for five weeks and for the report.</w:t>
      </w:r>
    </w:p>
    <w:p>
      <w:pPr>
        <w:pStyle w:val="Heading2"/>
      </w:pPr>
      <w:r>
        <w:t>2. Audit your research skills</w:t>
      </w:r>
    </w:p>
    <w:p>
      <w:pPr>
        <w:spacing w:after="60"/>
      </w:pPr>
      <w:r>
        <w:rPr>
          <w:b/>
          <w:color w:val="1A3B70"/>
        </w:rPr>
        <w:t xml:space="preserve">Do: </w:t>
      </w:r>
      <w:r>
        <w:t>Use the table below. For each skill group, note skills you already have with one example from work, study or life. Then pick the three skills you most need to build and write one concrete way you will build each.</w:t>
      </w:r>
    </w:p>
    <w:p>
      <w:pPr>
        <w:spacing w:after="60"/>
      </w:pPr>
      <w:r>
        <w:rPr>
          <w:b/>
          <w:color w:val="1A3B70"/>
        </w:rPr>
        <w:t xml:space="preserve">Where: </w:t>
      </w:r>
      <w:r>
        <w:t>The table below (print it, or copy it into your notes).</w:t>
      </w:r>
    </w:p>
    <w:p>
      <w:pPr>
        <w:spacing w:after="60"/>
      </w:pPr>
      <w:r>
        <w:rPr>
          <w:b/>
          <w:color w:val="1A3B70"/>
        </w:rPr>
        <w:t xml:space="preserve">Bring or produce: </w:t>
      </w:r>
      <w:r>
        <w:t>A completed table with three development actions.</w:t>
      </w:r>
    </w:p>
    <w:p>
      <w:pPr>
        <w:spacing w:after="60"/>
      </w:pPr>
      <w:r>
        <w:rPr>
          <w:b/>
          <w:color w:val="1A3B70"/>
        </w:rPr>
        <w:t xml:space="preserve">Why it matters: </w:t>
      </w:r>
      <w:r>
        <w:t>Most students find they already use more research skills than they realise. In the session you will share one skill you have and one you need, and the group's answers shape how support is targeted.</w:t>
      </w:r>
    </w:p>
    <w:p>
      <w:pPr>
        <w:pStyle w:val="Heading2"/>
      </w:pPr>
      <w:r>
        <w:t>3. Skim the assessment brief</w:t>
      </w:r>
    </w:p>
    <w:p>
      <w:pPr>
        <w:spacing w:after="60"/>
      </w:pPr>
      <w:r>
        <w:rPr>
          <w:b/>
          <w:color w:val="1A3B70"/>
        </w:rPr>
        <w:t xml:space="preserve">Do: </w:t>
      </w:r>
      <w:r>
        <w:t>Read the headings, the Part A and Part B descriptions, the five marking criteria and the dates. Write down three questions. Do not expect to understand everything: the session explains it.</w:t>
      </w:r>
    </w:p>
    <w:p>
      <w:pPr>
        <w:spacing w:after="60"/>
      </w:pPr>
      <w:r>
        <w:rPr>
          <w:b/>
          <w:color w:val="1A3B70"/>
        </w:rPr>
        <w:t xml:space="preserve">Where: </w:t>
      </w:r>
      <w:r>
        <w:t>The assessment brief on your module's Moodle page.</w:t>
      </w:r>
    </w:p>
    <w:p>
      <w:pPr>
        <w:spacing w:after="60"/>
      </w:pPr>
      <w:r>
        <w:rPr>
          <w:b/>
          <w:color w:val="1A3B70"/>
        </w:rPr>
        <w:t xml:space="preserve">Bring or produce: </w:t>
      </w:r>
      <w:r>
        <w:t>Three questions.</w:t>
      </w:r>
    </w:p>
    <w:p>
      <w:pPr>
        <w:spacing w:after="60"/>
      </w:pPr>
      <w:r>
        <w:rPr>
          <w:b/>
          <w:color w:val="1A3B70"/>
        </w:rPr>
        <w:t xml:space="preserve">Why it matters: </w:t>
      </w:r>
      <w:r>
        <w:t>Knowing the shape of the portfolio before the session means your questions will be sharper and the session can go on doing rather than explaining.</w:t>
      </w:r>
    </w:p>
    <w:p>
      <w:pPr>
        <w:pStyle w:val="Heading1"/>
      </w:pPr>
      <w:r>
        <w:t>Key facts from the brief</w:t>
      </w:r>
    </w:p>
    <w:p>
      <w:pPr>
        <w:pStyle w:val="ListBullet"/>
      </w:pPr>
      <w:r>
        <w:t>The portfolio is 100% of the module: Part A is a written report of 2,500 words (plus or minus 10%) under four fixed headings; Part B is a recorded oral defence of 4 minutes (plus or minus 30 seconds).</w:t>
      </w:r>
    </w:p>
    <w:p>
      <w:pPr>
        <w:pStyle w:val="ListBullet"/>
      </w:pPr>
      <w:r>
        <w:t>The report is due Friday 27 November 2026. The oral defence is due Friday 4 December 2026.</w:t>
      </w:r>
    </w:p>
    <w:p>
      <w:pPr>
        <w:pStyle w:val="ListBullet"/>
      </w:pPr>
      <w:r>
        <w:t>Generative AI may help with the report under Category B and must be declared. It is not allowed for the oral defence.</w:t>
      </w:r>
    </w:p>
    <w:p>
      <w:pPr>
        <w:pStyle w:val="Heading1"/>
      </w:pPr>
      <w:r>
        <w:t>Skills audit</w:t>
      </w:r>
    </w:p>
    <w:tbl>
      <w:tblPr>
        <w:tblStyle w:val="TableGrid"/>
        <w:tblW w:type="auto" w:w="0"/>
        <w:tblLayout w:type="fixed"/>
        <w:tblLook w:firstColumn="1" w:firstRow="1" w:lastColumn="0" w:lastRow="0" w:noHBand="0" w:noVBand="1" w:val="04A0"/>
      </w:tblPr>
      <w:tblGrid>
        <w:gridCol w:w="1814"/>
        <w:gridCol w:w="3175"/>
        <w:gridCol w:w="2268"/>
        <w:gridCol w:w="2268"/>
      </w:tblGrid>
      <w:tr>
        <w:tc>
          <w:tcPr>
            <w:tcW w:type="dxa" w:w="1814"/>
            <w:shd w:val="clear" w:color="auto" w:fill="1A3B70"/>
          </w:tcPr>
          <w:p>
            <w:r/>
            <w:r>
              <w:rPr>
                <w:b/>
                <w:color w:val="FFFFFF"/>
                <w:sz w:val="21"/>
              </w:rPr>
              <w:t>Skill group</w:t>
            </w:r>
          </w:p>
        </w:tc>
        <w:tc>
          <w:tcPr>
            <w:tcW w:type="dxa" w:w="3175"/>
            <w:shd w:val="clear" w:color="auto" w:fill="1A3B70"/>
          </w:tcPr>
          <w:p>
            <w:r/>
            <w:r>
              <w:rPr>
                <w:b/>
                <w:color w:val="FFFFFF"/>
                <w:sz w:val="21"/>
              </w:rPr>
              <w:t>Examples</w:t>
            </w:r>
          </w:p>
        </w:tc>
        <w:tc>
          <w:tcPr>
            <w:tcW w:type="dxa" w:w="2268"/>
            <w:shd w:val="clear" w:color="auto" w:fill="1A3B70"/>
          </w:tcPr>
          <w:p>
            <w:r/>
            <w:r>
              <w:rPr>
                <w:b/>
                <w:color w:val="FFFFFF"/>
                <w:sz w:val="21"/>
              </w:rPr>
              <w:t>I have this (with an example)</w:t>
            </w:r>
          </w:p>
        </w:tc>
        <w:tc>
          <w:tcPr>
            <w:tcW w:type="dxa" w:w="2268"/>
            <w:shd w:val="clear" w:color="auto" w:fill="1A3B70"/>
          </w:tcPr>
          <w:p>
            <w:r/>
            <w:r>
              <w:rPr>
                <w:b/>
                <w:color w:val="FFFFFF"/>
                <w:sz w:val="21"/>
              </w:rPr>
              <w:t>I need this (and how I will build it)</w:t>
            </w:r>
          </w:p>
        </w:tc>
      </w:tr>
      <w:tr>
        <w:tc>
          <w:tcPr>
            <w:tcW w:type="dxa" w:w="1814"/>
          </w:tcPr>
          <w:p>
            <w:r/>
            <w:r>
              <w:rPr>
                <w:sz w:val="21"/>
              </w:rPr>
              <w:t>Managing a project</w:t>
            </w:r>
          </w:p>
        </w:tc>
        <w:tc>
          <w:tcPr>
            <w:tcW w:type="dxa" w:w="3175"/>
          </w:tcPr>
          <w:p>
            <w:r/>
            <w:r>
              <w:rPr>
                <w:sz w:val="21"/>
              </w:rPr>
              <w:t>Organisation; time management; meeting deadlines; working under pressure; staying motivated</w:t>
            </w:r>
          </w:p>
        </w:tc>
        <w:tc>
          <w:tcPr>
            <w:tcW w:type="dxa" w:w="2268"/>
          </w:tcPr>
          <w:p>
            <w:r/>
            <w:r>
              <w:rPr>
                <w:sz w:val="21"/>
              </w:rPr>
            </w:r>
          </w:p>
        </w:tc>
        <w:tc>
          <w:tcPr>
            <w:tcW w:type="dxa" w:w="2268"/>
          </w:tcPr>
          <w:p>
            <w:r/>
            <w:r>
              <w:rPr>
                <w:sz w:val="21"/>
              </w:rPr>
            </w:r>
          </w:p>
        </w:tc>
      </w:tr>
      <w:tr>
        <w:tc>
          <w:tcPr>
            <w:tcW w:type="dxa" w:w="1814"/>
          </w:tcPr>
          <w:p>
            <w:r/>
            <w:r>
              <w:rPr>
                <w:sz w:val="21"/>
              </w:rPr>
              <w:t>Working with people</w:t>
            </w:r>
          </w:p>
        </w:tc>
        <w:tc>
          <w:tcPr>
            <w:tcW w:type="dxa" w:w="3175"/>
          </w:tcPr>
          <w:p>
            <w:r/>
            <w:r>
              <w:rPr>
                <w:sz w:val="21"/>
              </w:rPr>
              <w:t>Teamwork; spoken and written communication; listening; interviewing and questioning; building rapport</w:t>
            </w:r>
          </w:p>
        </w:tc>
        <w:tc>
          <w:tcPr>
            <w:tcW w:type="dxa" w:w="2268"/>
          </w:tcPr>
          <w:p>
            <w:r/>
            <w:r>
              <w:rPr>
                <w:sz w:val="21"/>
              </w:rPr>
            </w:r>
          </w:p>
        </w:tc>
        <w:tc>
          <w:tcPr>
            <w:tcW w:type="dxa" w:w="2268"/>
          </w:tcPr>
          <w:p>
            <w:r/>
            <w:r>
              <w:rPr>
                <w:sz w:val="21"/>
              </w:rPr>
            </w:r>
          </w:p>
        </w:tc>
      </w:tr>
      <w:tr>
        <w:tc>
          <w:tcPr>
            <w:tcW w:type="dxa" w:w="1814"/>
          </w:tcPr>
          <w:p>
            <w:r/>
            <w:r>
              <w:rPr>
                <w:sz w:val="21"/>
              </w:rPr>
              <w:t>Finding and handling information</w:t>
            </w:r>
          </w:p>
        </w:tc>
        <w:tc>
          <w:tcPr>
            <w:tcW w:type="dxa" w:w="3175"/>
          </w:tcPr>
          <w:p>
            <w:r/>
            <w:r>
              <w:rPr>
                <w:sz w:val="21"/>
              </w:rPr>
              <w:t>Reading complex sources; primary and secondary sources; datasets and databases; IT skills; numerical and data analysis</w:t>
            </w:r>
          </w:p>
        </w:tc>
        <w:tc>
          <w:tcPr>
            <w:tcW w:type="dxa" w:w="2268"/>
          </w:tcPr>
          <w:p>
            <w:r/>
            <w:r>
              <w:rPr>
                <w:sz w:val="21"/>
              </w:rPr>
            </w:r>
          </w:p>
        </w:tc>
        <w:tc>
          <w:tcPr>
            <w:tcW w:type="dxa" w:w="2268"/>
          </w:tcPr>
          <w:p>
            <w:r/>
            <w:r>
              <w:rPr>
                <w:sz w:val="21"/>
              </w:rPr>
            </w:r>
          </w:p>
        </w:tc>
      </w:tr>
      <w:tr>
        <w:tc>
          <w:tcPr>
            <w:tcW w:type="dxa" w:w="1814"/>
          </w:tcPr>
          <w:p>
            <w:r/>
            <w:r>
              <w:rPr>
                <w:sz w:val="21"/>
              </w:rPr>
              <w:t>Thinking and judging</w:t>
            </w:r>
          </w:p>
        </w:tc>
        <w:tc>
          <w:tcPr>
            <w:tcW w:type="dxa" w:w="3175"/>
          </w:tcPr>
          <w:p>
            <w:r/>
            <w:r>
              <w:rPr>
                <w:sz w:val="21"/>
              </w:rPr>
              <w:t>Analysis, evaluation and critique; problem solving; reflection; choosing a workable topic</w:t>
            </w:r>
          </w:p>
        </w:tc>
        <w:tc>
          <w:tcPr>
            <w:tcW w:type="dxa" w:w="2268"/>
          </w:tcPr>
          <w:p>
            <w:r/>
            <w:r>
              <w:rPr>
                <w:sz w:val="21"/>
              </w:rPr>
            </w:r>
          </w:p>
        </w:tc>
        <w:tc>
          <w:tcPr>
            <w:tcW w:type="dxa" w:w="2268"/>
          </w:tcPr>
          <w:p>
            <w:r/>
            <w:r>
              <w:rPr>
                <w:sz w:val="21"/>
              </w:rPr>
            </w:r>
          </w:p>
        </w:tc>
      </w:tr>
      <w:tr>
        <w:tc>
          <w:tcPr>
            <w:tcW w:type="dxa" w:w="1814"/>
          </w:tcPr>
          <w:p>
            <w:r/>
            <w:r>
              <w:rPr>
                <w:sz w:val="21"/>
              </w:rPr>
              <w:t>Research knowledge</w:t>
            </w:r>
          </w:p>
        </w:tc>
        <w:tc>
          <w:tcPr>
            <w:tcW w:type="dxa" w:w="3175"/>
          </w:tcPr>
          <w:p>
            <w:r/>
            <w:r>
              <w:rPr>
                <w:sz w:val="21"/>
              </w:rPr>
              <w:t>Research methods and methodology; theoretical frameworks; how philosophy links to method; previous related research; setting aims and objectives</w:t>
            </w:r>
          </w:p>
        </w:tc>
        <w:tc>
          <w:tcPr>
            <w:tcW w:type="dxa" w:w="2268"/>
          </w:tcPr>
          <w:p>
            <w:r/>
            <w:r>
              <w:rPr>
                <w:sz w:val="21"/>
              </w:rPr>
            </w:r>
          </w:p>
        </w:tc>
        <w:tc>
          <w:tcPr>
            <w:tcW w:type="dxa" w:w="2268"/>
          </w:tcPr>
          <w:p>
            <w:r/>
            <w:r>
              <w:rPr>
                <w:sz w:val="21"/>
              </w:rPr>
            </w:r>
          </w:p>
        </w:tc>
      </w:tr>
    </w:tbl>
    <w:p/>
    <w:p>
      <w:pPr>
        <w:pStyle w:val="Heading1"/>
      </w:pPr>
      <w:r>
        <w:t>If you have more capacity</w:t>
      </w:r>
    </w:p>
    <w:p>
      <w:pPr>
        <w:pStyle w:val="ListBullet"/>
      </w:pPr>
      <w:r>
        <w:t>Read the report headings again and think about which section you expect to find hardest.</w:t>
      </w:r>
    </w:p>
    <w:p>
      <w:pPr>
        <w:pStyle w:val="ListBullet"/>
      </w:pPr>
      <w:r>
        <w:t>Look at one published computing research paper and see if you can find its question, method and conclusion.</w:t>
      </w:r>
    </w:p>
    <w:p>
      <w:pPr>
        <w:pStyle w:val="Heading1"/>
      </w:pPr>
      <w:r>
        <w:t>Bring with you</w:t>
      </w:r>
    </w:p>
    <w:p>
      <w:pPr>
        <w:pStyle w:val="ListBullet"/>
      </w:pPr>
      <w:r>
        <w:t>Your list of topic areas</w:t>
      </w:r>
    </w:p>
    <w:p>
      <w:pPr>
        <w:pStyle w:val="ListBullet"/>
      </w:pPr>
      <w:r>
        <w:t>Your completed skills audit</w:t>
      </w:r>
    </w:p>
    <w:p>
      <w:pPr>
        <w:pStyle w:val="ListBullet"/>
      </w:pPr>
      <w:r>
        <w:t>Your three questions about the brief</w:t>
      </w:r>
    </w:p>
    <w:p>
      <w:pPr>
        <w:pStyle w:val="Heading1"/>
      </w:pPr>
      <w:r>
        <w:t>Check yourself before you arrive</w:t>
      </w:r>
    </w:p>
    <w:p>
      <w:r>
        <w:t>You should be able to answer these without looking at your notes. If you cannot, note it and bring the question.</w:t>
      </w:r>
    </w:p>
    <w:p>
      <w:pPr>
        <w:pStyle w:val="ListBullet"/>
      </w:pPr>
      <w:r>
        <w:t>Can I say in one sentence what the portfolio asks me to produce?</w:t>
      </w:r>
    </w:p>
    <w:p>
      <w:pPr>
        <w:pStyle w:val="ListBullet"/>
      </w:pPr>
      <w:r>
        <w:t>Which two parts make up the portfolio, and what are their formats?</w:t>
      </w:r>
    </w:p>
    <w:p>
      <w:pPr>
        <w:pStyle w:val="ListBullet"/>
      </w:pPr>
      <w:r>
        <w:t>Which topic area would I be happiest spending five weeks on?</w:t>
      </w:r>
    </w:p>
    <w:p>
      <w:pPr>
        <w:pStyle w:val="ListBullet"/>
      </w:pPr>
      <w:r>
        <w:t>Which skill do I most need to build, and what will I do about it?</w:t>
      </w:r>
    </w:p>
    <w:p>
      <w:pPr>
        <w:pStyle w:val="Heading1"/>
      </w:pPr>
      <w:r>
        <w:t>If you are short of preparation</w:t>
      </w:r>
    </w:p>
    <w:p>
      <w:r>
        <w:t>Write your topic areas and read the headings of the brief. The audit can be finished in the session. Come anyway: the session will still work, and tell the tutor what you did not get to.</w:t>
      </w:r>
    </w:p>
    <w:p>
      <w:pPr>
        <w:pStyle w:val="Heading1"/>
      </w:pPr>
      <w:r>
        <w:t>Looking ahead</w:t>
      </w:r>
    </w:p>
    <w:p>
      <w:r>
        <w:t>Next is Session 2: ontology and research paradigms. The preparation for it starts with the readings on its card.</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COM7401 CAMPUS | Week 1, Session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COM7401 Research Methods (On Campus) | Pre-session card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B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B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A3B7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