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Session 1: Research design and ethics in design</w:t>
      </w:r>
    </w:p>
    <w:p>
      <w:r>
        <w:rPr>
          <w:i/>
        </w:rPr>
        <w:t>Pre-session card for COM7411 Research Methods (Online). Read this card first: it says what to do, in what order, and why.</w:t>
      </w:r>
    </w:p>
    <w:p>
      <w:pPr>
        <w:pStyle w:val="Heading1"/>
      </w:pPr>
      <w:r>
        <w:t>Why this preparation matters</w:t>
      </w:r>
    </w:p>
    <w:p>
      <w:r>
        <w:t>This is the session where your proposal gets a skeleton: a design type, a quantitative, qualitative or mixed choice, and the ethical points that shape both. Your Ethics Self-Assessment is used directly in a short checkpoint, so it must be done before you arrive.</w:t>
      </w:r>
    </w:p>
    <w:p>
      <w:pPr>
        <w:pStyle w:val="Heading1"/>
      </w:pPr>
      <w:r>
        <w:t>What you must do before the session</w:t>
      </w:r>
    </w:p>
    <w:p>
      <w:pPr>
        <w:pStyle w:val="Heading2"/>
      </w:pPr>
      <w:r>
        <w:t>1. Complete your Ethics Self-Assessment</w:t>
      </w:r>
    </w:p>
    <w:p>
      <w:pPr>
        <w:spacing w:after="60"/>
      </w:pPr>
      <w:r>
        <w:rPr>
          <w:b/>
          <w:color w:val="1A3B70"/>
        </w:rPr>
        <w:t xml:space="preserve">Do: </w:t>
      </w:r>
      <w:r>
        <w:t>Finish the worksheet and be ready to talk through your answers.</w:t>
      </w:r>
    </w:p>
    <w:p>
      <w:pPr>
        <w:spacing w:after="60"/>
      </w:pPr>
      <w:r>
        <w:rPr>
          <w:b/>
          <w:color w:val="1A3B70"/>
        </w:rPr>
        <w:t xml:space="preserve">Where: </w:t>
      </w:r>
      <w:r>
        <w:t>Your module's Ethics Self-Assessment Worksheet, in the Ethics pack. COM7411 ONLINE - Ethics Self-Assessment Worksheet.docx, after the Ethics in Research Activity.</w:t>
      </w:r>
    </w:p>
    <w:p>
      <w:pPr>
        <w:spacing w:after="60"/>
      </w:pPr>
      <w:r>
        <w:rPr>
          <w:b/>
          <w:color w:val="1A3B70"/>
        </w:rPr>
        <w:t xml:space="preserve">Bring or produce: </w:t>
      </w:r>
      <w:r>
        <w:t>Your completed worksheet.</w:t>
      </w:r>
    </w:p>
    <w:p>
      <w:pPr>
        <w:spacing w:after="60"/>
      </w:pPr>
      <w:r>
        <w:rPr>
          <w:b/>
          <w:color w:val="1A3B70"/>
        </w:rPr>
        <w:t xml:space="preserve">Why it matters: </w:t>
      </w:r>
      <w:r>
        <w:t>In the session you discuss how your answers shape your design. This is the main live ethics teaching in the module, and the brief rewards ethics that is specific to your proposal.</w:t>
      </w:r>
    </w:p>
    <w:p>
      <w:pPr>
        <w:pStyle w:val="Heading2"/>
      </w:pPr>
      <w:r>
        <w:t>2. Read the mixed-methods paper using the guide below</w:t>
      </w:r>
    </w:p>
    <w:p>
      <w:pPr>
        <w:spacing w:after="60"/>
      </w:pPr>
      <w:r>
        <w:rPr>
          <w:b/>
          <w:color w:val="1A3B70"/>
        </w:rPr>
        <w:t xml:space="preserve">Do: </w:t>
      </w:r>
      <w:r>
        <w:t>Read with the focus questions in mind.</w:t>
      </w:r>
    </w:p>
    <w:p>
      <w:pPr>
        <w:spacing w:after="60"/>
      </w:pPr>
      <w:r>
        <w:rPr>
          <w:b/>
          <w:color w:val="1A3B70"/>
        </w:rPr>
        <w:t xml:space="preserve">Where: </w:t>
      </w:r>
      <w:r>
        <w:t>Using_mixed_methods_research_designs_in_health_psy.pdf in this folder.</w:t>
      </w:r>
    </w:p>
    <w:p>
      <w:pPr>
        <w:spacing w:after="60"/>
      </w:pPr>
      <w:r>
        <w:rPr>
          <w:b/>
          <w:color w:val="1A3B70"/>
        </w:rPr>
        <w:t xml:space="preserve">Bring or produce: </w:t>
      </w:r>
      <w:r>
        <w:t>A line or two for each focus question.</w:t>
      </w:r>
    </w:p>
    <w:p>
      <w:pPr>
        <w:spacing w:after="60"/>
      </w:pPr>
      <w:r>
        <w:rPr>
          <w:b/>
          <w:color w:val="1A3B70"/>
        </w:rPr>
        <w:t xml:space="preserve">Why it matters: </w:t>
      </w:r>
      <w:r>
        <w:t>Mixed methods is one of the three methodologies you choose between. This paper explains the main design patterns and the decision behind them.</w:t>
      </w:r>
    </w:p>
    <w:p>
      <w:pPr>
        <w:pStyle w:val="Heading2"/>
      </w:pPr>
      <w:r>
        <w:t>3. Read the grey literature guide</w:t>
      </w:r>
    </w:p>
    <w:p>
      <w:pPr>
        <w:spacing w:after="60"/>
      </w:pPr>
      <w:r>
        <w:rPr>
          <w:b/>
          <w:color w:val="1A3B70"/>
        </w:rPr>
        <w:t xml:space="preserve">Do: </w:t>
      </w:r>
      <w:r>
        <w:t>Read the three-page guide and think about whether your own review could use grey sources.</w:t>
      </w:r>
    </w:p>
    <w:p>
      <w:pPr>
        <w:spacing w:after="60"/>
      </w:pPr>
      <w:r>
        <w:rPr>
          <w:b/>
          <w:color w:val="1A3B70"/>
        </w:rPr>
        <w:t xml:space="preserve">Where: </w:t>
      </w:r>
      <w:r>
        <w:t>Grey Literature.pdf in this folder.</w:t>
      </w:r>
    </w:p>
    <w:p>
      <w:pPr>
        <w:spacing w:after="60"/>
      </w:pPr>
      <w:r>
        <w:rPr>
          <w:b/>
          <w:color w:val="1A3B70"/>
        </w:rPr>
        <w:t xml:space="preserve">Bring or produce: </w:t>
      </w:r>
      <w:r>
        <w:t>One grey source relevant to your topic, if you can find one.</w:t>
      </w:r>
    </w:p>
    <w:p>
      <w:pPr>
        <w:spacing w:after="60"/>
      </w:pPr>
      <w:r>
        <w:rPr>
          <w:b/>
          <w:color w:val="1A3B70"/>
        </w:rPr>
        <w:t xml:space="preserve">Why it matters: </w:t>
      </w:r>
      <w:r>
        <w:t>Much computing evidence (standards, white papers, technical reports) is not in journals. You need to be able to judge it.</w:t>
      </w:r>
    </w:p>
    <w:p>
      <w:pPr>
        <w:pStyle w:val="Heading2"/>
      </w:pPr>
      <w:r>
        <w:t>4. Bring your earlier work</w:t>
      </w:r>
    </w:p>
    <w:p>
      <w:pPr>
        <w:spacing w:after="60"/>
      </w:pPr>
      <w:r>
        <w:rPr>
          <w:b/>
          <w:color w:val="1A3B70"/>
        </w:rPr>
        <w:t xml:space="preserve">Do: </w:t>
      </w:r>
      <w:r>
        <w:t>Have your Funnel output and your Critical Literature Review start to hand.</w:t>
      </w:r>
    </w:p>
    <w:p>
      <w:pPr>
        <w:spacing w:after="60"/>
      </w:pPr>
      <w:r>
        <w:rPr>
          <w:b/>
          <w:color w:val="1A3B70"/>
        </w:rPr>
        <w:t xml:space="preserve">Where: </w:t>
      </w:r>
      <w:r>
        <w:t>Your notes from Week 2.</w:t>
      </w:r>
    </w:p>
    <w:p>
      <w:pPr>
        <w:spacing w:after="60"/>
      </w:pPr>
      <w:r>
        <w:rPr>
          <w:b/>
          <w:color w:val="1A3B70"/>
        </w:rPr>
        <w:t xml:space="preserve">Bring or produce: </w:t>
      </w:r>
      <w:r>
        <w:t>The items above.</w:t>
      </w:r>
    </w:p>
    <w:p>
      <w:pPr>
        <w:spacing w:after="60"/>
      </w:pPr>
      <w:r>
        <w:rPr>
          <w:b/>
          <w:color w:val="1A3B70"/>
        </w:rPr>
        <w:t xml:space="preserve">Why it matters: </w:t>
      </w:r>
      <w:r>
        <w:t>The Research Design Framework starts from your question and literature.</w:t>
      </w:r>
    </w:p>
    <w:p>
      <w:pPr>
        <w:pStyle w:val="Heading1"/>
      </w:pPr>
      <w:r>
        <w:t>Reading guide</w:t>
      </w:r>
    </w:p>
    <w:p>
      <w:r>
        <w:t>Do not try to read every word. Read with the questions in mind, and write a line or two for each. Your notes are for you; you will not be asked to hand them in.</w:t>
      </w:r>
    </w:p>
    <w:p>
      <w:pPr>
        <w:pStyle w:val="Heading2"/>
      </w:pPr>
      <w:r>
        <w:t>Bishop (2015), Using mixed methods research designs in health psychology</w:t>
      </w:r>
    </w:p>
    <w:p>
      <w:pPr>
        <w:spacing w:after="60"/>
      </w:pPr>
      <w:r>
        <w:rPr>
          <w:b/>
          <w:color w:val="1A3B70"/>
        </w:rPr>
        <w:t xml:space="preserve">What it is: </w:t>
      </w:r>
      <w:r>
        <w:t>A paper in the British Journal of Health Psychology that reflects on mixed methods from a pragmatist perspective. The examples are health psychology: look at the design logic.</w:t>
      </w:r>
    </w:p>
    <w:p>
      <w:pPr>
        <w:spacing w:after="60"/>
      </w:pPr>
      <w:r>
        <w:rPr>
          <w:b/>
          <w:color w:val="1A3B70"/>
        </w:rPr>
        <w:t xml:space="preserve">Where to focus: </w:t>
      </w:r>
      <w:r>
        <w:t>The summary of the philosophical and technical challenges of mixing methods; the discussion of design typologies, especially timing and emphasis; the five projects that illustrate sequential and concurrent designs.</w:t>
      </w:r>
    </w:p>
    <w:p>
      <w:pPr>
        <w:spacing w:after="60"/>
      </w:pPr>
      <w:r>
        <w:rPr>
          <w:b/>
          <w:color w:val="1A3B70"/>
        </w:rPr>
        <w:t xml:space="preserve">What you can skip: </w:t>
      </w:r>
      <w:r>
        <w:t>Detail specific to health psychology measures.</w:t>
      </w:r>
    </w:p>
    <w:p>
      <w:pPr>
        <w:spacing w:after="60"/>
      </w:pPr>
      <w:r>
        <w:rPr>
          <w:b/>
          <w:color w:val="1A3B70"/>
        </w:rPr>
        <w:t xml:space="preserve">Questions to answer: </w:t>
      </w:r>
      <w:r/>
    </w:p>
    <w:p>
      <w:pPr>
        <w:pStyle w:val="ListBullet"/>
      </w:pPr>
      <w:r>
        <w:t>What are the philosophical challenge and the technical challenge of mixed methods, and how does the paper tackle each?</w:t>
      </w:r>
    </w:p>
    <w:p>
      <w:pPr>
        <w:pStyle w:val="ListBullet"/>
      </w:pPr>
      <w:r>
        <w:t>What two decisions do the design typologies help you make (timing and emphasis)?</w:t>
      </w:r>
    </w:p>
    <w:p>
      <w:pPr>
        <w:pStyle w:val="ListBullet"/>
      </w:pPr>
      <w:r>
        <w:t>Which pattern (numbers first, exploration first, both at once, or one nested in the other) could suit your question, and what would the second method add?</w:t>
      </w:r>
    </w:p>
    <w:p>
      <w:pPr>
        <w:pStyle w:val="ListBullet"/>
      </w:pPr>
      <w:r>
        <w:t>Does your own stance allow you to mix methods? Why or why not?</w:t>
      </w:r>
    </w:p>
    <w:p>
      <w:pPr>
        <w:spacing w:after="60"/>
      </w:pPr>
      <w:r>
        <w:rPr>
          <w:b/>
          <w:color w:val="1A3B70"/>
        </w:rPr>
        <w:t xml:space="preserve">How we will use it: </w:t>
      </w:r>
      <w:r>
        <w:t>These decisions return in the design choices you make in the session.</w:t>
      </w:r>
    </w:p>
    <w:p>
      <w:pPr>
        <w:pStyle w:val="Heading2"/>
      </w:pPr>
      <w:r>
        <w:t>Grey literature: a guide for researchers</w:t>
      </w:r>
    </w:p>
    <w:p>
      <w:pPr>
        <w:spacing w:after="60"/>
      </w:pPr>
      <w:r>
        <w:rPr>
          <w:b/>
          <w:color w:val="1A3B70"/>
        </w:rPr>
        <w:t xml:space="preserve">What it is: </w:t>
      </w:r>
      <w:r>
        <w:t>A short guide to what counts as grey literature and why it is useful.</w:t>
      </w:r>
    </w:p>
    <w:p>
      <w:pPr>
        <w:spacing w:after="60"/>
      </w:pPr>
      <w:r>
        <w:rPr>
          <w:b/>
          <w:color w:val="1A3B70"/>
        </w:rPr>
        <w:t xml:space="preserve">Where to focus: </w:t>
      </w:r>
      <w:r>
        <w:t>The list of what counts as grey literature and the reasons to use it alongside academic research.</w:t>
      </w:r>
    </w:p>
    <w:p>
      <w:pPr>
        <w:spacing w:after="60"/>
      </w:pPr>
      <w:r>
        <w:rPr>
          <w:b/>
          <w:color w:val="1A3B70"/>
        </w:rPr>
        <w:t xml:space="preserve">What you can skip: </w:t>
      </w:r>
      <w:r>
        <w:t>Nothing: it is short.</w:t>
      </w:r>
    </w:p>
    <w:p>
      <w:pPr>
        <w:spacing w:after="60"/>
      </w:pPr>
      <w:r>
        <w:rPr>
          <w:b/>
          <w:color w:val="1A3B70"/>
        </w:rPr>
        <w:t xml:space="preserve">Questions to answer: </w:t>
      </w:r>
      <w:r/>
    </w:p>
    <w:p>
      <w:pPr>
        <w:pStyle w:val="ListBullet"/>
      </w:pPr>
      <w:r>
        <w:t>What does grey literature offer that journals do not?</w:t>
      </w:r>
    </w:p>
    <w:p>
      <w:pPr>
        <w:pStyle w:val="ListBullet"/>
      </w:pPr>
      <w:r>
        <w:t>Give one grey source that could matter for your topic.</w:t>
      </w:r>
    </w:p>
    <w:p>
      <w:pPr>
        <w:pStyle w:val="ListBullet"/>
      </w:pPr>
      <w:r>
        <w:t>How would you judge its authority and bias?</w:t>
      </w:r>
    </w:p>
    <w:p>
      <w:pPr>
        <w:spacing w:after="60"/>
      </w:pPr>
      <w:r>
        <w:rPr>
          <w:b/>
          <w:color w:val="1A3B70"/>
        </w:rPr>
        <w:t xml:space="preserve">How we will use it: </w:t>
      </w:r>
      <w:r>
        <w:t>It supports the later Critical Literature Review work and your sampling of documents.</w:t>
      </w:r>
    </w:p>
    <w:p>
      <w:pPr>
        <w:pStyle w:val="Heading1"/>
      </w:pPr>
      <w:r>
        <w:t>If you have more capacity</w:t>
      </w:r>
    </w:p>
    <w:p>
      <w:pPr>
        <w:pStyle w:val="ListBullet"/>
      </w:pPr>
      <w:r>
        <w:t>Read the Stepwise Research Design Framework ahead and note which steps you already have answers for.</w:t>
      </w:r>
    </w:p>
    <w:p>
      <w:pPr>
        <w:pStyle w:val="ListBullet"/>
      </w:pPr>
      <w:r>
        <w:t>Write one sentence stating whether your study is likely to be quantitative, qualitative or mixed, and why.</w:t>
      </w:r>
    </w:p>
    <w:p>
      <w:pPr>
        <w:pStyle w:val="Heading1"/>
      </w:pPr>
      <w:r>
        <w:t>Bring with you</w:t>
      </w:r>
    </w:p>
    <w:p>
      <w:pPr>
        <w:pStyle w:val="ListBullet"/>
      </w:pPr>
      <w:r>
        <w:t>Your completed Ethics Self-Assessment</w:t>
      </w:r>
    </w:p>
    <w:p>
      <w:pPr>
        <w:pStyle w:val="ListBullet"/>
      </w:pPr>
      <w:r>
        <w:t>Your Funnel output and literature review start</w:t>
      </w:r>
    </w:p>
    <w:p>
      <w:pPr>
        <w:pStyle w:val="ListBullet"/>
      </w:pPr>
      <w:r>
        <w:t>Your answers to the focus questions</w:t>
      </w:r>
    </w:p>
    <w:p>
      <w:pPr>
        <w:pStyle w:val="Heading1"/>
      </w:pPr>
      <w:r>
        <w:t>Check yourself before you arrive</w:t>
      </w:r>
    </w:p>
    <w:p>
      <w:r>
        <w:t>You should be able to answer these without looking at your notes. If you cannot, note it and bring the question.</w:t>
      </w:r>
    </w:p>
    <w:p>
      <w:pPr>
        <w:pStyle w:val="ListBullet"/>
      </w:pPr>
      <w:r>
        <w:t>Can I explain what research design is in one sentence?</w:t>
      </w:r>
    </w:p>
    <w:p>
      <w:pPr>
        <w:pStyle w:val="ListBullet"/>
      </w:pPr>
      <w:r>
        <w:t>What is the difference between validity and reliability, with a computing example?</w:t>
      </w:r>
    </w:p>
    <w:p>
      <w:pPr>
        <w:pStyle w:val="ListBullet"/>
      </w:pPr>
      <w:r>
        <w:t>What are the four common mixed-methods patterns?</w:t>
      </w:r>
    </w:p>
    <w:p>
      <w:pPr>
        <w:pStyle w:val="ListBullet"/>
      </w:pPr>
      <w:r>
        <w:t>Which ethical issue in my own proposal am I most worried about?</w:t>
      </w:r>
    </w:p>
    <w:p>
      <w:pPr>
        <w:pStyle w:val="Heading1"/>
      </w:pPr>
      <w:r>
        <w:t>If you are short of preparation</w:t>
      </w:r>
    </w:p>
    <w:p>
      <w:r>
        <w:t>Complete your Ethics Self-Assessment and read the abstract of the mixed-methods paper. Come anyway: the session will still work, and tell the tutor what you did not get to.</w:t>
      </w:r>
    </w:p>
    <w:p>
      <w:pPr>
        <w:pStyle w:val="Heading1"/>
      </w:pPr>
      <w:r>
        <w:t>Looking ahead</w:t>
      </w:r>
    </w:p>
    <w:p>
      <w:r>
        <w:t>Between Monday and Saturday you finish your design framework, write a short design rationale, and read the sampling primer or watch the micro-lectures.</w:t>
      </w:r>
    </w:p>
    <w:p>
      <w:r>
        <w:t>The image iMAGE 1.png is a computer-generated picture with misspelt and unreliable labels, so do not use it to learn the designs. Use the paper and the session instead.</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3,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