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Lecturer Copy – COM7411 Online Ethics in Research Activity</w:t>
      </w:r>
    </w:p>
    <w:p>
      <w:pPr>
        <w:pStyle w:val="Subtitle"/>
      </w:pPr>
      <w:r>
        <w:t xml:space="preserve">Not for students</w:t>
      </w:r>
    </w:p>
    <w:bookmarkStart w:id="9" w:name="purpose"/>
    <w:p>
      <w:pPr>
        <w:pStyle w:val="Heading1"/>
      </w:pPr>
      <w:r>
        <w:t xml:space="preserve">Purpose</w:t>
      </w:r>
    </w:p>
    <w:p>
      <w:pPr>
        <w:pStyle w:val="FirstParagraph"/>
      </w:pPr>
      <w:r>
        <w:t xml:space="preserve">COM7401 On Campus receives the</w:t>
      </w:r>
      <w:r>
        <w:t xml:space="preserve"> </w:t>
      </w:r>
      <w:r>
        <w:rPr>
          <w:b/>
          <w:bCs/>
        </w:rPr>
        <w:t xml:space="preserve">Ethics Core</w:t>
      </w:r>
      <w:r>
        <w:t xml:space="preserve"> </w:t>
      </w:r>
      <w:r>
        <w:t xml:space="preserve">live in Thursday’s Zoom 2. COM7411 Online has no Zoom hour, so its students complete this</w:t>
      </w:r>
      <w:r>
        <w:t xml:space="preserve"> </w:t>
      </w:r>
      <w:r>
        <w:rPr>
          <w:b/>
          <w:bCs/>
        </w:rPr>
        <w:t xml:space="preserve">out-of-class activity</w:t>
      </w:r>
      <w:r>
        <w:t xml:space="preserve"> </w:t>
      </w:r>
      <w:r>
        <w:t xml:space="preserve">in the Week 2 bridge (Monday to Saturday), then the</w:t>
      </w:r>
      <w:r>
        <w:t xml:space="preserve"> </w:t>
      </w:r>
      <w:r>
        <w:rPr>
          <w:b/>
          <w:bCs/>
        </w:rPr>
        <w:t xml:space="preserve">Ethics Self-Assessment</w:t>
      </w:r>
      <w:r>
        <w:t xml:space="preserve"> </w:t>
      </w:r>
      <w:r>
        <w:t xml:space="preserve">before Week 3 Session 1 (Monday). Saturday’s session opens with a short debrief of the forum cases.</w:t>
      </w:r>
    </w:p>
    <w:p>
      <w:pPr>
        <w:pStyle w:val="BodyText"/>
      </w:pPr>
      <w:r>
        <w:t xml:space="preserve">Both modules complete the same Ethics Self-Assessment content (module-labelled copies in the Ethics Pack) and both meet the ethics-in-design checkpoint in Week 3 Session 1.</w:t>
      </w:r>
    </w:p>
    <w:p>
      <w:pPr>
        <w:pStyle w:val="BodyText"/>
      </w:pPr>
      <w:r>
        <w:rPr>
          <w:b/>
          <w:bCs/>
        </w:rPr>
        <w:t xml:space="preserve">Time.</w:t>
      </w:r>
      <w:r>
        <w:t xml:space="preserve"> </w:t>
      </w:r>
      <w:r>
        <w:t xml:space="preserve">About 2 hours: Parts 1–5 (about 95 min), Part 6 (30 min).</w:t>
      </w:r>
    </w:p>
    <w:bookmarkEnd w:id="9"/>
    <w:bookmarkStart w:id="10" w:name="expected-answers-part-2-case-clinic"/>
    <w:p>
      <w:pPr>
        <w:pStyle w:val="Heading1"/>
      </w:pPr>
      <w:r>
        <w:t xml:space="preserve">Expected answers (Part 2 case clinic)</w:t>
      </w:r>
    </w:p>
    <w:tbl>
      <w:tblPr>
        <w:tblStyle w:val="Table"/>
        <w:tblLayout w:type="fixed"/>
        <w:tblLook w:firstRow="1" w:lastRow="0" w:firstColumn="0" w:lastColumn="0" w:noHBand="0" w:noVBand="0" w:val="0020"/>
        <w:tblBorders>
          <w:top w:val="single" w:sz="6" w:color="8A8F98"/>
          <w:left w:val="single" w:sz="6" w:color="8A8F98"/>
          <w:bottom w:val="single" w:sz="6" w:color="8A8F98"/>
          <w:right w:val="single" w:sz="6" w:color="8A8F98"/>
          <w:insideH w:val="single" w:sz="6" w:color="8A8F98"/>
          <w:insideV w:val="single" w:sz="6" w:color="8A8F98"/>
        </w:tblBorders>
        <w:tblW w:w="9936" w:type="dxa"/>
        <w:tblLayout w:type="fixed"/>
      </w:tblPr>
      <w:tblGrid>
        <w:gridCol w:w="1987"/>
        <w:gridCol w:w="1788"/>
        <w:gridCol w:w="2185"/>
        <w:gridCol w:w="3974"/>
      </w:tblGrid>
      <w:tr>
        <w:trPr>
          <w:tblHeader w:val="on"/>
        </w:trPr>
        <w:tc>
          <w:tcPr>
            <w:tcW w:type="dxa" w:w="1987"/>
            <w:shd w:val="clear" w:color="auto" w:fill="DCE6F1"/>
          </w:tcPr>
          <w:p>
            <w:pPr>
              <w:pStyle w:val="Compact"/>
              <w:spacing w:after="40" w:before="40"/>
              <w:jc w:val="left"/>
            </w:pPr>
            <w:r>
              <w:rPr>
                <w:b/>
                <w:sz w:val="21"/>
              </w:rPr>
              <w:t xml:space="preserve">Case</w:t>
            </w:r>
          </w:p>
        </w:tc>
        <w:tc>
          <w:tcPr>
            <w:tcW w:type="dxa" w:w="1788"/>
            <w:shd w:val="clear" w:color="auto" w:fill="DCE6F1"/>
          </w:tcPr>
          <w:p>
            <w:pPr>
              <w:pStyle w:val="Compact"/>
              <w:spacing w:after="40" w:before="40"/>
              <w:jc w:val="left"/>
            </w:pPr>
            <w:r>
              <w:rPr>
                <w:b/>
                <w:sz w:val="21"/>
              </w:rPr>
              <w:t xml:space="preserve">Principle(s)</w:t>
            </w:r>
          </w:p>
        </w:tc>
        <w:tc>
          <w:tcPr>
            <w:tcW w:type="dxa" w:w="2186"/>
            <w:shd w:val="clear" w:color="auto" w:fill="DCE6F1"/>
          </w:tcPr>
          <w:p>
            <w:pPr>
              <w:pStyle w:val="Compact"/>
              <w:spacing w:after="40" w:before="40"/>
              <w:jc w:val="left"/>
            </w:pPr>
            <w:r>
              <w:rPr>
                <w:b/>
                <w:sz w:val="21"/>
              </w:rPr>
              <w:t xml:space="preserve">Misconduct or breach?</w:t>
            </w:r>
          </w:p>
        </w:tc>
        <w:tc>
          <w:tcPr>
            <w:tcW w:type="dxa" w:w="3974"/>
            <w:shd w:val="clear" w:color="auto" w:fill="DCE6F1"/>
          </w:tcPr>
          <w:p>
            <w:pPr>
              <w:pStyle w:val="Compact"/>
              <w:spacing w:after="40" w:before="40"/>
              <w:jc w:val="left"/>
            </w:pPr>
            <w:r>
              <w:rPr>
                <w:b/>
                <w:sz w:val="21"/>
              </w:rPr>
              <w:t xml:space="preserve">Good response</w:t>
            </w:r>
          </w:p>
        </w:tc>
      </w:tr>
      <w:tr>
        <w:tc>
          <w:tcPr>
            <w:tcW w:type="dxa" w:w="1987"/>
          </w:tcPr>
          <w:p>
            <w:pPr>
              <w:pStyle w:val="Compact"/>
              <w:spacing w:after="40" w:before="40"/>
              <w:jc w:val="left"/>
            </w:pPr>
            <w:r>
              <w:rPr>
                <w:sz w:val="21"/>
              </w:rPr>
              <w:t xml:space="preserve">1. Omitting off-curve data points</w:t>
            </w:r>
          </w:p>
        </w:tc>
        <w:tc>
          <w:tcPr>
            <w:tcW w:type="dxa" w:w="1788"/>
          </w:tcPr>
          <w:p>
            <w:pPr>
              <w:pStyle w:val="Compact"/>
              <w:spacing w:after="40" w:before="40"/>
              <w:jc w:val="left"/>
            </w:pPr>
            <w:r>
              <w:rPr>
                <w:sz w:val="21"/>
              </w:rPr>
              <w:t xml:space="preserve">Honesty and integrity</w:t>
            </w:r>
          </w:p>
        </w:tc>
        <w:tc>
          <w:tcPr>
            <w:tcW w:type="dxa" w:w="2186"/>
          </w:tcPr>
          <w:p>
            <w:pPr>
              <w:pStyle w:val="Compact"/>
              <w:spacing w:after="40" w:before="40"/>
              <w:jc w:val="left"/>
            </w:pPr>
            <w:r>
              <w:rPr>
                <w:b/>
                <w:bCs/>
                <w:sz w:val="21"/>
              </w:rPr>
              <w:t xml:space="preserve">Misconduct</w:t>
            </w:r>
            <w:r>
              <w:rPr>
                <w:sz w:val="21"/>
              </w:rPr>
              <w:t xml:space="preserve"> </w:t>
            </w:r>
            <w:r>
              <w:rPr>
                <w:sz w:val="21"/>
              </w:rPr>
              <w:t xml:space="preserve">(falsification by selective omission)</w:t>
            </w:r>
          </w:p>
        </w:tc>
        <w:tc>
          <w:tcPr>
            <w:tcW w:type="dxa" w:w="3974"/>
          </w:tcPr>
          <w:p>
            <w:pPr>
              <w:pStyle w:val="Compact"/>
              <w:spacing w:after="40" w:before="40"/>
              <w:jc w:val="left"/>
            </w:pPr>
            <w:r>
              <w:rPr>
                <w:sz w:val="21"/>
              </w:rPr>
              <w:t xml:space="preserve">Report all data; if excluding outliers, set and justify the criteria in advance and say so; discuss why the points are off-curve</w:t>
            </w:r>
          </w:p>
        </w:tc>
      </w:tr>
      <w:tr>
        <w:tc>
          <w:tcPr>
            <w:tcW w:type="dxa" w:w="1987"/>
          </w:tcPr>
          <w:p>
            <w:pPr>
              <w:pStyle w:val="Compact"/>
              <w:spacing w:after="40" w:before="40"/>
              <w:jc w:val="left"/>
            </w:pPr>
            <w:r>
              <w:rPr>
                <w:sz w:val="21"/>
              </w:rPr>
              <w:t xml:space="preserve">2. Zara’s idea submitted by a friend</w:t>
            </w:r>
          </w:p>
        </w:tc>
        <w:tc>
          <w:tcPr>
            <w:tcW w:type="dxa" w:w="1788"/>
          </w:tcPr>
          <w:p>
            <w:pPr>
              <w:pStyle w:val="Compact"/>
              <w:spacing w:after="40" w:before="40"/>
              <w:jc w:val="left"/>
            </w:pPr>
            <w:r>
              <w:rPr>
                <w:sz w:val="21"/>
              </w:rPr>
              <w:t xml:space="preserve">Honesty and integrity (credit, intellectual property)</w:t>
            </w:r>
          </w:p>
        </w:tc>
        <w:tc>
          <w:tcPr>
            <w:tcW w:type="dxa" w:w="2186"/>
          </w:tcPr>
          <w:p>
            <w:pPr>
              <w:pStyle w:val="Compact"/>
              <w:spacing w:after="40" w:before="40"/>
              <w:jc w:val="left"/>
            </w:pPr>
            <w:r>
              <w:rPr>
                <w:b/>
                <w:bCs/>
                <w:sz w:val="21"/>
              </w:rPr>
              <w:t xml:space="preserve">Misconduct</w:t>
            </w:r>
            <w:r>
              <w:rPr>
                <w:sz w:val="21"/>
              </w:rPr>
              <w:t xml:space="preserve"> </w:t>
            </w:r>
            <w:r>
              <w:rPr>
                <w:sz w:val="21"/>
              </w:rPr>
              <w:t xml:space="preserve">(plagiarism / misappropriation of ideas)</w:t>
            </w:r>
          </w:p>
        </w:tc>
        <w:tc>
          <w:tcPr>
            <w:tcW w:type="dxa" w:w="3974"/>
          </w:tcPr>
          <w:p>
            <w:pPr>
              <w:pStyle w:val="Compact"/>
              <w:spacing w:after="40" w:before="40"/>
              <w:jc w:val="left"/>
            </w:pPr>
            <w:r>
              <w:rPr>
                <w:sz w:val="21"/>
              </w:rPr>
              <w:t xml:space="preserve">Raise it with the supervisor; proper attribution; where the idea was shared collaboratively, discuss co-authorship</w:t>
            </w:r>
          </w:p>
        </w:tc>
      </w:tr>
      <w:tr>
        <w:tc>
          <w:tcPr>
            <w:tcW w:type="dxa" w:w="1987"/>
          </w:tcPr>
          <w:p>
            <w:pPr>
              <w:pStyle w:val="Compact"/>
              <w:spacing w:after="40" w:before="40"/>
              <w:jc w:val="left"/>
            </w:pPr>
            <w:r>
              <w:rPr>
                <w:sz w:val="21"/>
              </w:rPr>
              <w:t xml:space="preserve">3. Scan-room data collected without informing patients</w:t>
            </w:r>
          </w:p>
        </w:tc>
        <w:tc>
          <w:tcPr>
            <w:tcW w:type="dxa" w:w="1788"/>
          </w:tcPr>
          <w:p>
            <w:pPr>
              <w:pStyle w:val="Compact"/>
              <w:spacing w:after="40" w:before="40"/>
              <w:jc w:val="left"/>
            </w:pPr>
            <w:r>
              <w:rPr>
                <w:sz w:val="21"/>
              </w:rPr>
              <w:t xml:space="preserve">Autonomy and respect; non-maleficence; confidentiality</w:t>
            </w:r>
          </w:p>
        </w:tc>
        <w:tc>
          <w:tcPr>
            <w:tcW w:type="dxa" w:w="2186"/>
          </w:tcPr>
          <w:p>
            <w:pPr>
              <w:pStyle w:val="Compact"/>
              <w:spacing w:after="40" w:before="40"/>
              <w:jc w:val="left"/>
            </w:pPr>
            <w:r>
              <w:rPr>
                <w:b/>
                <w:bCs/>
                <w:sz w:val="21"/>
              </w:rPr>
              <w:t xml:space="preserve">Ethics breach</w:t>
            </w:r>
            <w:r>
              <w:rPr>
                <w:sz w:val="21"/>
              </w:rPr>
              <w:t xml:space="preserve"> </w:t>
            </w:r>
            <w:r>
              <w:rPr>
                <w:sz w:val="21"/>
              </w:rPr>
              <w:t xml:space="preserve">(no informed consent; likely no approval)</w:t>
            </w:r>
          </w:p>
        </w:tc>
        <w:tc>
          <w:tcPr>
            <w:tcW w:type="dxa" w:w="3974"/>
          </w:tcPr>
          <w:p>
            <w:pPr>
              <w:pStyle w:val="Compact"/>
              <w:spacing w:after="40" w:before="40"/>
              <w:jc w:val="left"/>
            </w:pPr>
            <w:r>
              <w:rPr>
                <w:sz w:val="21"/>
              </w:rPr>
              <w:t xml:space="preserve">Seek ethics approval and informed consent; do not collect identifiable data without it</w:t>
            </w:r>
          </w:p>
        </w:tc>
      </w:tr>
      <w:tr>
        <w:tc>
          <w:tcPr>
            <w:tcW w:type="dxa" w:w="1987"/>
          </w:tcPr>
          <w:p>
            <w:pPr>
              <w:pStyle w:val="Compact"/>
              <w:spacing w:after="40" w:before="40"/>
              <w:jc w:val="left"/>
            </w:pPr>
            <w:r>
              <w:rPr>
                <w:sz w:val="21"/>
              </w:rPr>
              <w:t xml:space="preserve">4. Bank data shared with another group</w:t>
            </w:r>
          </w:p>
        </w:tc>
        <w:tc>
          <w:tcPr>
            <w:tcW w:type="dxa" w:w="1788"/>
          </w:tcPr>
          <w:p>
            <w:pPr>
              <w:pStyle w:val="Compact"/>
              <w:spacing w:after="40" w:before="40"/>
              <w:jc w:val="left"/>
            </w:pPr>
            <w:r>
              <w:rPr>
                <w:sz w:val="21"/>
              </w:rPr>
              <w:t xml:space="preserve">Autonomy and respect; confidentiality; honesty about purpose</w:t>
            </w:r>
          </w:p>
        </w:tc>
        <w:tc>
          <w:tcPr>
            <w:tcW w:type="dxa" w:w="2186"/>
          </w:tcPr>
          <w:p>
            <w:pPr>
              <w:pStyle w:val="Compact"/>
              <w:spacing w:after="40" w:before="40"/>
              <w:jc w:val="left"/>
            </w:pPr>
            <w:r>
              <w:rPr>
                <w:b/>
                <w:bCs/>
                <w:sz w:val="21"/>
              </w:rPr>
              <w:t xml:space="preserve">Ethics and data-protection breach</w:t>
            </w:r>
            <w:r>
              <w:rPr>
                <w:sz w:val="21"/>
              </w:rPr>
              <w:t xml:space="preserve"> </w:t>
            </w:r>
            <w:r>
              <w:rPr>
                <w:sz w:val="21"/>
              </w:rPr>
              <w:t xml:space="preserve">(use beyond what was consented; GDPR purpose limitation)</w:t>
            </w:r>
          </w:p>
        </w:tc>
        <w:tc>
          <w:tcPr>
            <w:tcW w:type="dxa" w:w="3974"/>
          </w:tcPr>
          <w:p>
            <w:pPr>
              <w:pStyle w:val="Compact"/>
              <w:spacing w:after="40" w:before="40"/>
              <w:jc w:val="left"/>
            </w:pPr>
            <w:r>
              <w:rPr>
                <w:sz w:val="21"/>
              </w:rPr>
              <w:t xml:space="preserve">Anonymise; state any sharing in the consent information; obtain consent for secondary use or do not share</w:t>
            </w:r>
          </w:p>
        </w:tc>
      </w:tr>
      <w:tr>
        <w:tc>
          <w:tcPr>
            <w:tcW w:type="dxa" w:w="1987"/>
          </w:tcPr>
          <w:p>
            <w:pPr>
              <w:pStyle w:val="Compact"/>
              <w:spacing w:after="40" w:before="40"/>
              <w:jc w:val="left"/>
            </w:pPr>
            <w:r>
              <w:rPr>
                <w:sz w:val="21"/>
              </w:rPr>
              <w:t xml:space="preserve">5. Charity website scanned without permission</w:t>
            </w:r>
            <w:r>
              <w:rPr>
                <w:sz w:val="21"/>
              </w:rPr>
              <w:t xml:space="preserve"> </w:t>
            </w:r>
            <w:r>
              <w:rPr>
                <w:i/>
                <w:iCs/>
                <w:sz w:val="21"/>
              </w:rPr>
              <w:t xml:space="preserve">(invented)</w:t>
            </w:r>
          </w:p>
        </w:tc>
        <w:tc>
          <w:tcPr>
            <w:tcW w:type="dxa" w:w="1788"/>
          </w:tcPr>
          <w:p>
            <w:pPr>
              <w:pStyle w:val="Compact"/>
              <w:spacing w:after="40" w:before="40"/>
              <w:jc w:val="left"/>
            </w:pPr>
            <w:r>
              <w:rPr>
                <w:sz w:val="21"/>
              </w:rPr>
              <w:t xml:space="preserve">Autonomy and respect; non-maleficence; legality</w:t>
            </w:r>
          </w:p>
        </w:tc>
        <w:tc>
          <w:tcPr>
            <w:tcW w:type="dxa" w:w="2186"/>
          </w:tcPr>
          <w:p>
            <w:pPr>
              <w:pStyle w:val="Compact"/>
              <w:spacing w:after="40" w:before="40"/>
              <w:jc w:val="left"/>
            </w:pPr>
            <w:r>
              <w:rPr>
                <w:b/>
                <w:bCs/>
                <w:sz w:val="21"/>
              </w:rPr>
              <w:t xml:space="preserve">Ethics breach</w:t>
            </w:r>
            <w:r>
              <w:rPr>
                <w:sz w:val="21"/>
              </w:rPr>
              <w:t xml:space="preserve"> </w:t>
            </w:r>
            <w:r>
              <w:rPr>
                <w:sz w:val="21"/>
              </w:rPr>
              <w:t xml:space="preserve">with possible legal consequences (unauthorised access)</w:t>
            </w:r>
          </w:p>
        </w:tc>
        <w:tc>
          <w:tcPr>
            <w:tcW w:type="dxa" w:w="3974"/>
          </w:tcPr>
          <w:p>
            <w:pPr>
              <w:pStyle w:val="Compact"/>
              <w:spacing w:after="40" w:before="40"/>
              <w:jc w:val="left"/>
            </w:pPr>
            <w:r>
              <w:rPr>
                <w:sz w:val="21"/>
              </w:rPr>
              <w:t xml:space="preserve">Obtain written authorisation and agreed scope first; follow responsible disclosure; seek ethics approval before writing it up</w:t>
            </w:r>
          </w:p>
        </w:tc>
      </w:tr>
      <w:tr>
        <w:tc>
          <w:tcPr>
            <w:tcW w:type="dxa" w:w="1987"/>
          </w:tcPr>
          <w:p>
            <w:pPr>
              <w:pStyle w:val="Compact"/>
              <w:spacing w:after="40" w:before="40"/>
              <w:jc w:val="left"/>
            </w:pPr>
            <w:r>
              <w:rPr>
                <w:sz w:val="21"/>
              </w:rPr>
              <w:t xml:space="preserve">6. Teenagers’ public posts quoted with usernames</w:t>
            </w:r>
            <w:r>
              <w:rPr>
                <w:sz w:val="21"/>
              </w:rPr>
              <w:t xml:space="preserve"> </w:t>
            </w:r>
            <w:r>
              <w:rPr>
                <w:i/>
                <w:iCs/>
                <w:sz w:val="21"/>
              </w:rPr>
              <w:t xml:space="preserve">(invented)</w:t>
            </w:r>
          </w:p>
        </w:tc>
        <w:tc>
          <w:tcPr>
            <w:tcW w:type="dxa" w:w="1788"/>
          </w:tcPr>
          <w:p>
            <w:pPr>
              <w:pStyle w:val="Compact"/>
              <w:spacing w:after="40" w:before="40"/>
              <w:jc w:val="left"/>
            </w:pPr>
            <w:r>
              <w:rPr>
                <w:sz w:val="21"/>
              </w:rPr>
              <w:t xml:space="preserve">Non-maleficence; autonomy and respect; confidentiality</w:t>
            </w:r>
          </w:p>
        </w:tc>
        <w:tc>
          <w:tcPr>
            <w:tcW w:type="dxa" w:w="2186"/>
          </w:tcPr>
          <w:p>
            <w:pPr>
              <w:pStyle w:val="Compact"/>
              <w:spacing w:after="40" w:before="40"/>
              <w:jc w:val="left"/>
            </w:pPr>
            <w:r>
              <w:rPr>
                <w:b/>
                <w:bCs/>
                <w:sz w:val="21"/>
              </w:rPr>
              <w:t xml:space="preserve">Ethics breach</w:t>
            </w:r>
            <w:r>
              <w:rPr>
                <w:sz w:val="21"/>
              </w:rPr>
              <w:t xml:space="preserve"> </w:t>
            </w:r>
            <w:r>
              <w:rPr>
                <w:sz w:val="21"/>
              </w:rPr>
              <w:t xml:space="preserve">(re-identification risk, vulnerable group)</w:t>
            </w:r>
          </w:p>
        </w:tc>
        <w:tc>
          <w:tcPr>
            <w:tcW w:type="dxa" w:w="3974"/>
          </w:tcPr>
          <w:p>
            <w:pPr>
              <w:pStyle w:val="Compact"/>
              <w:spacing w:after="40" w:before="40"/>
              <w:jc w:val="left"/>
            </w:pPr>
            <w:r>
              <w:rPr>
                <w:sz w:val="21"/>
              </w:rPr>
              <w:t xml:space="preserve">Treat as human-subject data even if public; remove or paraphrase identifying content; seek approval; consider the risk to young people</w:t>
            </w:r>
          </w:p>
        </w:tc>
      </w:tr>
    </w:tbl>
    <w:p>
      <w:pPr>
        <w:pStyle w:val="BodyText"/>
      </w:pPr>
      <w:r>
        <w:t xml:space="preserve">Cases 1–4 are adapted from the module’s ethics slide deck (</w:t>
      </w:r>
      <w:r>
        <w:rPr>
          <w:rStyle w:val="VerbatimChar"/>
        </w:rPr>
        <w:t xml:space="preserve">Zoom Sessions/Zoom Day3/Week 9 ethics.pptx</w:t>
      </w:r>
      <w:r>
        <w:t xml:space="preserve">, Ethical Groups 1, 3, 4, 5). The deck’s Group 2 (the same paper sent to two journals: duplicate submission, an integrity breach) is not included in the table and can be raised in the debrief.</w:t>
      </w:r>
    </w:p>
    <w:bookmarkEnd w:id="10"/>
    <w:bookmarkStart w:id="11" w:name="part-3-the-readings"/>
    <w:p>
      <w:pPr>
        <w:pStyle w:val="Heading1"/>
      </w:pPr>
      <w:r>
        <w:t xml:space="preserve">Part 3 – the readings</w:t>
      </w:r>
    </w:p>
    <w:p>
      <w:pPr>
        <w:pStyle w:val="Compact"/>
        <w:numPr>
          <w:ilvl w:val="0"/>
          <w:numId w:val="1001"/>
        </w:numPr>
      </w:pPr>
      <w:r>
        <w:rPr>
          <w:b/>
          <w:bCs/>
        </w:rPr>
        <w:t xml:space="preserve">Hecht (Nature, 2018):</w:t>
      </w:r>
      <w:r>
        <w:t xml:space="preserve"> </w:t>
      </w:r>
      <w:r>
        <w:t xml:space="preserve">peer reviewers should require authors to disclose possible negative societal consequences. Good answers name specific harms and specific affected groups for the student’s own topic, and connect them to the values on their Stance Card.</w:t>
      </w:r>
    </w:p>
    <w:p>
      <w:pPr>
        <w:pStyle w:val="Compact"/>
        <w:numPr>
          <w:ilvl w:val="0"/>
          <w:numId w:val="1001"/>
        </w:numPr>
      </w:pPr>
      <w:r>
        <w:rPr>
          <w:b/>
          <w:bCs/>
        </w:rPr>
        <w:t xml:space="preserve">Wright:</w:t>
      </w:r>
      <w:r>
        <w:t xml:space="preserve"> </w:t>
      </w:r>
      <w:r>
        <w:t xml:space="preserve">survey of ethical dilemmas in computing research. Accept either reading; the learning is in the link to the student’s own topic.</w:t>
      </w:r>
    </w:p>
    <w:bookmarkEnd w:id="11"/>
    <w:bookmarkStart w:id="12" w:name="part-4-governance"/>
    <w:p>
      <w:pPr>
        <w:pStyle w:val="Heading1"/>
      </w:pPr>
      <w:r>
        <w:t xml:space="preserve">Part 4 – governance</w:t>
      </w:r>
    </w:p>
    <w:p>
      <w:pPr>
        <w:pStyle w:val="FirstParagraph"/>
      </w:pPr>
      <w:r>
        <w:t xml:space="preserve">Because processes differ, students must find the</w:t>
      </w:r>
      <w:r>
        <w:t xml:space="preserve"> </w:t>
      </w:r>
      <w:r>
        <w:rPr>
          <w:b/>
          <w:bCs/>
        </w:rPr>
        <w:t xml:space="preserve">university’s current guidance</w:t>
      </w:r>
      <w:r>
        <w:t xml:space="preserve">. Do not accept a description based on the committee structure in the Zoom ethics deck. Provide the link to the current guidance on the COM7411 Moodle site before the activity opens.</w:t>
      </w:r>
    </w:p>
    <w:bookmarkEnd w:id="12"/>
    <w:bookmarkStart w:id="13" w:name="Xdc67d876edfcf96d1c8c3fe4d05b80d735c555b"/>
    <w:p>
      <w:pPr>
        <w:pStyle w:val="Heading1"/>
      </w:pPr>
      <w:r>
        <w:t xml:space="preserve">Saturday debrief (about 10–15 minutes, Week 2 Session 2)</w:t>
      </w:r>
    </w:p>
    <w:p>
      <w:pPr>
        <w:pStyle w:val="Compact"/>
        <w:numPr>
          <w:ilvl w:val="0"/>
          <w:numId w:val="1002"/>
        </w:numPr>
      </w:pPr>
      <w:r>
        <w:t xml:space="preserve">Read the two or three cases that attracted most disagreement in the forum.</w:t>
      </w:r>
    </w:p>
    <w:p>
      <w:pPr>
        <w:pStyle w:val="Compact"/>
        <w:numPr>
          <w:ilvl w:val="0"/>
          <w:numId w:val="1002"/>
        </w:numPr>
      </w:pPr>
      <w:r>
        <w:t xml:space="preserve">Use the principle-by-principle question in Part 1 to resolve them (</w:t>
      </w:r>
      <w:r>
        <w:t xml:space="preserve">“Who could be harmed? Do they know?”</w:t>
      </w:r>
      <w:r>
        <w:t xml:space="preserve">).</w:t>
      </w:r>
    </w:p>
    <w:p>
      <w:pPr>
        <w:pStyle w:val="Compact"/>
        <w:numPr>
          <w:ilvl w:val="0"/>
          <w:numId w:val="1002"/>
        </w:numPr>
      </w:pPr>
      <w:r>
        <w:t xml:space="preserve">Pick one student answer to Part 3 and ask the group what the next question would be.</w:t>
      </w:r>
    </w:p>
    <w:p>
      <w:pPr>
        <w:pStyle w:val="Compact"/>
        <w:numPr>
          <w:ilvl w:val="0"/>
          <w:numId w:val="1002"/>
        </w:numPr>
      </w:pPr>
      <w:r>
        <w:t xml:space="preserve">Remind everyone: the Self-Assessment is due before Monday.</w:t>
      </w:r>
    </w:p>
    <w:bookmarkEnd w:id="13"/>
    <w:bookmarkStart w:id="14" w:name="Xebf910bd8485ceb507a4b5c1ff83cd5803b7637"/>
    <w:p>
      <w:pPr>
        <w:pStyle w:val="Heading1"/>
      </w:pPr>
      <w:r>
        <w:t xml:space="preserve">Set-up checklist for the COM7411 Moodle site</w:t>
      </w:r>
    </w:p>
    <w:p>
      <w:pPr>
        <w:pStyle w:val="Compact"/>
        <w:numPr>
          <w:ilvl w:val="0"/>
          <w:numId w:val="1003"/>
        </w:numPr>
      </w:pPr>
      <w:r>
        <w:t xml:space="preserve">Upload the activity and the Self-Assessment worksheet; attach the Ethics Pack readings.</w:t>
      </w:r>
    </w:p>
    <w:p>
      <w:pPr>
        <w:pStyle w:val="Compact"/>
        <w:numPr>
          <w:ilvl w:val="0"/>
          <w:numId w:val="1003"/>
        </w:numPr>
      </w:pPr>
      <w:r>
        <w:t xml:space="preserve">Create two forums:</w:t>
      </w:r>
      <w:r>
        <w:t xml:space="preserve"> </w:t>
      </w:r>
      <w:r>
        <w:t xml:space="preserve">“Ethics cases”</w:t>
      </w:r>
      <w:r>
        <w:t xml:space="preserve"> </w:t>
      </w:r>
      <w:r>
        <w:t xml:space="preserve">and (if wanted) a</w:t>
      </w:r>
      <w:r>
        <w:t xml:space="preserve"> </w:t>
      </w:r>
      <w:r>
        <w:t xml:space="preserve">“Questions”</w:t>
      </w:r>
      <w:r>
        <w:t xml:space="preserve"> </w:t>
      </w:r>
      <w:r>
        <w:t xml:space="preserve">thread.</w:t>
      </w:r>
    </w:p>
    <w:p>
      <w:pPr>
        <w:pStyle w:val="Compact"/>
        <w:numPr>
          <w:ilvl w:val="0"/>
          <w:numId w:val="1003"/>
        </w:numPr>
      </w:pPr>
      <w:r>
        <w:t xml:space="preserve">Add the link to the university’s current research ethics guidance.</w:t>
      </w:r>
    </w:p>
    <w:p>
      <w:pPr>
        <w:pStyle w:val="Compact"/>
        <w:numPr>
          <w:ilvl w:val="0"/>
          <w:numId w:val="1003"/>
        </w:numPr>
      </w:pPr>
      <w:r>
        <w:t xml:space="preserve">Decide how Self-Assessments are collected (bring to Monday, or submit to a Moodle assignment) and tell students.</w:t>
      </w:r>
    </w:p>
    <w:bookmarkEnd w:id="14"/>
    <w:sectPr>
      <w:headerReference w:type="default" r:id="rId9"/>
      <w:footerReference w:type="default" r:id="rId10"/>
      <w:footnotePr>
        <w:numRestart w:val="eachSect"/>
      </w:footnote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color w:val="1F3A5F"/>
        <w:sz w:val="18"/>
      </w:rPr>
      <w:t>LECTURER COPY – COM7411 Online – not for students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F3A5F"/>
        <w:sz w:val="18"/>
      </w:rPr>
      <w:t>LECTURER COPY – COM7411 Online – not for students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qFormat/>
    <w:pPr>
      <w:spacing w:after="180" w:before="180"/>
    </w:pPr>
    <w:rPr>
      <w:rFonts w:ascii="Calibri" w:hAnsi="Calibri" w:eastAsia="Calibri"/>
      <w:sz w:val="22"/>
    </w:rPr>
  </w:style>
  <w:style w:customStyle="1" w:styleId="FirstParagraph" w:type="paragraph">
    <w:name w:val="First Paragraph"/>
    <w:basedOn w:val="BodyText"/>
    <w:next w:val="BodyText"/>
    <w:qFormat/>
    <w:rPr>
      <w:rFonts w:ascii="Calibri" w:hAnsi="Calibri" w:eastAsia="Calibri"/>
      <w:sz w:val="22"/>
    </w:rPr>
  </w:style>
  <w:style w:customStyle="1" w:styleId="Compact" w:type="paragraph">
    <w:name w:val="Compact"/>
    <w:basedOn w:val="BodyText"/>
    <w:qFormat/>
    <w:pPr>
      <w:spacing w:after="36" w:before="36"/>
    </w:pPr>
    <w:rPr>
      <w:rFonts w:ascii="Calibri" w:hAnsi="Calibri" w:eastAsia="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libri" w:hAnsi="Calibri"/>
      <w:color w:val="1F3A5F"/>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Copy – COM7411 Online Ethics in Research Activity</dc:title>
  <dc:creator/>
  <cp:keywords/>
  <dcterms:created xsi:type="dcterms:W3CDTF">2026-10-01T14:49:39Z</dcterms:created>
  <dcterms:modified xsi:type="dcterms:W3CDTF">2026-10-01T14:49:39Z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Not for students</vt:lpwstr>
  </property>
</Properties>
</file>