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Lecturer Copy – Critical Appraisal Worksheet (Week 2 Session 2)</w:t>
      </w:r>
    </w:p>
    <w:p>
      <w:pPr>
        <w:pStyle w:val="Subtitle"/>
      </w:pPr>
      <w:r>
        <w:t xml:space="preserve">Both modules (COM7401 On Campus and COM7411 Online) – not for students</w:t>
      </w:r>
    </w:p>
    <w:bookmarkStart w:id="9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is the main in-class task for Week 2 Session 2. It replaces the earlier plan to use</w:t>
      </w:r>
      <w:r>
        <w:t xml:space="preserve"> </w:t>
      </w:r>
      <w:r>
        <w:rPr>
          <w:rStyle w:val="VerbatimChar"/>
        </w:rPr>
        <w:t xml:space="preserve">Comparison_of_Literature_Reviews.docx</w:t>
      </w:r>
      <w:r>
        <w:t xml:space="preserve">, which is a reference table of review types rather than a critique worksheet. Students appraise</w:t>
      </w:r>
      <w:r>
        <w:t xml:space="preserve"> </w:t>
      </w:r>
      <w:r>
        <w:rPr>
          <w:b/>
          <w:bCs/>
        </w:rPr>
        <w:t xml:space="preserve">one source</w:t>
      </w:r>
      <w:r>
        <w:t xml:space="preserve"> </w:t>
      </w:r>
      <w:r>
        <w:t xml:space="preserve">(their candidate from the Literature Search Task) through the</w:t>
      </w:r>
      <w:r>
        <w:t xml:space="preserve"> </w:t>
      </w:r>
      <w:r>
        <w:rPr>
          <w:b/>
          <w:bCs/>
        </w:rPr>
        <w:t xml:space="preserve">five lenses</w:t>
      </w:r>
      <w:r>
        <w:t xml:space="preserve"> </w:t>
      </w:r>
      <w:r>
        <w:t xml:space="preserve">and through their</w:t>
      </w:r>
      <w:r>
        <w:t xml:space="preserve"> </w:t>
      </w:r>
      <w:r>
        <w:rPr>
          <w:b/>
          <w:bCs/>
        </w:rPr>
        <w:t xml:space="preserve">Stance Card</w:t>
      </w:r>
      <w:r>
        <w:t xml:space="preserve">, then write a critical paragraph and position themselves against an alternative. It rehearses the Critical Literature Review criterion (25%): evaluation and comparison rather than description, and a justified paradigm position set against an alternative.</w:t>
      </w:r>
    </w:p>
    <w:p>
      <w:pPr>
        <w:pStyle w:val="BodyText"/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Critical Evaluation Worksheet.docx</w:t>
      </w:r>
      <w:r>
        <w:t xml:space="preserve"> </w:t>
      </w:r>
      <w:r>
        <w:t xml:space="preserve">(two articles, annotated bibliography, about 2½ hours) stays in prep as an</w:t>
      </w:r>
      <w:r>
        <w:t xml:space="preserve"> </w:t>
      </w:r>
      <w:r>
        <w:rPr>
          <w:b/>
          <w:bCs/>
        </w:rPr>
        <w:t xml:space="preserve">optional extension</w:t>
      </w:r>
      <w:r>
        <w:t xml:space="preserve"> </w:t>
      </w:r>
      <w:r>
        <w:t xml:space="preserve">for students who want to go further.</w:t>
      </w:r>
    </w:p>
    <w:bookmarkEnd w:id="9"/>
    <w:bookmarkStart w:id="10" w:name="timing-about-60-minutes-plus-peer-swap"/>
    <w:p>
      <w:pPr>
        <w:pStyle w:val="Heading1"/>
      </w:pPr>
      <w:r>
        <w:t xml:space="preserve">Timing (about 60 minutes plus peer swap)</w:t>
      </w:r>
    </w:p>
    <w:p>
      <w:pPr>
        <w:pStyle w:val="FirstParagraph"/>
      </w:pPr>
      <w:r>
        <w:t xml:space="preserve">Parts 1–2: 15 min · Part 3: 20 min · Part 4: 15 min · Part 5: 5 min · Part 6 peer swap and feedback: 10–15 min.</w:t>
      </w:r>
    </w:p>
    <w:bookmarkEnd w:id="10"/>
    <w:bookmarkStart w:id="11" w:name="what-a-strong-response-looks-like"/>
    <w:p>
      <w:pPr>
        <w:pStyle w:val="Heading1"/>
      </w:pPr>
      <w:r>
        <w:t xml:space="preserve">What a strong response looks like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2:</w:t>
      </w:r>
      <w:r>
        <w:t xml:space="preserve"> </w:t>
      </w:r>
      <w:r>
        <w:t xml:space="preserve">classification justified by two quotes with page numbers; notes whether the paper states its stance; a reasoned view on alignment of question, method and claims.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3:</w:t>
      </w:r>
      <w:r>
        <w:t xml:space="preserve"> </w:t>
      </w:r>
      <w:r>
        <w:t xml:space="preserve">evidence from the paper, not impressions; judgements that name a specific strength or weakness; rigour judged by the standards of the paper’s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stance first (validity and replicability for positivist work; credibility, reflexivity and transferability for interpretivist work; fitness for purpose and justified choices for pragmatist work).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4:</w:t>
      </w:r>
      <w:r>
        <w:t xml:space="preserve"> </w:t>
      </w:r>
      <w:r>
        <w:t xml:space="preserve">summarise → evaluate → connect; at least one genuinely evaluative claim backed by evidence; a link to the student’s own study.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5:</w:t>
      </w:r>
      <w:r>
        <w:t xml:space="preserve"> </w:t>
      </w:r>
      <w:r>
        <w:t xml:space="preserve">a stance named and a believable criticism from that stance; the student’s own position stated with a reason.</w:t>
      </w:r>
    </w:p>
    <w:bookmarkEnd w:id="11"/>
    <w:bookmarkStart w:id="12" w:name="common-errors-prompts-for-feedback"/>
    <w:p>
      <w:pPr>
        <w:pStyle w:val="Heading1"/>
      </w:pPr>
      <w:r>
        <w:t xml:space="preserve">Common errors – prompts for feedback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3974"/>
        <w:gridCol w:w="5961"/>
      </w:tblGrid>
      <w:tr>
        <w:trPr>
          <w:tblHeader w:val="on"/>
        </w:trPr>
        <w:tc>
          <w:tcPr>
            <w:tcW w:type="dxa" w:w="3974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Error</w:t>
            </w:r>
          </w:p>
        </w:tc>
        <w:tc>
          <w:tcPr>
            <w:tcW w:type="dxa" w:w="5962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Prompt</w:t>
            </w:r>
          </w:p>
        </w:tc>
      </w:tr>
      <w:tr>
        <w:tc>
          <w:tcPr>
            <w:tcW w:type="dxa" w:w="397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Summarising instead of evaluating</w:t>
            </w:r>
          </w:p>
        </w:tc>
        <w:tc>
          <w:tcPr>
            <w:tcW w:type="dxa" w:w="5962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“Which sentence here is</w:t>
            </w:r>
            <w:r>
              <w:rPr>
                <w:sz w:val="21"/>
              </w:rPr>
              <w:t xml:space="preserve"> </w:t>
            </w:r>
            <w:r>
              <w:rPr>
                <w:i/>
                <w:iCs/>
                <w:sz w:val="21"/>
              </w:rPr>
              <w:t xml:space="preserve">your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judgement?”</w:t>
            </w:r>
          </w:p>
        </w:tc>
      </w:tr>
      <w:tr>
        <w:tc>
          <w:tcPr>
            <w:tcW w:type="dxa" w:w="397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Judging a study by the wrong standard (for example criticising an interpretive study for a small sample)</w:t>
            </w:r>
          </w:p>
        </w:tc>
        <w:tc>
          <w:tcPr>
            <w:tcW w:type="dxa" w:w="5962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“What standard of quality would the authors expect? Does the study meet it?”</w:t>
            </w:r>
          </w:p>
        </w:tc>
      </w:tr>
      <w:tr>
        <w:tc>
          <w:tcPr>
            <w:tcW w:type="dxa" w:w="397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Stance mislabelled by method (</w:t>
            </w:r>
            <w:r>
              <w:rPr>
                <w:sz w:val="21"/>
              </w:rPr>
              <w:t xml:space="preserve">“survey, so positivist”</w:t>
            </w:r>
            <w:r>
              <w:rPr>
                <w:sz w:val="21"/>
              </w:rPr>
              <w:t xml:space="preserve">)</w:t>
            </w:r>
          </w:p>
        </w:tc>
        <w:tc>
          <w:tcPr>
            <w:tcW w:type="dxa" w:w="5962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“What do the authors claim the data shows?”</w:t>
            </w:r>
          </w:p>
        </w:tc>
      </w:tr>
      <w:tr>
        <w:tc>
          <w:tcPr>
            <w:tcW w:type="dxa" w:w="397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Vague judgement (</w:t>
            </w:r>
            <w:r>
              <w:rPr>
                <w:sz w:val="21"/>
              </w:rPr>
              <w:t xml:space="preserve">“good methods”</w:t>
            </w:r>
            <w:r>
              <w:rPr>
                <w:sz w:val="21"/>
              </w:rPr>
              <w:t xml:space="preserve">)</w:t>
            </w:r>
          </w:p>
        </w:tc>
        <w:tc>
          <w:tcPr>
            <w:tcW w:type="dxa" w:w="5962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“Which method, and what evidence on which page?”</w:t>
            </w:r>
          </w:p>
        </w:tc>
      </w:tr>
      <w:tr>
        <w:tc>
          <w:tcPr>
            <w:tcW w:type="dxa" w:w="397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Ignoring limitations the authors themselves state</w:t>
            </w:r>
          </w:p>
        </w:tc>
        <w:tc>
          <w:tcPr>
            <w:tcW w:type="dxa" w:w="5962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“Where do the authors say what they cannot claim?”</w:t>
            </w:r>
          </w:p>
        </w:tc>
      </w:tr>
      <w:tr>
        <w:tc>
          <w:tcPr>
            <w:tcW w:type="dxa" w:w="3974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No link to the student’s own study</w:t>
            </w:r>
          </w:p>
        </w:tc>
        <w:tc>
          <w:tcPr>
            <w:tcW w:type="dxa" w:w="5962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“So what does this mean for your question?”</w:t>
            </w:r>
          </w:p>
        </w:tc>
      </w:tr>
    </w:tbl>
    <w:bookmarkEnd w:id="12"/>
    <w:bookmarkStart w:id="13" w:name="facilitation"/>
    <w:p>
      <w:pPr>
        <w:pStyle w:val="Heading1"/>
      </w:pPr>
      <w:r>
        <w:t xml:space="preserve">Facilitation</w:t>
      </w:r>
    </w:p>
    <w:p>
      <w:pPr>
        <w:pStyle w:val="FirstParagraph"/>
      </w:pPr>
      <w:r>
        <w:rPr>
          <w:b/>
          <w:bCs/>
        </w:rPr>
        <w:t xml:space="preserve">COM7401 On Campus:</w:t>
      </w:r>
      <w:r>
        <w:t xml:space="preserve"> </w:t>
      </w:r>
      <w:r>
        <w:t xml:space="preserve">circulate during Part 3 and Part 4; spend your time on students whose paragraphs summarise only. Keep the peer swap to two short comments each.</w:t>
      </w:r>
    </w:p>
    <w:p>
      <w:pPr>
        <w:pStyle w:val="BodyText"/>
      </w:pPr>
      <w:r>
        <w:rPr>
          <w:b/>
          <w:bCs/>
        </w:rPr>
        <w:t xml:space="preserve">COM7411 Online:</w:t>
      </w:r>
      <w:r>
        <w:t xml:space="preserve"> </w:t>
      </w:r>
      <w:r>
        <w:t xml:space="preserve">students work in a shared document; visit each one during Part 3 or Part 4 and give two or three minutes of individual feedback. Use breakout pairs for the peer swap. Students may post their paragraph to the forum afterwards.</w:t>
      </w:r>
    </w:p>
    <w:p>
      <w:pPr>
        <w:pStyle w:val="BodyText"/>
      </w:pPr>
      <w:r>
        <w:rPr>
          <w:b/>
          <w:bCs/>
        </w:rPr>
        <w:t xml:space="preserve">No candidate source?</w:t>
      </w:r>
      <w:r>
        <w:t xml:space="preserve"> </w:t>
      </w:r>
      <w:r>
        <w:t xml:space="preserve">Have two or three backup papers ready from the Week 2 prep folder.</w:t>
      </w:r>
    </w:p>
    <w:bookmarkEnd w:id="13"/>
    <w:bookmarkStart w:id="14" w:name="note-on-review-types-and-stance"/>
    <w:p>
      <w:pPr>
        <w:pStyle w:val="Heading1"/>
      </w:pPr>
      <w:r>
        <w:t xml:space="preserve">Note on review types and stance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Comparison of Literature Reviews</w:t>
      </w:r>
      <w:r>
        <w:t xml:space="preserve"> </w:t>
      </w:r>
      <w:r>
        <w:t xml:space="preserve">table now says that review types are</w:t>
      </w:r>
      <w:r>
        <w:t xml:space="preserve"> </w:t>
      </w:r>
      <w:r>
        <w:rPr>
          <w:i/>
          <w:iCs/>
        </w:rPr>
        <w:t xml:space="preserve">often associated with</w:t>
      </w:r>
      <w:r>
        <w:t xml:space="preserve"> </w:t>
      </w:r>
      <w:r>
        <w:t xml:space="preserve">stances but are not fixed to them (for example a systematic review can synthesise qualitative evidence). This matches the Stance Task message that a method is not a stance. The table also lists a</w:t>
      </w:r>
      <w:r>
        <w:t xml:space="preserve"> </w:t>
      </w:r>
      <w:r>
        <w:t xml:space="preserve">“Pragmatic Review”</w:t>
      </w:r>
      <w:r>
        <w:t xml:space="preserve">, which is not a standard term in the literature;</w:t>
      </w:r>
      <w:r>
        <w:t xml:space="preserve"> </w:t>
      </w:r>
      <w:r>
        <w:t xml:space="preserve">“integrative review”</w:t>
      </w:r>
      <w:r>
        <w:t xml:space="preserve"> </w:t>
      </w:r>
      <w:r>
        <w:t xml:space="preserve">is the more usual name for a review combining diverse kinds of evidence. The name is kept for consistency with the other Week 2 documents, pending a staff decision (see</w:t>
      </w:r>
      <w:r>
        <w:t xml:space="preserve"> </w:t>
      </w:r>
      <w:r>
        <w:rPr>
          <w:i/>
          <w:iCs/>
        </w:rPr>
        <w:t xml:space="preserve">Things to Check</w:t>
      </w:r>
      <w:r>
        <w:t xml:space="preserve">).</w:t>
      </w:r>
    </w:p>
    <w:bookmarkEnd w:id="14"/>
    <w:sectPr>
      <w:headerReference w:type="default" r:id="rId9"/>
      <w:footerReference w:type="default" r:id="rId10"/>
      <w:footnotePr>
        <w:numRestart w:val="eachSect"/>
      </w:footnotePr>
      <w:pgMar w:left="1152" w:right="1152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/>
        <w:color w:val="1F3A5F"/>
        <w:sz w:val="18"/>
      </w:rPr>
      <w:t>LECTURER COPY – COM7401 + COM7411 – not for students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3A5F"/>
        <w:sz w:val="18"/>
      </w:rPr>
      <w:t>LECTURER COPY – COM7401 + COM7411 – not for students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 w:eastAsia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/>
      <w:color w:val="1F3A5F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Calibri" w:hAnsi="Calibri"/>
      <w:color w:val="1F3A5F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/>
      <w:color w:val="1F3A5F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Lecturer Copy – Critical Appraisal Worksheet (Week 2 Session 2)</dc:title>
  <dc:creator/>
  <cp:keywords/>
  <dcterms:created xsi:type="dcterms:W3CDTF">2026-10-01T15:01:03Z</dcterms:created>
  <dcterms:modified xsi:type="dcterms:W3CDTF">2026-10-01T15:01:03Z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Both modules (COM7401 On Campus and COM7411 Online) – not for students</vt:lpwstr>
  </property>
</Properties>
</file>