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Lecturer Copy – Philosophical Stance Task (COM7401 On Campus and COM7411 Online)</w:t>
      </w:r>
    </w:p>
    <w:p>
      <w:pPr>
        <w:pStyle w:val="Subtitle"/>
      </w:pPr>
      <w:r>
        <w:t xml:space="preserve">Not for students</w:t>
      </w:r>
    </w:p>
    <w:bookmarkStart w:id="9" w:name="purpose-and-design"/>
    <w:p>
      <w:pPr>
        <w:pStyle w:val="Heading1"/>
      </w:pPr>
      <w:r>
        <w:t xml:space="preserve">Purpose and design</w:t>
      </w:r>
    </w:p>
    <w:p>
      <w:pPr>
        <w:pStyle w:val="FirstParagraph"/>
      </w:pPr>
      <w:r>
        <w:rPr>
          <w:b/>
          <w:bCs/>
        </w:rPr>
        <w:t xml:space="preserve">Two versions, one for each module.</w:t>
      </w:r>
      <w:r>
        <w:t xml:space="preserve"> </w:t>
      </w:r>
      <w:r>
        <w:t xml:space="preserve">Each module has its own Moodle site; students only see their own version.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1589"/>
        <w:gridCol w:w="4173"/>
        <w:gridCol w:w="4173"/>
      </w:tblGrid>
      <w:tr>
        <w:trPr>
          <w:tblHeader w:val="on"/>
        </w:trPr>
        <w:tc>
          <w:tcPr>
            <w:tcW w:type="dxa" w:w="1590"/>
            <w:shd w:val="clear" w:color="auto" w:fill="DCE6F1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417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COM7411 Online</w:t>
            </w:r>
          </w:p>
        </w:tc>
        <w:tc>
          <w:tcPr>
            <w:tcW w:type="dxa" w:w="417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COM7401 On Campus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Student file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21"/>
              </w:rPr>
              <w:t xml:space="preserve">Week 1_PM/Pre-Session Prep/COM7411 ONLINE - Philosophical Stance Task.docx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21"/>
              </w:rPr>
              <w:t xml:space="preserve">Zoom Sessions/Zoom Day1/COM7401 CAMPUS - Philosophical Stance Task (after Week 1, completed in Zoom 1).docx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When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Bridge task between Monday and Saturday; finished before Saturday’s session (Week 1 Session 2)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After Week 1 Session 2; Stage 1 on their own, Stage 2 completed live in Thursday’s Zoom 1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Time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About 2½ hours, self-paced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About 70 min alone + 40 min live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Ontology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Part 1 warm-up (no debate yet)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Not a separate part: students use their position from the Week 1 PM debate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Epistemology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Parts 2A–2C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Parts 1, 2 and live calibration (Part 3)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Share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Moodle forum post + one peer reply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Exit-ticket form at the end of Zoom 1</w:t>
            </w:r>
          </w:p>
        </w:tc>
      </w:tr>
      <w:tr>
        <w:tc>
          <w:tcPr>
            <w:tcW w:type="dxa" w:w="1590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Zoom run sheet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–</w:t>
            </w:r>
          </w:p>
        </w:tc>
        <w:tc>
          <w:tcPr>
            <w:tcW w:type="dxa" w:w="4173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21"/>
              </w:rPr>
              <w:t xml:space="preserve">Zoom Sessions/Zoom Day1/Zoom Day1 Guide.md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(includes the four calibration extracts)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mapping.</w:t>
      </w:r>
      <w:r>
        <w:t xml:space="preserve"> </w:t>
      </w:r>
      <w:r>
        <w:t xml:space="preserve">Online 2A = Campus Part 1 (Stance Detective). Online 2B + 2C = Campus Part 2 (three lenses + one reflection question). Online Part 3 = Campus Part 4 (values and beliefs). Online Part 4 = Campus Part 5 (Stance Card). Campus Part 3 (calibration) and Part 6 (exit ticket) have no online equivalent; the online forum peer reply plays the calibration role.</w:t>
      </w:r>
    </w:p>
    <w:p>
      <w:pPr>
        <w:pStyle w:val="BodyText"/>
      </w:pPr>
      <w:r>
        <w:rPr>
          <w:b/>
          <w:bCs/>
        </w:rPr>
        <w:t xml:space="preserve">Aim.</w:t>
      </w:r>
      <w:r>
        <w:t xml:space="preserve"> </w:t>
      </w:r>
      <w:r>
        <w:t xml:space="preserve">Turn the four cheat sheets from reference tables into a short research task that builds students’ own philosophical judgement, ready for the Critical Literature Review requirement to justify a position against at least one alternative (and, for COM7411, for the Week 1 Session 2 ontology debate).</w:t>
      </w:r>
    </w:p>
    <w:p>
      <w:pPr>
        <w:pStyle w:val="BodyText"/>
      </w:pPr>
      <w:r>
        <w:rPr>
          <w:b/>
          <w:bCs/>
        </w:rPr>
        <w:t xml:space="preserve">Level.</w:t>
      </w:r>
      <w:r>
        <w:t xml:space="preserve"> </w:t>
      </w:r>
      <w:r>
        <w:t xml:space="preserve">MSc, not PhD. Students choose a</w:t>
      </w:r>
      <w:r>
        <w:t xml:space="preserve"> </w:t>
      </w:r>
      <w:r>
        <w:rPr>
          <w:i/>
          <w:iCs/>
        </w:rPr>
        <w:t xml:space="preserve">working</w:t>
      </w:r>
      <w:r>
        <w:t xml:space="preserve"> </w:t>
      </w:r>
      <w:r>
        <w:t xml:space="preserve">stance; they do not need to master the philosophy of science. Do not push critical realism, critical theory or post-structuralism unless a student raises it (see</w:t>
      </w:r>
      <w:r>
        <w:t xml:space="preserve"> </w:t>
      </w:r>
      <w:r>
        <w:rPr>
          <w:i/>
          <w:iCs/>
        </w:rPr>
        <w:t xml:space="preserve">Extensions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Weighting.</w:t>
      </w:r>
      <w:r>
        <w:t xml:space="preserve"> </w:t>
      </w:r>
      <w:r>
        <w:t xml:space="preserve">About 55% of the time is on epistemology (Parts 2A–2C), because that is the choice that most directly shapes research questions and methods. Ontology (Part 1) is a warm-up; axiology and doxology are one short audit (Part 3).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Formative and unmarked in both modules. Students’ Stance Cards feed Week 2 (research question and literature review).</w:t>
      </w:r>
    </w:p>
    <w:bookmarkEnd w:id="9"/>
    <w:bookmarkStart w:id="10" w:name="Xffb04927af285af8e28bec998c57b9ce61c8f85"/>
    <w:p>
      <w:pPr>
        <w:pStyle w:val="Heading1"/>
      </w:pPr>
      <w:r>
        <w:t xml:space="preserve">Part 1 – expected answers (ontology) — COM7411 Online only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496"/>
        <w:gridCol w:w="2980"/>
        <w:gridCol w:w="1689"/>
        <w:gridCol w:w="4769"/>
      </w:tblGrid>
      <w:tr>
        <w:trPr>
          <w:tblHeader w:val="on"/>
        </w:trPr>
        <w:tc>
          <w:tcPr>
            <w:tcW w:type="dxa" w:w="497"/>
            <w:shd w:val="clear" w:color="auto" w:fill="DCE6F1"/>
          </w:tcPr>
          <w:p>
            <w:pPr>
              <w:pStyle w:val="Compact"/>
              <w:spacing w:after="40" w:before="40"/>
              <w:jc w:val="center"/>
            </w:pPr>
            <w:r>
              <w:rPr>
                <w:b/>
                <w:sz w:val="21"/>
              </w:rPr>
              <w:t xml:space="preserve">#</w:t>
            </w:r>
          </w:p>
        </w:tc>
        <w:tc>
          <w:tcPr>
            <w:tcW w:type="dxa" w:w="2981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Statement</w:t>
            </w:r>
          </w:p>
        </w:tc>
        <w:tc>
          <w:tcPr>
            <w:tcW w:type="dxa" w:w="1689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Most defensible view</w:t>
            </w:r>
          </w:p>
        </w:tc>
        <w:tc>
          <w:tcPr>
            <w:tcW w:type="dxa" w:w="4769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Notes</w:t>
            </w:r>
          </w:p>
        </w:tc>
      </w:tr>
      <w:tr>
        <w:tc>
          <w:tcPr>
            <w:tcW w:type="dxa" w:w="497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298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 zero-day vulnerability exists whether or not anyone has discovered it</w:t>
            </w:r>
          </w:p>
        </w:tc>
        <w:tc>
          <w:tcPr>
            <w:tcW w:type="dxa" w:w="168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Realist</w:t>
            </w:r>
          </w:p>
        </w:tc>
        <w:tc>
          <w:tcPr>
            <w:tcW w:type="dxa" w:w="476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Some students argue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“vulnerability”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is a human category of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“unintended behaviour”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– accept if justified</w:t>
            </w:r>
          </w:p>
        </w:tc>
      </w:tr>
      <w:tr>
        <w:tc>
          <w:tcPr>
            <w:tcW w:type="dxa" w:w="497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298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counts as a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“data breach”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depends on who you ask and which law applies</w:t>
            </w:r>
          </w:p>
        </w:tc>
        <w:tc>
          <w:tcPr>
            <w:tcW w:type="dxa" w:w="168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Constructivist</w:t>
            </w:r>
          </w:p>
        </w:tc>
        <w:tc>
          <w:tcPr>
            <w:tcW w:type="dxa" w:w="476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The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event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may be real; the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category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is constructed</w:t>
            </w:r>
          </w:p>
        </w:tc>
      </w:tr>
      <w:tr>
        <w:tc>
          <w:tcPr>
            <w:tcW w:type="dxa" w:w="497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298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The time complexity of a sorting algorithm is a fact about the algorithm</w:t>
            </w:r>
          </w:p>
        </w:tc>
        <w:tc>
          <w:tcPr>
            <w:tcW w:type="dxa" w:w="168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Realist</w:t>
            </w:r>
          </w:p>
        </w:tc>
        <w:tc>
          <w:tcPr>
            <w:tcW w:type="dxa" w:w="476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Formal property; push 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“does the algorithm exist independently of programmers?”</w:t>
            </w:r>
          </w:p>
        </w:tc>
      </w:tr>
      <w:tr>
        <w:tc>
          <w:tcPr>
            <w:tcW w:type="dxa" w:w="497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298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“User trust”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is created through people’s experiences and interactions</w:t>
            </w:r>
          </w:p>
        </w:tc>
        <w:tc>
          <w:tcPr>
            <w:tcW w:type="dxa" w:w="168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Constructivist</w:t>
            </w:r>
          </w:p>
        </w:tc>
        <w:tc>
          <w:tcPr>
            <w:tcW w:type="dxa" w:w="476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Trust can be operationalised by realists – discuss</w:t>
            </w:r>
          </w:p>
        </w:tc>
      </w:tr>
    </w:tbl>
    <w:p>
      <w:pPr>
        <w:pStyle w:val="BodyText"/>
      </w:pPr>
      <w:r>
        <w:t xml:space="preserve">“Both – it depends”</w:t>
      </w:r>
      <w:r>
        <w:t xml:space="preserve"> </w:t>
      </w:r>
      <w:r>
        <w:t xml:space="preserve">is a good answer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student says what it depends on. The key marker is the justification and the</w:t>
      </w:r>
      <w:r>
        <w:t xml:space="preserve"> </w:t>
      </w:r>
      <w:r>
        <w:t xml:space="preserve">“what would have to be true for the opposite view”</w:t>
      </w:r>
      <w:r>
        <w:t xml:space="preserve"> </w:t>
      </w:r>
      <w:r>
        <w:t xml:space="preserve">sentence.</w:t>
      </w:r>
    </w:p>
    <w:bookmarkEnd w:id="10"/>
    <w:bookmarkStart w:id="11" w:name="X4d9921763123a13f5ff41e5fc3deac65983ea2d"/>
    <w:p>
      <w:pPr>
        <w:pStyle w:val="Heading1"/>
      </w:pPr>
      <w:r>
        <w:t xml:space="preserve">Part 2A – Stance Detective (what to look for) — online Part 2A / campus Part 1</w:t>
      </w:r>
    </w:p>
    <w:p>
      <w:pPr>
        <w:pStyle w:val="FirstParagraph"/>
      </w:pPr>
      <w:r>
        <w:rPr>
          <w:b/>
          <w:bCs/>
        </w:rPr>
        <w:t xml:space="preserve">Strong answers</w:t>
      </w:r>
    </w:p>
    <w:p>
      <w:pPr>
        <w:pStyle w:val="Compact"/>
        <w:numPr>
          <w:ilvl w:val="0"/>
          <w:numId w:val="1001"/>
        </w:numPr>
      </w:pPr>
      <w:r>
        <w:t xml:space="preserve">Quote specific language (for example</w:t>
      </w:r>
      <w:r>
        <w:t xml:space="preserve"> </w:t>
      </w:r>
      <w:r>
        <w:t xml:space="preserve">“we hypothesised…”</w:t>
      </w:r>
      <w:r>
        <w:t xml:space="preserve">,</w:t>
      </w:r>
      <w:r>
        <w:t xml:space="preserve"> </w:t>
      </w:r>
      <w:r>
        <w:t xml:space="preserve">“participants described…”</w:t>
      </w:r>
      <w:r>
        <w:t xml:space="preserve">) rather than relying on the method label.</w:t>
      </w:r>
    </w:p>
    <w:p>
      <w:pPr>
        <w:pStyle w:val="Compact"/>
        <w:numPr>
          <w:ilvl w:val="0"/>
          <w:numId w:val="1001"/>
        </w:numPr>
      </w:pPr>
      <w:r>
        <w:t xml:space="preserve">Notice when the paper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state a stance and reason about what the design implies.</w:t>
      </w:r>
    </w:p>
    <w:p>
      <w:pPr>
        <w:pStyle w:val="Compact"/>
        <w:numPr>
          <w:ilvl w:val="0"/>
          <w:numId w:val="1001"/>
        </w:numPr>
      </w:pPr>
      <w:r>
        <w:t xml:space="preserve">Give a confidence score and say what makes them uncertain.</w:t>
      </w:r>
    </w:p>
    <w:p>
      <w:pPr>
        <w:pStyle w:val="Compact"/>
        <w:numPr>
          <w:ilvl w:val="0"/>
          <w:numId w:val="1001"/>
        </w:numPr>
      </w:pPr>
      <w:r>
        <w:t xml:space="preserve">Answer the</w:t>
      </w:r>
      <w:r>
        <w:t xml:space="preserve"> </w:t>
      </w:r>
      <w:r>
        <w:t xml:space="preserve">“different stance”</w:t>
      </w:r>
      <w:r>
        <w:t xml:space="preserve"> </w:t>
      </w:r>
      <w:r>
        <w:t xml:space="preserve">question concretely (for example</w:t>
      </w:r>
      <w:r>
        <w:t xml:space="preserve"> </w:t>
      </w:r>
      <w:r>
        <w:t xml:space="preserve">“they would have interviewed practitioners instead of running a controlled test”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Common errors – address these in feedback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179"/>
        <w:gridCol w:w="3378"/>
        <w:gridCol w:w="3378"/>
      </w:tblGrid>
      <w:tr>
        <w:trPr>
          <w:tblHeader w:val="on"/>
        </w:trPr>
        <w:tc>
          <w:tcPr>
            <w:tcW w:type="dxa" w:w="318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Error</w:t>
            </w:r>
          </w:p>
        </w:tc>
        <w:tc>
          <w:tcPr>
            <w:tcW w:type="dxa" w:w="3378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Why it matters</w:t>
            </w:r>
          </w:p>
        </w:tc>
        <w:tc>
          <w:tcPr>
            <w:tcW w:type="dxa" w:w="3378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Prompt</w:t>
            </w:r>
          </w:p>
        </w:tc>
      </w:tr>
      <w:tr>
        <w:tc>
          <w:tcPr>
            <w:tcW w:type="dxa" w:w="31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“Survey = positivist”</w:t>
            </w:r>
            <w:r>
              <w:rPr>
                <w:sz w:val="21"/>
              </w:rPr>
              <w:t xml:space="preserve">;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“interviews = interpretivist”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Method is not stance. A survey can measure attitudes (positivist) or capture meaning (interpretivist)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“What do the authors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claim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the data shows?”</w:t>
            </w:r>
          </w:p>
        </w:tc>
      </w:tr>
      <w:tr>
        <w:tc>
          <w:tcPr>
            <w:tcW w:type="dxa" w:w="31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Treating interpretivism as just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“qualitative”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Interpretivism is about knowledge as meaning-making, not a data type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“What is the researcher’s role in producing knowledge?”</w:t>
            </w:r>
          </w:p>
        </w:tc>
      </w:tr>
      <w:tr>
        <w:tc>
          <w:tcPr>
            <w:tcW w:type="dxa" w:w="31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Treating pragmatism as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“anything goes”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Pragmatism is problem-led with justified choices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“How did the authors justify combining methods?”</w:t>
            </w:r>
          </w:p>
        </w:tc>
      </w:tr>
      <w:tr>
        <w:tc>
          <w:tcPr>
            <w:tcW w:type="dxa" w:w="31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Always picking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“mixed/unclear”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Avoids committing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“If you had to lean one way, which and why?”</w:t>
            </w:r>
          </w:p>
        </w:tc>
      </w:tr>
      <w:tr>
        <w:tc>
          <w:tcPr>
            <w:tcW w:type="dxa" w:w="318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Quoting the abstract only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Stance often shows in Methods and limitations</w:t>
            </w:r>
          </w:p>
        </w:tc>
        <w:tc>
          <w:tcPr>
            <w:tcW w:type="dxa" w:w="3378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“Where in Methods did you see this?”</w:t>
            </w:r>
          </w:p>
        </w:tc>
      </w:tr>
    </w:tbl>
    <w:bookmarkEnd w:id="11"/>
    <w:bookmarkStart w:id="12" w:name="Xc5b7d6fcd8289d9b0c14444e3d792c35cb0e58a"/>
    <w:p>
      <w:pPr>
        <w:pStyle w:val="Heading1"/>
      </w:pPr>
      <w:r>
        <w:t xml:space="preserve">Part 2B – three lenses (what to look for) — online Part 2B / campus Part 2</w:t>
      </w:r>
    </w:p>
    <w:p>
      <w:pPr>
        <w:pStyle w:val="Compact"/>
        <w:numPr>
          <w:ilvl w:val="0"/>
          <w:numId w:val="1002"/>
        </w:numPr>
      </w:pPr>
      <w:r>
        <w:t xml:space="preserve">The three research questions should be</w:t>
      </w:r>
      <w:r>
        <w:t xml:space="preserve"> </w:t>
      </w:r>
      <w:r>
        <w:rPr>
          <w:b/>
          <w:bCs/>
        </w:rPr>
        <w:t xml:space="preserve">genuinely different</w:t>
      </w:r>
      <w:r>
        <w:t xml:space="preserve"> </w:t>
      </w:r>
      <w:r>
        <w:t xml:space="preserve">(for example</w:t>
      </w:r>
      <w:r>
        <w:t xml:space="preserve"> </w:t>
      </w:r>
      <w:r>
        <w:rPr>
          <w:i/>
          <w:iCs/>
        </w:rPr>
        <w:t xml:space="preserve">does X reduce Y?</w:t>
      </w:r>
      <w:r>
        <w:t xml:space="preserve"> </w:t>
      </w:r>
      <w:r>
        <w:t xml:space="preserve">versus</w:t>
      </w:r>
      <w:r>
        <w:t xml:space="preserve"> </w:t>
      </w:r>
      <w:r>
        <w:rPr>
          <w:i/>
          <w:iCs/>
        </w:rPr>
        <w:t xml:space="preserve">how do people experience X?</w:t>
      </w:r>
      <w:r>
        <w:t xml:space="preserve"> </w:t>
      </w:r>
      <w:r>
        <w:t xml:space="preserve">versus</w:t>
      </w:r>
      <w:r>
        <w:t xml:space="preserve"> </w:t>
      </w:r>
      <w:r>
        <w:rPr>
          <w:i/>
          <w:iCs/>
        </w:rPr>
        <w:t xml:space="preserve">what intervention works in this context?</w:t>
      </w:r>
      <w:r>
        <w:t xml:space="preserve">), not the same question reworded.</w:t>
      </w:r>
    </w:p>
    <w:p>
      <w:pPr>
        <w:pStyle w:val="Compact"/>
        <w:numPr>
          <w:ilvl w:val="0"/>
          <w:numId w:val="1002"/>
        </w:numPr>
      </w:pPr>
      <w:r>
        <w:t xml:space="preserve">Strengths and weaknesses should be in the student’s own words and about the topic, not copied from the cheat sheet.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t xml:space="preserve">“my role as researcher”</w:t>
      </w:r>
      <w:r>
        <w:t xml:space="preserve"> </w:t>
      </w:r>
      <w:r>
        <w:t xml:space="preserve">row is the one students find hardest. Prompt:</w:t>
      </w:r>
      <w:r>
        <w:t xml:space="preserve"> </w:t>
      </w:r>
      <w:r>
        <w:t xml:space="preserve">“Are you outside the system, inside the story, or building something to try?”</w:t>
      </w:r>
    </w:p>
    <w:bookmarkEnd w:id="12"/>
    <w:bookmarkStart w:id="13" w:name="part-2c-stress-test"/>
    <w:p>
      <w:pPr>
        <w:pStyle w:val="Heading1"/>
      </w:pPr>
      <w:r>
        <w:t xml:space="preserve">Part 2C – stress test</w:t>
      </w:r>
    </w:p>
    <w:p>
      <w:pPr>
        <w:pStyle w:val="FirstParagraph"/>
      </w:pPr>
      <w:r>
        <w:t xml:space="preserve">Look for honesty about preference and for a named condition that would change the student’s mind. Flag students who choose a stance only because it feels easiest or because</w:t>
      </w:r>
      <w:r>
        <w:t xml:space="preserve"> </w:t>
      </w:r>
      <w:r>
        <w:t xml:space="preserve">“everyone in my field does”</w:t>
      </w:r>
      <w:r>
        <w:t xml:space="preserve">.</w:t>
      </w:r>
    </w:p>
    <w:bookmarkEnd w:id="13"/>
    <w:bookmarkStart w:id="14" w:name="part-3-values-and-beliefs"/>
    <w:p>
      <w:pPr>
        <w:pStyle w:val="Heading1"/>
      </w:pPr>
      <w:r>
        <w:t xml:space="preserve">Part 3 – values and beliefs</w:t>
      </w:r>
    </w:p>
    <w:p>
      <w:pPr>
        <w:pStyle w:val="Compact"/>
        <w:numPr>
          <w:ilvl w:val="0"/>
          <w:numId w:val="1003"/>
        </w:numPr>
      </w:pPr>
      <w:r>
        <w:t xml:space="preserve">Axiology should name a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value and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affected people (not</w:t>
      </w:r>
      <w:r>
        <w:t xml:space="preserve"> </w:t>
      </w:r>
      <w:r>
        <w:t xml:space="preserve">“ethics”</w:t>
      </w:r>
      <w:r>
        <w:t xml:space="preserve"> </w:t>
      </w:r>
      <w:r>
        <w:t xml:space="preserve">in general). This is practice for the specific, non-generic ethics the Methodology section needs.</w:t>
      </w:r>
    </w:p>
    <w:p>
      <w:pPr>
        <w:pStyle w:val="Compact"/>
        <w:numPr>
          <w:ilvl w:val="0"/>
          <w:numId w:val="1003"/>
        </w:numPr>
      </w:pPr>
      <w:r>
        <w:t xml:space="preserve">Doxology: look for a real taken-for-granted belief of the field (the cheat sheet examples are models, not answers to copy). The safeguard should be an action (for example triangulate, document data provenance, seek a dissenting view).</w:t>
      </w:r>
    </w:p>
    <w:bookmarkEnd w:id="14"/>
    <w:bookmarkStart w:id="15" w:name="X3534d2400614ec21ecff645362a1da13cfe4c28"/>
    <w:p>
      <w:pPr>
        <w:pStyle w:val="Heading1"/>
      </w:pPr>
      <w:r>
        <w:t xml:space="preserve">Stance Card (what a good one looks like) — online Part 4 / campus Part 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Alignment.</w:t>
      </w:r>
      <w:r>
        <w:t xml:space="preserve"> </w:t>
      </w:r>
      <w:r>
        <w:t xml:space="preserve">Ontology, epistemology and method point in the same direction, or the student explains the tension.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 considered.</w:t>
      </w:r>
      <w:r>
        <w:t xml:space="preserve"> </w:t>
      </w:r>
      <w:r>
        <w:t xml:space="preserve">One named alternative and a reason it was not chosen. This mirrors the brief’s requirement and is the single most important feature.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Provisional and personal.</w:t>
      </w:r>
      <w:r>
        <w:t xml:space="preserve"> </w:t>
      </w:r>
      <w:r>
        <w:t xml:space="preserve">First person, plain English, 200–250 words.</w:t>
      </w:r>
    </w:p>
    <w:p>
      <w:pPr>
        <w:pStyle w:val="Compact"/>
        <w:numPr>
          <w:ilvl w:val="0"/>
          <w:numId w:val="1004"/>
        </w:numPr>
      </w:pPr>
      <w:r>
        <w:t xml:space="preserve">Red flags: all positions listed with no choice; copying cheat-sheet wording; a stance chosen after, and to fit, a preferred method; generic ethics.</w:t>
      </w:r>
    </w:p>
    <w:p>
      <w:pPr>
        <w:pStyle w:val="FirstParagraph"/>
      </w:pPr>
      <w:r>
        <w:t xml:space="preserve">Link to the marking criteria: this rehearses the</w:t>
      </w:r>
      <w:r>
        <w:t xml:space="preserve"> </w:t>
      </w:r>
      <w:r>
        <w:rPr>
          <w:i/>
          <w:iCs/>
        </w:rPr>
        <w:t xml:space="preserve">Critical evaluation of methodologies and philosophical approaches</w:t>
      </w:r>
      <w:r>
        <w:t xml:space="preserve"> </w:t>
      </w:r>
      <w:r>
        <w:t xml:space="preserve">criterion (25%): evaluation and comparison rather than description, and a justified paradigm position set against an alternative.</w:t>
      </w:r>
    </w:p>
    <w:bookmarkEnd w:id="15"/>
    <w:bookmarkStart w:id="16" w:name="using-the-work"/>
    <w:p>
      <w:pPr>
        <w:pStyle w:val="Heading1"/>
      </w:pPr>
      <w:r>
        <w:t xml:space="preserve">Using the work</w:t>
      </w:r>
    </w:p>
    <w:p>
      <w:pPr>
        <w:pStyle w:val="FirstParagraph"/>
      </w:pPr>
      <w:r>
        <w:rPr>
          <w:b/>
          <w:bCs/>
        </w:rPr>
        <w:t xml:space="preserve">COM7411 Online (Saturday, Week 1 Session 2)</w:t>
      </w:r>
    </w:p>
    <w:p>
      <w:pPr>
        <w:pStyle w:val="Compact"/>
        <w:numPr>
          <w:ilvl w:val="0"/>
          <w:numId w:val="1005"/>
        </w:numPr>
      </w:pPr>
      <w:r>
        <w:t xml:space="preserve">Read the forum posts before the session; open with two or three anonymised cards or epistemology paragraphs (with permission).</w:t>
      </w:r>
    </w:p>
    <w:p>
      <w:pPr>
        <w:pStyle w:val="Compact"/>
        <w:numPr>
          <w:ilvl w:val="0"/>
          <w:numId w:val="1005"/>
        </w:numPr>
      </w:pPr>
      <w:r>
        <w:t xml:space="preserve">Replace the</w:t>
      </w:r>
      <w:r>
        <w:t xml:space="preserve"> </w:t>
      </w:r>
      <w:r>
        <w:t xml:space="preserve">“which cheat sheet was hardest”</w:t>
      </w:r>
      <w:r>
        <w:t xml:space="preserve"> </w:t>
      </w:r>
      <w:r>
        <w:t xml:space="preserve">poll with:</w:t>
      </w:r>
      <w:r>
        <w:t xml:space="preserve"> </w:t>
      </w:r>
      <w:r>
        <w:t xml:space="preserve">“Where did your paper land (positivist / interpretivist / pragmatist / mixed), and how confident were you (1–5)?”</w:t>
      </w:r>
      <w:r>
        <w:t xml:space="preserve"> </w:t>
      </w:r>
      <w:r>
        <w:t xml:space="preserve">Use the spread to show that experts disagree.</w:t>
      </w:r>
    </w:p>
    <w:p>
      <w:pPr>
        <w:pStyle w:val="Compact"/>
        <w:numPr>
          <w:ilvl w:val="0"/>
          <w:numId w:val="1005"/>
        </w:numPr>
      </w:pPr>
      <w:r>
        <w:t xml:space="preserve">Part 1 answers can seed Realism and Constructivism teams so students argue a side they find hardest at least once.</w:t>
      </w:r>
    </w:p>
    <w:p>
      <w:pPr>
        <w:pStyle w:val="Compact"/>
        <w:numPr>
          <w:ilvl w:val="0"/>
          <w:numId w:val="1005"/>
        </w:numPr>
      </w:pPr>
      <w:r>
        <w:t xml:space="preserve">Personal positioning exercise: students refine only the</w:t>
      </w:r>
      <w:r>
        <w:t xml:space="preserve"> </w:t>
      </w:r>
      <w:r>
        <w:rPr>
          <w:i/>
          <w:iCs/>
        </w:rPr>
        <w:t xml:space="preserve">ontology</w:t>
      </w:r>
      <w:r>
        <w:t xml:space="preserve"> </w:t>
      </w:r>
      <w:r>
        <w:t xml:space="preserve">sentence of their card.</w:t>
      </w:r>
    </w:p>
    <w:p>
      <w:pPr>
        <w:pStyle w:val="Compact"/>
        <w:numPr>
          <w:ilvl w:val="0"/>
          <w:numId w:val="1005"/>
        </w:numPr>
      </w:pPr>
      <w:r>
        <w:t xml:space="preserve">Target the clinic at the commonest error seen in the posts (usually</w:t>
      </w:r>
      <w:r>
        <w:t xml:space="preserve"> </w:t>
      </w:r>
      <w:r>
        <w:t xml:space="preserve">“method = stance”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COM7401 On Campus (Zoom 1, then Week 2 Session 1)</w:t>
      </w:r>
    </w:p>
    <w:p>
      <w:pPr>
        <w:pStyle w:val="Compact"/>
        <w:numPr>
          <w:ilvl w:val="0"/>
          <w:numId w:val="1006"/>
        </w:numPr>
      </w:pPr>
      <w:r>
        <w:t xml:space="preserve">Run Zoom 1 from</w:t>
      </w:r>
      <w:r>
        <w:t xml:space="preserve"> </w:t>
      </w:r>
      <w:r>
        <w:rPr>
          <w:rStyle w:val="VerbatimChar"/>
        </w:rPr>
        <w:t xml:space="preserve">Zoom Day1/Zoom Day1 Guide.md</w:t>
      </w:r>
      <w:r>
        <w:t xml:space="preserve">: poll the four invented extracts, then audit, then silent Stance Card writing, then the exit ticket. Extract D (survey with an interpretivist reading) is the deliberate trap that teaches</w:t>
      </w:r>
      <w:r>
        <w:t xml:space="preserve"> </w:t>
      </w:r>
      <w:r>
        <w:t xml:space="preserve">“method is not stance”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Read the exit-ticket paragraphs before Week 2 Session 1 and group students by stance for the Funnel pair work if useful.</w:t>
      </w:r>
    </w:p>
    <w:p>
      <w:pPr>
        <w:pStyle w:val="Compact"/>
        <w:numPr>
          <w:ilvl w:val="0"/>
          <w:numId w:val="1006"/>
        </w:numPr>
      </w:pPr>
      <w:r>
        <w:t xml:space="preserve">Students absent from the Zoom complete Stage 2 from the recording before Week 2 Session 1.</w:t>
      </w:r>
    </w:p>
    <w:bookmarkEnd w:id="16"/>
    <w:bookmarkStart w:id="17" w:name="extensions-optional-strong-students-only"/>
    <w:p>
      <w:pPr>
        <w:pStyle w:val="Heading1"/>
      </w:pPr>
      <w:r>
        <w:t xml:space="preserve">Extensions (optional, strong students only)</w:t>
      </w:r>
    </w:p>
    <w:p>
      <w:pPr>
        <w:pStyle w:val="Compact"/>
        <w:numPr>
          <w:ilvl w:val="0"/>
          <w:numId w:val="1007"/>
        </w:numPr>
      </w:pPr>
      <w:r>
        <w:t xml:space="preserve">A short note on critical realism as a</w:t>
      </w:r>
      <w:r>
        <w:t xml:space="preserve"> </w:t>
      </w:r>
      <w:r>
        <w:t xml:space="preserve">“realist ontology with interpretive epistemology”</w:t>
      </w:r>
      <w:r>
        <w:t xml:space="preserve"> </w:t>
      </w:r>
      <w:r>
        <w:t xml:space="preserve">that suits much cybersecurity and socio-technical research.</w:t>
      </w:r>
    </w:p>
    <w:p>
      <w:pPr>
        <w:pStyle w:val="Compact"/>
        <w:numPr>
          <w:ilvl w:val="0"/>
          <w:numId w:val="1007"/>
        </w:numPr>
      </w:pPr>
      <w:r>
        <w:t xml:space="preserve">Compare the paper’s stance with a second paper on the same topic from the opposite tradition.</w:t>
      </w:r>
    </w:p>
    <w:bookmarkEnd w:id="17"/>
    <w:bookmarkStart w:id="18" w:name="X478725d680165a8f8121de941869645d7080dfa"/>
    <w:p>
      <w:pPr>
        <w:pStyle w:val="Heading1"/>
      </w:pPr>
      <w:r>
        <w:t xml:space="preserve">Maintenance notes on the cheat sheets (for staff)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Ontology cheat sheet:</w:t>
      </w:r>
      <w:r>
        <w:t xml:space="preserve"> </w:t>
      </w:r>
      <w:r>
        <w:t xml:space="preserve">the Cybersecurity</w:t>
      </w:r>
      <w:r>
        <w:t xml:space="preserve"> </w:t>
      </w:r>
      <w:r>
        <w:t xml:space="preserve">“Key Applications”</w:t>
      </w:r>
      <w:r>
        <w:t xml:space="preserve"> </w:t>
      </w:r>
      <w:r>
        <w:t xml:space="preserve">cell repeats the CS</w:t>
      </w:r>
      <w:r>
        <w:t xml:space="preserve"> </w:t>
      </w:r>
      <w:r>
        <w:t xml:space="preserve">“Algorithm Design”</w:t>
      </w:r>
      <w:r>
        <w:t xml:space="preserve"> </w:t>
      </w:r>
      <w:r>
        <w:t xml:space="preserve">text and should be replaced with a cybersecurity example (for example threat modelling).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“Doxology”</w:t>
      </w:r>
      <w:r>
        <w:rPr>
          <w:b/>
          <w:bCs/>
        </w:rPr>
        <w:t xml:space="preserve">:</w:t>
      </w:r>
      <w:r>
        <w:t xml:space="preserve"> </w:t>
      </w:r>
      <w:r>
        <w:t xml:space="preserve">the module’s term for taken-for-granted beliefs. In the wider literature, such assumptions are more often described as</w:t>
      </w:r>
      <w:r>
        <w:t xml:space="preserve"> </w:t>
      </w:r>
      <w:r>
        <w:rPr>
          <w:i/>
          <w:iCs/>
        </w:rPr>
        <w:t xml:space="preserve">doxastic</w:t>
      </w:r>
      <w:r>
        <w:t xml:space="preserve"> </w:t>
      </w:r>
      <w:r>
        <w:t xml:space="preserve">beliefs or</w:t>
      </w:r>
      <w:r>
        <w:t xml:space="preserve"> </w:t>
      </w:r>
      <w:r>
        <w:rPr>
          <w:i/>
          <w:iCs/>
        </w:rPr>
        <w:t xml:space="preserve">doxa</w:t>
      </w:r>
      <w:r>
        <w:t xml:space="preserve">; a one-line gloss on the cheat sheet would prevent confusion when students search.</w:t>
      </w:r>
    </w:p>
    <w:p>
      <w:pPr>
        <w:pStyle w:val="Compact"/>
        <w:numPr>
          <w:ilvl w:val="0"/>
          <w:numId w:val="1008"/>
        </w:numPr>
      </w:pPr>
      <w:r>
        <w:t xml:space="preserve">The Doxology cheat sheet is duplicated in the Week 2 AM prep folder; keep the two copies identical.</w:t>
      </w:r>
    </w:p>
    <w:bookmarkEnd w:id="18"/>
    <w:sectPr>
      <w:headerReference w:type="default" r:id="rId9"/>
      <w:footerReference w:type="default" r:id="rId10"/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1F3A5F"/>
        <w:sz w:val="18"/>
      </w:rPr>
      <w:t>LECTURER COPY – COM7401 On Campus + COM7411 Online – not for students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18"/>
      </w:rPr>
      <w:t>LECTURER COPY – COM7401 On Campus + COM7411 Online – not for students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Lecturer Copy – Philosophical Stance Task (COM7401 On Campus and COM7411 Online)</dc:title>
  <dc:creator/>
  <cp:keywords/>
  <dcterms:created xsi:type="dcterms:W3CDTF">2026-10-01T14:37:46Z</dcterms:created>
  <dcterms:modified xsi:type="dcterms:W3CDTF">2026-10-01T14:37:46Z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Not for students</vt:lpwstr>
  </property>
</Properties>
</file>