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BE596" w14:textId="04ED2BC3" w:rsidR="00BE5210" w:rsidRPr="000317DF" w:rsidRDefault="004F7D81" w:rsidP="0C99129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Doxology </w:t>
      </w:r>
    </w:p>
    <w:tbl>
      <w:tblPr>
        <w:tblStyle w:val="GridTable1Light"/>
        <w:tblW w:w="0" w:type="auto"/>
        <w:tblLayout w:type="fixed"/>
        <w:tblLook w:val="06A0" w:firstRow="1" w:lastRow="0" w:firstColumn="1" w:lastColumn="0" w:noHBand="1" w:noVBand="1"/>
      </w:tblPr>
      <w:tblGrid>
        <w:gridCol w:w="1555"/>
        <w:gridCol w:w="1842"/>
        <w:gridCol w:w="2127"/>
        <w:gridCol w:w="3492"/>
      </w:tblGrid>
      <w:tr w:rsidR="00A07F21" w14:paraId="79274788" w14:textId="77777777" w:rsidTr="0023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double" w:sz="4" w:space="0" w:color="00B050"/>
              <w:right w:val="double" w:sz="4" w:space="0" w:color="70AD47" w:themeColor="accent6"/>
            </w:tcBorders>
          </w:tcPr>
          <w:p w14:paraId="02F8059B" w14:textId="64D991F1" w:rsidR="00A07F21" w:rsidRPr="00845108" w:rsidRDefault="00A07F21" w:rsidP="00A07F21">
            <w:pPr>
              <w:jc w:val="center"/>
            </w:pPr>
            <w:r w:rsidRPr="004C1D67">
              <w:t>Aspect</w:t>
            </w:r>
          </w:p>
        </w:tc>
        <w:tc>
          <w:tcPr>
            <w:tcW w:w="1842" w:type="dxa"/>
            <w:tcBorders>
              <w:left w:val="double" w:sz="4" w:space="0" w:color="70AD47" w:themeColor="accent6"/>
              <w:bottom w:val="double" w:sz="4" w:space="0" w:color="00B050"/>
            </w:tcBorders>
          </w:tcPr>
          <w:p w14:paraId="2ADC7AEB" w14:textId="42BC5078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Computer Science (CS)</w:t>
            </w:r>
          </w:p>
        </w:tc>
        <w:tc>
          <w:tcPr>
            <w:tcW w:w="2127" w:type="dxa"/>
            <w:tcBorders>
              <w:bottom w:val="double" w:sz="4" w:space="0" w:color="00B050"/>
            </w:tcBorders>
          </w:tcPr>
          <w:p w14:paraId="56B9D11D" w14:textId="24F68F37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Data Analytics</w:t>
            </w:r>
          </w:p>
        </w:tc>
        <w:tc>
          <w:tcPr>
            <w:tcW w:w="3492" w:type="dxa"/>
            <w:tcBorders>
              <w:bottom w:val="double" w:sz="4" w:space="0" w:color="00B050"/>
            </w:tcBorders>
          </w:tcPr>
          <w:p w14:paraId="75DFEC5C" w14:textId="4E63AEC0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Cybersecurity</w:t>
            </w:r>
          </w:p>
        </w:tc>
      </w:tr>
      <w:tr w:rsidR="009B6521" w14:paraId="676A7A9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double" w:sz="4" w:space="0" w:color="00B050"/>
              <w:right w:val="double" w:sz="4" w:space="0" w:color="70AD47" w:themeColor="accent6"/>
            </w:tcBorders>
          </w:tcPr>
          <w:p w14:paraId="066CDAD1" w14:textId="02087D65" w:rsidR="009B6521" w:rsidRPr="00845108" w:rsidRDefault="009B6521" w:rsidP="009B6521">
            <w:r w:rsidRPr="00335DA3">
              <w:t>Key Doxological Belief</w:t>
            </w:r>
          </w:p>
        </w:tc>
        <w:tc>
          <w:tcPr>
            <w:tcW w:w="1842" w:type="dxa"/>
            <w:tcBorders>
              <w:top w:val="double" w:sz="4" w:space="0" w:color="00B050"/>
              <w:left w:val="double" w:sz="4" w:space="0" w:color="70AD47" w:themeColor="accent6"/>
            </w:tcBorders>
          </w:tcPr>
          <w:p w14:paraId="576E2F52" w14:textId="3590EA2D" w:rsidR="009B6521" w:rsidRDefault="009B6521" w:rsidP="009B6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DA3">
              <w:t>Technological Neutrality: Belief that technology, particularly algorithms, is inherently neutral and objective.</w:t>
            </w:r>
          </w:p>
        </w:tc>
        <w:tc>
          <w:tcPr>
            <w:tcW w:w="2127" w:type="dxa"/>
            <w:tcBorders>
              <w:top w:val="double" w:sz="4" w:space="0" w:color="00B050"/>
            </w:tcBorders>
          </w:tcPr>
          <w:p w14:paraId="273CAECD" w14:textId="7A3521A7" w:rsidR="009B6521" w:rsidRDefault="009B6521" w:rsidP="009B6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DA3">
              <w:t>Data Objectivity: Assumption that data is purely objective and represents reality without bias.</w:t>
            </w:r>
          </w:p>
        </w:tc>
        <w:tc>
          <w:tcPr>
            <w:tcW w:w="3492" w:type="dxa"/>
            <w:tcBorders>
              <w:top w:val="double" w:sz="4" w:space="0" w:color="00B050"/>
            </w:tcBorders>
          </w:tcPr>
          <w:p w14:paraId="281311B5" w14:textId="658F5ADE" w:rsidR="009B6521" w:rsidRDefault="009B6521" w:rsidP="009B6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DA3">
              <w:t>Complete Security: Belief that a system can be made completely secure, leading to overconfidence.</w:t>
            </w:r>
          </w:p>
        </w:tc>
      </w:tr>
      <w:tr w:rsidR="004F7D81" w14:paraId="6E14B8E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07B6C00D" w14:textId="51DF97B2" w:rsidR="004F7D81" w:rsidRPr="00845108" w:rsidRDefault="004F7D81" w:rsidP="004F7D81">
            <w:r w:rsidRPr="007D24CF">
              <w:t>Common Impact of This Belief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772767B5" w14:textId="59AD8BF1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This belief can lead developers to overlook biases embedded in software or algorithms.</w:t>
            </w:r>
          </w:p>
        </w:tc>
        <w:tc>
          <w:tcPr>
            <w:tcW w:w="2127" w:type="dxa"/>
          </w:tcPr>
          <w:p w14:paraId="454928FC" w14:textId="7E458DF0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This assumption ignores that data collection and analysis are influenced by human context and biases.</w:t>
            </w:r>
          </w:p>
        </w:tc>
        <w:tc>
          <w:tcPr>
            <w:tcW w:w="3492" w:type="dxa"/>
          </w:tcPr>
          <w:p w14:paraId="50F644E7" w14:textId="6EF9D874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This belief can create a false sense of security, ignoring vulnerabilities related to human factors.</w:t>
            </w:r>
          </w:p>
        </w:tc>
      </w:tr>
      <w:tr w:rsidR="004F7D81" w14:paraId="691B20C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6035A4AD" w14:textId="36CDCE3B" w:rsidR="004F7D81" w:rsidRPr="00845108" w:rsidRDefault="004F7D81" w:rsidP="004F7D81">
            <w:r w:rsidRPr="007D24CF">
              <w:t>Example in Practice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4B2C2772" w14:textId="5361A2D2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AI Bias: Developers may assume algorithms are neutral, leading to biased AI models that discriminate based on race or gender.</w:t>
            </w:r>
          </w:p>
        </w:tc>
        <w:tc>
          <w:tcPr>
            <w:tcW w:w="2127" w:type="dxa"/>
          </w:tcPr>
          <w:p w14:paraId="4F497EB3" w14:textId="7B4BA09E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Predictive Models: Analysts may build models assuming data reflects reality, without considering that data can be biased (e.g., historical inequalities).</w:t>
            </w:r>
          </w:p>
        </w:tc>
        <w:tc>
          <w:tcPr>
            <w:tcW w:w="3492" w:type="dxa"/>
          </w:tcPr>
          <w:p w14:paraId="45C9D7F9" w14:textId="6DD610FB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False Security Assurance: Over-reliance on technical security solutions while underestimating human vulnerabilities like phishing or social engineering.</w:t>
            </w:r>
          </w:p>
        </w:tc>
      </w:tr>
      <w:tr w:rsidR="004F7D81" w14:paraId="02319C0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3A3084E8" w14:textId="35702EFE" w:rsidR="004F7D81" w:rsidRPr="00845108" w:rsidRDefault="004F7D81" w:rsidP="004F7D81">
            <w:r w:rsidRPr="007D24CF">
              <w:t>Real-World Consequences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67FC61BC" w14:textId="23D4F007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AI systems can result in unfair outcomes (e.g., biased facial recognition) due to unexamined assumptions of neutrality.</w:t>
            </w:r>
          </w:p>
        </w:tc>
        <w:tc>
          <w:tcPr>
            <w:tcW w:w="2127" w:type="dxa"/>
          </w:tcPr>
          <w:p w14:paraId="436A8E66" w14:textId="65A6EB0A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Predictive analytics may lead to discriminatory outcomes, such as biased hiring decisions or unjust policing strategies.</w:t>
            </w:r>
          </w:p>
        </w:tc>
        <w:tc>
          <w:tcPr>
            <w:tcW w:w="3492" w:type="dxa"/>
          </w:tcPr>
          <w:p w14:paraId="577AD6AC" w14:textId="757CB90F" w:rsidR="004F7D81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4CF">
              <w:t>Overconfidence in system security leads to undermined security strategies, where the human element is neglected, leading to breaches.</w:t>
            </w:r>
          </w:p>
        </w:tc>
      </w:tr>
      <w:tr w:rsidR="004F7D81" w14:paraId="0C1855F4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46EBCDCB" w14:textId="05BD00C2" w:rsidR="004F7D81" w:rsidRPr="007D24CF" w:rsidRDefault="004F7D81" w:rsidP="004F7D81">
            <w:r w:rsidRPr="00625EB6">
              <w:t>Addressing the Belief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5F42BF1C" w14:textId="3ED2BD69" w:rsidR="004F7D81" w:rsidRPr="007D24CF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B6">
              <w:t>Questioning neutrality leads to efforts to mitigate bias and improve transparency in algorithms.</w:t>
            </w:r>
          </w:p>
        </w:tc>
        <w:tc>
          <w:tcPr>
            <w:tcW w:w="2127" w:type="dxa"/>
          </w:tcPr>
          <w:p w14:paraId="1EAA7143" w14:textId="35B9420E" w:rsidR="004F7D81" w:rsidRPr="007D24CF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B6">
              <w:t>Recognizing that data is influenced by human factors prompts analysts to consider data provenance and bias mitigation.</w:t>
            </w:r>
          </w:p>
        </w:tc>
        <w:tc>
          <w:tcPr>
            <w:tcW w:w="3492" w:type="dxa"/>
          </w:tcPr>
          <w:p w14:paraId="0BC7D3E3" w14:textId="7887CB8A" w:rsidR="004F7D81" w:rsidRPr="007D24CF" w:rsidRDefault="004F7D81" w:rsidP="004F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B6">
              <w:t>Accepting that perfect security is impossible encourages organizations to adopt holistic security strategies that address both technology and human behaviour.</w:t>
            </w:r>
          </w:p>
        </w:tc>
      </w:tr>
    </w:tbl>
    <w:p w14:paraId="3D5E463D" w14:textId="0C0E6CCE" w:rsidR="2B112C73" w:rsidRDefault="2B112C73"/>
    <w:p w14:paraId="0335A8CB" w14:textId="4EAABA69" w:rsidR="00BE5210" w:rsidRPr="00FB49C6" w:rsidRDefault="00BE5210"/>
    <w:sectPr w:rsidR="00BE5210" w:rsidRPr="00FB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10"/>
    <w:rsid w:val="00021B33"/>
    <w:rsid w:val="00025381"/>
    <w:rsid w:val="000317DF"/>
    <w:rsid w:val="00035530"/>
    <w:rsid w:val="000612E9"/>
    <w:rsid w:val="00070DC4"/>
    <w:rsid w:val="00080405"/>
    <w:rsid w:val="00084A3A"/>
    <w:rsid w:val="000B34A2"/>
    <w:rsid w:val="000C26F8"/>
    <w:rsid w:val="001044C9"/>
    <w:rsid w:val="00111F7C"/>
    <w:rsid w:val="00140FB6"/>
    <w:rsid w:val="001704C1"/>
    <w:rsid w:val="00185614"/>
    <w:rsid w:val="00192F5E"/>
    <w:rsid w:val="00194E88"/>
    <w:rsid w:val="001E23FB"/>
    <w:rsid w:val="001E291A"/>
    <w:rsid w:val="001F6687"/>
    <w:rsid w:val="00204F70"/>
    <w:rsid w:val="00233E3C"/>
    <w:rsid w:val="0027420E"/>
    <w:rsid w:val="002742EE"/>
    <w:rsid w:val="00282577"/>
    <w:rsid w:val="002B6F09"/>
    <w:rsid w:val="002C6B20"/>
    <w:rsid w:val="003034FA"/>
    <w:rsid w:val="00303F51"/>
    <w:rsid w:val="00326734"/>
    <w:rsid w:val="003836A3"/>
    <w:rsid w:val="00386C13"/>
    <w:rsid w:val="003944B6"/>
    <w:rsid w:val="003C06B6"/>
    <w:rsid w:val="003F5E48"/>
    <w:rsid w:val="004334B5"/>
    <w:rsid w:val="0044657F"/>
    <w:rsid w:val="004741B7"/>
    <w:rsid w:val="004C6850"/>
    <w:rsid w:val="004E07FB"/>
    <w:rsid w:val="004F3892"/>
    <w:rsid w:val="004F7D81"/>
    <w:rsid w:val="00503AB8"/>
    <w:rsid w:val="00526AB7"/>
    <w:rsid w:val="005564C7"/>
    <w:rsid w:val="00560920"/>
    <w:rsid w:val="00584712"/>
    <w:rsid w:val="005874AD"/>
    <w:rsid w:val="005A0966"/>
    <w:rsid w:val="005B2CA7"/>
    <w:rsid w:val="005F38FE"/>
    <w:rsid w:val="006411C6"/>
    <w:rsid w:val="00682127"/>
    <w:rsid w:val="007100C8"/>
    <w:rsid w:val="007112DB"/>
    <w:rsid w:val="00712297"/>
    <w:rsid w:val="00714153"/>
    <w:rsid w:val="007144F5"/>
    <w:rsid w:val="00734E62"/>
    <w:rsid w:val="007400AC"/>
    <w:rsid w:val="0078269B"/>
    <w:rsid w:val="00792E59"/>
    <w:rsid w:val="007C1DE8"/>
    <w:rsid w:val="007D32B9"/>
    <w:rsid w:val="00815CC3"/>
    <w:rsid w:val="00832CC7"/>
    <w:rsid w:val="00835BAB"/>
    <w:rsid w:val="00845108"/>
    <w:rsid w:val="00871B58"/>
    <w:rsid w:val="008C1E28"/>
    <w:rsid w:val="008D11CA"/>
    <w:rsid w:val="00934A7B"/>
    <w:rsid w:val="00984393"/>
    <w:rsid w:val="009853B4"/>
    <w:rsid w:val="009B6521"/>
    <w:rsid w:val="009D2FAF"/>
    <w:rsid w:val="00A07F21"/>
    <w:rsid w:val="00A270DE"/>
    <w:rsid w:val="00A521C3"/>
    <w:rsid w:val="00A74FE8"/>
    <w:rsid w:val="00A808BB"/>
    <w:rsid w:val="00AE1F68"/>
    <w:rsid w:val="00AE487F"/>
    <w:rsid w:val="00B034B0"/>
    <w:rsid w:val="00B35B09"/>
    <w:rsid w:val="00B5074B"/>
    <w:rsid w:val="00B81662"/>
    <w:rsid w:val="00B83DD2"/>
    <w:rsid w:val="00BA6EFA"/>
    <w:rsid w:val="00BE5210"/>
    <w:rsid w:val="00C26250"/>
    <w:rsid w:val="00C71850"/>
    <w:rsid w:val="00C7784A"/>
    <w:rsid w:val="00CE57F7"/>
    <w:rsid w:val="00D003EC"/>
    <w:rsid w:val="00D0173C"/>
    <w:rsid w:val="00D029AA"/>
    <w:rsid w:val="00D2610D"/>
    <w:rsid w:val="00D3765B"/>
    <w:rsid w:val="00D47971"/>
    <w:rsid w:val="00DB0AAC"/>
    <w:rsid w:val="00DC4782"/>
    <w:rsid w:val="00DE02FF"/>
    <w:rsid w:val="00DF1D96"/>
    <w:rsid w:val="00E32E5C"/>
    <w:rsid w:val="00E60758"/>
    <w:rsid w:val="00E95188"/>
    <w:rsid w:val="00EA2374"/>
    <w:rsid w:val="00ED1C36"/>
    <w:rsid w:val="00ED7D84"/>
    <w:rsid w:val="00EE230C"/>
    <w:rsid w:val="00EF17AA"/>
    <w:rsid w:val="00F51B77"/>
    <w:rsid w:val="00F6523E"/>
    <w:rsid w:val="00F943AD"/>
    <w:rsid w:val="00FA6410"/>
    <w:rsid w:val="00FB49C6"/>
    <w:rsid w:val="00FD418A"/>
    <w:rsid w:val="0259E25E"/>
    <w:rsid w:val="027C0CE9"/>
    <w:rsid w:val="02EB8068"/>
    <w:rsid w:val="03AFB676"/>
    <w:rsid w:val="053F3710"/>
    <w:rsid w:val="065DAE76"/>
    <w:rsid w:val="0B5A1722"/>
    <w:rsid w:val="0C99129E"/>
    <w:rsid w:val="0CA06662"/>
    <w:rsid w:val="0FF03996"/>
    <w:rsid w:val="11659842"/>
    <w:rsid w:val="13A56672"/>
    <w:rsid w:val="13DD3168"/>
    <w:rsid w:val="15C95B18"/>
    <w:rsid w:val="1928D21D"/>
    <w:rsid w:val="1F24151F"/>
    <w:rsid w:val="1FC5388E"/>
    <w:rsid w:val="1FFA140D"/>
    <w:rsid w:val="2192850B"/>
    <w:rsid w:val="22527AA2"/>
    <w:rsid w:val="2259966F"/>
    <w:rsid w:val="254B829B"/>
    <w:rsid w:val="26E4CCEE"/>
    <w:rsid w:val="2958FFF1"/>
    <w:rsid w:val="2A1B6C19"/>
    <w:rsid w:val="2B112C73"/>
    <w:rsid w:val="2BDD4DC1"/>
    <w:rsid w:val="2F1E575F"/>
    <w:rsid w:val="2F9FD33F"/>
    <w:rsid w:val="3ADEA85D"/>
    <w:rsid w:val="3FF5B9B6"/>
    <w:rsid w:val="43B52B07"/>
    <w:rsid w:val="43BC81CF"/>
    <w:rsid w:val="44874D7F"/>
    <w:rsid w:val="4AD19E67"/>
    <w:rsid w:val="4C1FAB6F"/>
    <w:rsid w:val="4D319A4E"/>
    <w:rsid w:val="4E2A7B0E"/>
    <w:rsid w:val="52D985EB"/>
    <w:rsid w:val="52F28BC0"/>
    <w:rsid w:val="535F728B"/>
    <w:rsid w:val="53EEE235"/>
    <w:rsid w:val="559B9AE4"/>
    <w:rsid w:val="56E8BD49"/>
    <w:rsid w:val="5906DC4E"/>
    <w:rsid w:val="62D8132E"/>
    <w:rsid w:val="655421EB"/>
    <w:rsid w:val="67334012"/>
    <w:rsid w:val="67B88BA2"/>
    <w:rsid w:val="680CADD7"/>
    <w:rsid w:val="68186868"/>
    <w:rsid w:val="68366D60"/>
    <w:rsid w:val="6B704C91"/>
    <w:rsid w:val="6B8001F1"/>
    <w:rsid w:val="6EB05ACF"/>
    <w:rsid w:val="76947FEA"/>
    <w:rsid w:val="77988197"/>
    <w:rsid w:val="7804EB84"/>
    <w:rsid w:val="7C1ACA11"/>
    <w:rsid w:val="7C462A0B"/>
    <w:rsid w:val="7D0C1084"/>
    <w:rsid w:val="7D5B5448"/>
    <w:rsid w:val="7E7E2009"/>
    <w:rsid w:val="7F21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DA9A"/>
  <w15:chartTrackingRefBased/>
  <w15:docId w15:val="{3B986315-EF74-4640-AF74-285A4007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1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rsid w:val="000317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808B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Tighe</dc:creator>
  <cp:keywords/>
  <dc:description/>
  <cp:lastModifiedBy>Bren</cp:lastModifiedBy>
  <cp:revision>4</cp:revision>
  <dcterms:created xsi:type="dcterms:W3CDTF">2024-09-17T22:45:00Z</dcterms:created>
  <dcterms:modified xsi:type="dcterms:W3CDTF">2024-09-17T22:46:00Z</dcterms:modified>
</cp:coreProperties>
</file>