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0ECE" w14:textId="1E14F137" w:rsidR="00382995" w:rsidRPr="00641404" w:rsidRDefault="00195E07" w:rsidP="0038299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668DF5C" wp14:editId="375B92A6">
            <wp:extent cx="1602297" cy="4942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145" cy="50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962D" w14:textId="77777777" w:rsidR="00382995" w:rsidRPr="00641404" w:rsidRDefault="00382995" w:rsidP="00382995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2ECAC63" w14:textId="77777777" w:rsidR="00382995" w:rsidRPr="00641404" w:rsidRDefault="00382995" w:rsidP="0038299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67F4B418" w14:textId="07BE17AE" w:rsidR="00382995" w:rsidRPr="00641404" w:rsidRDefault="00195E07" w:rsidP="0038299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Activity</w:t>
      </w:r>
      <w:r w:rsidR="00382995" w:rsidRPr="00641404">
        <w:rPr>
          <w:rFonts w:ascii="Segoe UI" w:hAnsi="Segoe UI" w:cs="Segoe UI"/>
          <w:sz w:val="20"/>
          <w:szCs w:val="20"/>
        </w:rPr>
        <w:tab/>
      </w:r>
      <w:r w:rsidR="00382995" w:rsidRPr="00641404">
        <w:rPr>
          <w:rFonts w:ascii="Segoe UI" w:hAnsi="Segoe UI" w:cs="Segoe UI"/>
          <w:sz w:val="20"/>
          <w:szCs w:val="20"/>
        </w:rPr>
        <w:tab/>
        <w:t xml:space="preserve">: </w:t>
      </w:r>
      <w:r w:rsidR="0079089C">
        <w:rPr>
          <w:rFonts w:ascii="Segoe UI" w:hAnsi="Segoe UI" w:cs="Segoe UI"/>
          <w:sz w:val="20"/>
          <w:szCs w:val="20"/>
        </w:rPr>
        <w:t xml:space="preserve">Node-RED Dashboard for </w:t>
      </w:r>
      <w:r>
        <w:rPr>
          <w:rFonts w:ascii="Segoe UI" w:hAnsi="Segoe UI" w:cs="Segoe UI"/>
          <w:sz w:val="20"/>
          <w:szCs w:val="20"/>
        </w:rPr>
        <w:t xml:space="preserve">AWS </w:t>
      </w:r>
      <w:r w:rsidR="00EC4808">
        <w:rPr>
          <w:rFonts w:ascii="Segoe UI" w:hAnsi="Segoe UI" w:cs="Segoe UI"/>
          <w:sz w:val="20"/>
          <w:szCs w:val="20"/>
        </w:rPr>
        <w:t>IoT Core</w:t>
      </w:r>
    </w:p>
    <w:p w14:paraId="31ADEE16" w14:textId="77777777" w:rsidR="00382995" w:rsidRPr="00F81E1B" w:rsidRDefault="00382995" w:rsidP="00382995">
      <w:pPr>
        <w:spacing w:after="0" w:line="240" w:lineRule="auto"/>
        <w:contextualSpacing/>
        <w:jc w:val="both"/>
        <w:rPr>
          <w:rFonts w:ascii="Segoe UI" w:hAnsi="Segoe UI" w:cs="Segoe UI"/>
          <w:bCs/>
          <w:sz w:val="20"/>
          <w:szCs w:val="20"/>
        </w:rPr>
      </w:pPr>
    </w:p>
    <w:p w14:paraId="78939502" w14:textId="3A8FC9BC" w:rsidR="00195E07" w:rsidRPr="00641404" w:rsidRDefault="00195E07" w:rsidP="00195E07">
      <w:pPr>
        <w:spacing w:after="0" w:line="240" w:lineRule="auto"/>
        <w:ind w:left="2160" w:hanging="2160"/>
        <w:contextualSpacing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Goal</w:t>
      </w:r>
      <w:r w:rsidR="00382995" w:rsidRPr="00641404">
        <w:rPr>
          <w:rFonts w:ascii="Segoe UI" w:hAnsi="Segoe UI" w:cs="Segoe UI"/>
          <w:sz w:val="20"/>
          <w:szCs w:val="20"/>
        </w:rPr>
        <w:tab/>
        <w:t xml:space="preserve">: </w:t>
      </w:r>
      <w:r w:rsidR="005771F2">
        <w:rPr>
          <w:rFonts w:ascii="Segoe UI" w:hAnsi="Segoe UI" w:cs="Segoe UI"/>
          <w:sz w:val="20"/>
          <w:szCs w:val="20"/>
        </w:rPr>
        <w:t>Place</w:t>
      </w:r>
      <w:r w:rsidR="0079089C">
        <w:rPr>
          <w:rFonts w:ascii="Segoe UI" w:hAnsi="Segoe UI" w:cs="Segoe UI"/>
          <w:sz w:val="20"/>
          <w:szCs w:val="20"/>
        </w:rPr>
        <w:t xml:space="preserve"> the data coming from AWS IoT Core on</w:t>
      </w:r>
      <w:r w:rsidR="005771F2">
        <w:rPr>
          <w:rFonts w:ascii="Segoe UI" w:hAnsi="Segoe UI" w:cs="Segoe UI"/>
          <w:sz w:val="20"/>
          <w:szCs w:val="20"/>
        </w:rPr>
        <w:t>to</w:t>
      </w:r>
      <w:r w:rsidR="0079089C">
        <w:rPr>
          <w:rFonts w:ascii="Segoe UI" w:hAnsi="Segoe UI" w:cs="Segoe UI"/>
          <w:sz w:val="20"/>
          <w:szCs w:val="20"/>
        </w:rPr>
        <w:t xml:space="preserve"> </w:t>
      </w:r>
      <w:r w:rsidR="005771F2">
        <w:rPr>
          <w:rFonts w:ascii="Segoe UI" w:hAnsi="Segoe UI" w:cs="Segoe UI"/>
          <w:sz w:val="20"/>
          <w:szCs w:val="20"/>
        </w:rPr>
        <w:t xml:space="preserve">a </w:t>
      </w:r>
      <w:r w:rsidR="0079089C">
        <w:rPr>
          <w:rFonts w:ascii="Segoe UI" w:hAnsi="Segoe UI" w:cs="Segoe UI"/>
          <w:sz w:val="20"/>
          <w:szCs w:val="20"/>
        </w:rPr>
        <w:t>Node-RED Dashboard</w:t>
      </w:r>
    </w:p>
    <w:p w14:paraId="35A98423" w14:textId="77777777" w:rsidR="00382995" w:rsidRPr="00F81E1B" w:rsidRDefault="00382995" w:rsidP="00382995">
      <w:pPr>
        <w:spacing w:after="0" w:line="240" w:lineRule="auto"/>
        <w:contextualSpacing/>
        <w:jc w:val="both"/>
        <w:rPr>
          <w:rFonts w:ascii="Segoe UI" w:hAnsi="Segoe UI" w:cs="Segoe UI"/>
          <w:sz w:val="20"/>
          <w:szCs w:val="20"/>
        </w:rPr>
      </w:pPr>
    </w:p>
    <w:p w14:paraId="58C3D95C" w14:textId="01121754" w:rsidR="00382995" w:rsidRDefault="0079089C" w:rsidP="00D617EE">
      <w:pPr>
        <w:pStyle w:val="Heading1"/>
      </w:pPr>
      <w:r>
        <w:t>Data coming from AWS IoT Core</w:t>
      </w:r>
    </w:p>
    <w:p w14:paraId="5122F6CB" w14:textId="0EC8B0DD" w:rsidR="0079089C" w:rsidRDefault="0079089C" w:rsidP="0079089C">
      <w:r>
        <w:t xml:space="preserve">Topic: </w:t>
      </w:r>
      <w:proofErr w:type="spellStart"/>
      <w:r w:rsidRPr="00C23DC0">
        <w:t>espeye</w:t>
      </w:r>
      <w:proofErr w:type="spellEnd"/>
      <w:r w:rsidRPr="00C23DC0">
        <w:t>/count</w:t>
      </w:r>
    </w:p>
    <w:p w14:paraId="4435D2FF" w14:textId="4EEC1723" w:rsidR="0079089C" w:rsidRDefault="0079089C" w:rsidP="0079089C">
      <w:r>
        <w:t>Message:</w:t>
      </w:r>
    </w:p>
    <w:bookmarkStart w:id="0" w:name="_MON_1747749974"/>
    <w:bookmarkEnd w:id="0"/>
    <w:p w14:paraId="52406CA9" w14:textId="2B387091" w:rsidR="0079089C" w:rsidRDefault="0079089C" w:rsidP="0079089C">
      <w:r>
        <w:object w:dxaOrig="9026" w:dyaOrig="714" w14:anchorId="74C4C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5.5pt" o:ole="">
            <v:imagedata r:id="rId6" o:title=""/>
          </v:shape>
          <o:OLEObject Type="Embed" ProgID="Word.OpenDocumentText.12" ShapeID="_x0000_i1025" DrawAspect="Content" ObjectID="_1747755029" r:id="rId7"/>
        </w:object>
      </w:r>
    </w:p>
    <w:p w14:paraId="1BA3B531" w14:textId="71776016" w:rsidR="00F60F15" w:rsidRDefault="00F60F15" w:rsidP="00F60F15">
      <w:pPr>
        <w:pStyle w:val="Heading1"/>
      </w:pPr>
      <w:r>
        <w:t xml:space="preserve">Node-RED is a “thing” from the view of </w:t>
      </w:r>
      <w:r>
        <w:t>AWS IoT Core</w:t>
      </w:r>
    </w:p>
    <w:p w14:paraId="37463673" w14:textId="356B01BF" w:rsidR="00F60F15" w:rsidRDefault="00F60F15" w:rsidP="0079089C">
      <w:r>
        <w:t>On AWS IoT management console, c</w:t>
      </w:r>
      <w:r>
        <w:t>reate a “thing”</w:t>
      </w:r>
      <w:r>
        <w:t>,</w:t>
      </w:r>
      <w:r>
        <w:t xml:space="preserve"> </w:t>
      </w:r>
      <w:r>
        <w:t>as shown below.</w:t>
      </w:r>
    </w:p>
    <w:p w14:paraId="46B05871" w14:textId="71B66CAD" w:rsidR="00F60F15" w:rsidRDefault="00F60F15" w:rsidP="00F60F15">
      <w:pPr>
        <w:jc w:val="center"/>
      </w:pPr>
      <w:r>
        <w:rPr>
          <w:noProof/>
        </w:rPr>
        <w:drawing>
          <wp:inline distT="0" distB="0" distL="0" distR="0" wp14:anchorId="318D9122" wp14:editId="73B219CB">
            <wp:extent cx="4972050" cy="2135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80" cy="213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668F" w14:textId="0AB7B980" w:rsidR="00F60F15" w:rsidRDefault="00F60F15" w:rsidP="0079089C">
      <w:r>
        <w:t>Choose the option to auto-generate a new device certificate. Then download all the four files, as shown below.</w:t>
      </w:r>
    </w:p>
    <w:p w14:paraId="455416E7" w14:textId="7AB2F69F" w:rsidR="00F60F15" w:rsidRDefault="00F60F15" w:rsidP="00F60F15">
      <w:pPr>
        <w:jc w:val="center"/>
      </w:pPr>
      <w:r>
        <w:rPr>
          <w:noProof/>
        </w:rPr>
        <w:lastRenderedPageBreak/>
        <w:drawing>
          <wp:inline distT="0" distB="0" distL="0" distR="0" wp14:anchorId="1A3739F9" wp14:editId="221DDA11">
            <wp:extent cx="3048000" cy="34171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29" cy="34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0FE8" w14:textId="7250E5A4" w:rsidR="001253BA" w:rsidRDefault="001253BA" w:rsidP="001253BA">
      <w:pPr>
        <w:pStyle w:val="Heading2"/>
      </w:pPr>
      <w:r>
        <w:t>Attach Policy to the “thing”</w:t>
      </w:r>
    </w:p>
    <w:p w14:paraId="3EAC242D" w14:textId="5775D732" w:rsidR="00D51B32" w:rsidRDefault="00D51B32" w:rsidP="00D51B32">
      <w:r>
        <w:t xml:space="preserve">Attach the </w:t>
      </w:r>
      <w:proofErr w:type="spellStart"/>
      <w:r>
        <w:t>micorbot</w:t>
      </w:r>
      <w:proofErr w:type="spellEnd"/>
      <w:r>
        <w:t>-policy to the “thing”.</w:t>
      </w:r>
    </w:p>
    <w:p w14:paraId="7A61F5A0" w14:textId="1E22C02B" w:rsidR="001253BA" w:rsidRDefault="001253BA" w:rsidP="00D51B32">
      <w:r>
        <w:rPr>
          <w:noProof/>
        </w:rPr>
        <w:drawing>
          <wp:inline distT="0" distB="0" distL="0" distR="0" wp14:anchorId="4DCFD169" wp14:editId="3205A8A0">
            <wp:extent cx="5721350" cy="22796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FC91" w14:textId="662C94D2" w:rsidR="00F60F15" w:rsidRDefault="00F60F15" w:rsidP="00F60F15">
      <w:pPr>
        <w:pStyle w:val="Heading1"/>
      </w:pPr>
      <w:r>
        <w:t>Configure MQTT IN node</w:t>
      </w:r>
    </w:p>
    <w:p w14:paraId="2F4346FD" w14:textId="4EA85B37" w:rsidR="006F6E40" w:rsidRDefault="00F60F15" w:rsidP="0079089C">
      <w:r>
        <w:t>On Node-Red, e</w:t>
      </w:r>
      <w:r w:rsidR="006F6E40">
        <w:t xml:space="preserve">nter the </w:t>
      </w:r>
      <w:r w:rsidR="00DB02AE">
        <w:t xml:space="preserve">MQTT </w:t>
      </w:r>
      <w:r w:rsidR="006F6E40">
        <w:t xml:space="preserve">topic </w:t>
      </w:r>
      <w:r w:rsidR="00E324A6">
        <w:t xml:space="preserve">that is </w:t>
      </w:r>
      <w:r w:rsidR="00DB02AE">
        <w:t xml:space="preserve">to be subscribed </w:t>
      </w:r>
      <w:r w:rsidR="006F6E40">
        <w:t>into the MQTT IN</w:t>
      </w:r>
      <w:r>
        <w:t>’s wizard</w:t>
      </w:r>
      <w:r w:rsidR="006F6E40">
        <w:t xml:space="preserve">. </w:t>
      </w:r>
      <w:bookmarkStart w:id="1" w:name="_GoBack"/>
      <w:bookmarkEnd w:id="1"/>
    </w:p>
    <w:p w14:paraId="538E7F53" w14:textId="32AD12AB" w:rsidR="006F6E40" w:rsidRDefault="006F6E40" w:rsidP="006F6E40">
      <w:pPr>
        <w:jc w:val="center"/>
      </w:pPr>
      <w:r>
        <w:rPr>
          <w:noProof/>
        </w:rPr>
        <w:lastRenderedPageBreak/>
        <w:drawing>
          <wp:inline distT="0" distB="0" distL="0" distR="0" wp14:anchorId="0C5C9D3E" wp14:editId="55DE945B">
            <wp:extent cx="3454400" cy="28972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55" cy="29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6168" w14:textId="77777777" w:rsidR="00A81A0C" w:rsidRDefault="006F6E40" w:rsidP="00A81A0C">
      <w:r>
        <w:t>Then click on the edit icon to specify the MQTT Server.</w:t>
      </w:r>
    </w:p>
    <w:p w14:paraId="295FB61B" w14:textId="0722CBA2" w:rsidR="008B359A" w:rsidRDefault="0079089C" w:rsidP="00DB02AE">
      <w:pPr>
        <w:pStyle w:val="Heading2"/>
      </w:pPr>
      <w:r>
        <w:t>MQTT Server</w:t>
      </w:r>
    </w:p>
    <w:p w14:paraId="5CEAB6A1" w14:textId="222C1ECB" w:rsidR="00DB02AE" w:rsidRPr="00DB02AE" w:rsidRDefault="00DB02AE" w:rsidP="00DB02AE">
      <w:r>
        <w:t xml:space="preserve">On </w:t>
      </w:r>
      <w:r>
        <w:t>AWS IoT Management Console</w:t>
      </w:r>
      <w:r>
        <w:t>, c</w:t>
      </w:r>
      <w:r>
        <w:t>opy the “endpoint” from</w:t>
      </w:r>
      <w:r>
        <w:t xml:space="preserve"> the Setting section, as shown below.</w:t>
      </w:r>
    </w:p>
    <w:p w14:paraId="48999AA6" w14:textId="511351BD" w:rsidR="0079089C" w:rsidRDefault="0079089C" w:rsidP="0079089C">
      <w:pPr>
        <w:jc w:val="center"/>
      </w:pPr>
      <w:r>
        <w:rPr>
          <w:noProof/>
        </w:rPr>
        <w:drawing>
          <wp:inline distT="0" distB="0" distL="0" distR="0" wp14:anchorId="59FE033D" wp14:editId="708F733B">
            <wp:extent cx="4294578" cy="170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71" cy="17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A868" w14:textId="6C8B7972" w:rsidR="0079089C" w:rsidRDefault="00A81A0C" w:rsidP="0079089C">
      <w:r>
        <w:t>I</w:t>
      </w:r>
      <w:r w:rsidR="006F6E40">
        <w:t xml:space="preserve">nsert </w:t>
      </w:r>
      <w:r w:rsidR="00DB02AE">
        <w:t xml:space="preserve">the URL (endpoint) </w:t>
      </w:r>
      <w:r w:rsidR="006F6E40">
        <w:t xml:space="preserve">into the MQTT </w:t>
      </w:r>
      <w:proofErr w:type="gramStart"/>
      <w:r w:rsidR="006F6E40">
        <w:t>In</w:t>
      </w:r>
      <w:r w:rsidR="00DB02AE">
        <w:t>’s</w:t>
      </w:r>
      <w:proofErr w:type="gramEnd"/>
      <w:r w:rsidR="006F6E40">
        <w:t xml:space="preserve"> wizard</w:t>
      </w:r>
      <w:r>
        <w:t xml:space="preserve"> </w:t>
      </w:r>
      <w:r w:rsidR="006F6E40">
        <w:t>as shown below.</w:t>
      </w:r>
    </w:p>
    <w:p w14:paraId="0FD2969F" w14:textId="1AAD304D" w:rsidR="000370D9" w:rsidRDefault="000370D9" w:rsidP="000370D9">
      <w:pPr>
        <w:jc w:val="center"/>
      </w:pPr>
      <w:r>
        <w:rPr>
          <w:noProof/>
        </w:rPr>
        <w:lastRenderedPageBreak/>
        <w:drawing>
          <wp:inline distT="0" distB="0" distL="0" distR="0" wp14:anchorId="4D9361DF" wp14:editId="232FE44E">
            <wp:extent cx="3993910" cy="32766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40" cy="327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F8C3" w14:textId="0DCCDB60" w:rsidR="006F6E40" w:rsidRPr="0079089C" w:rsidRDefault="00DB02AE" w:rsidP="006F6E40">
      <w:r>
        <w:t>Use the client ID of the “thing” you had earlier specified for Node-RED on AWS IoT Management console.</w:t>
      </w:r>
    </w:p>
    <w:p w14:paraId="6FD68841" w14:textId="3B7BA179" w:rsidR="00E73FAA" w:rsidRDefault="0079089C" w:rsidP="006F6E40">
      <w:pPr>
        <w:pStyle w:val="Heading2"/>
      </w:pPr>
      <w:r>
        <w:t>Port</w:t>
      </w:r>
    </w:p>
    <w:p w14:paraId="6043BF56" w14:textId="6EBBAEF4" w:rsidR="0079089C" w:rsidRDefault="0079089C" w:rsidP="0079089C">
      <w:pPr>
        <w:jc w:val="center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1"/>
          <w:szCs w:val="21"/>
        </w:rPr>
        <w:drawing>
          <wp:inline distT="0" distB="0" distL="0" distR="0" wp14:anchorId="76F2D413" wp14:editId="59619319">
            <wp:extent cx="5016500" cy="16573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87" cy="16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264" w14:textId="38F4052E" w:rsidR="0079089C" w:rsidRDefault="0079089C" w:rsidP="0079089C">
      <w:pPr>
        <w:rPr>
          <w:rFonts w:cstheme="minorHAnsi"/>
          <w:color w:val="333333"/>
        </w:rPr>
      </w:pPr>
      <w:r w:rsidRPr="006F6E40">
        <w:rPr>
          <w:rFonts w:cstheme="minorHAnsi"/>
          <w:color w:val="333333"/>
        </w:rPr>
        <w:t>Using MQTT with client certificate authentication on port 443 requires the use of the ALPN TLS extension.</w:t>
      </w:r>
    </w:p>
    <w:p w14:paraId="784C9717" w14:textId="67AC4AE8" w:rsidR="006F6E40" w:rsidRDefault="006F6E40" w:rsidP="006F6E40">
      <w:pPr>
        <w:pStyle w:val="Heading2"/>
      </w:pPr>
      <w:r>
        <w:t>Certificates</w:t>
      </w:r>
    </w:p>
    <w:p w14:paraId="04778597" w14:textId="5F4F6AB8" w:rsidR="006F6E40" w:rsidRPr="006F6E40" w:rsidRDefault="006F6E40" w:rsidP="0079089C">
      <w:pPr>
        <w:rPr>
          <w:rFonts w:cstheme="minorHAnsi"/>
        </w:rPr>
      </w:pPr>
      <w:r>
        <w:rPr>
          <w:rFonts w:cstheme="minorHAnsi"/>
        </w:rPr>
        <w:t xml:space="preserve">Click on the edit icon for “Use TLS” and a new wizard as shown below will appear. The FULL paths of the certificates and keys must be entered into the wizard. </w:t>
      </w:r>
      <w:r w:rsidR="00DB02AE">
        <w:rPr>
          <w:rFonts w:cstheme="minorHAnsi"/>
        </w:rPr>
        <w:t xml:space="preserve">No spacing should be used in the paths. </w:t>
      </w:r>
    </w:p>
    <w:p w14:paraId="63E3B241" w14:textId="04194F3E" w:rsidR="008B359A" w:rsidRDefault="00CF2B6E" w:rsidP="008B359A">
      <w:pPr>
        <w:jc w:val="center"/>
      </w:pPr>
      <w:r>
        <w:rPr>
          <w:noProof/>
        </w:rPr>
        <w:lastRenderedPageBreak/>
        <w:drawing>
          <wp:inline distT="0" distB="0" distL="0" distR="0" wp14:anchorId="7B0720AF" wp14:editId="5E39D479">
            <wp:extent cx="3587750" cy="4118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40" cy="412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A792" w14:textId="6B991945" w:rsidR="006F6E40" w:rsidRDefault="006F6E40" w:rsidP="006F6E40">
      <w:r>
        <w:t>The ALPN protocol should be as shown above.</w:t>
      </w:r>
    </w:p>
    <w:p w14:paraId="6B6B5ACF" w14:textId="7DB87374" w:rsidR="00CF2B6E" w:rsidRDefault="00685EE9" w:rsidP="00685EE9">
      <w:pPr>
        <w:pStyle w:val="Heading1"/>
      </w:pPr>
      <w:r>
        <w:t>Node-RED Flow</w:t>
      </w:r>
    </w:p>
    <w:p w14:paraId="27A354D5" w14:textId="6BAEFBF4" w:rsidR="00685EE9" w:rsidRDefault="00685EE9" w:rsidP="00685EE9">
      <w:pPr>
        <w:jc w:val="center"/>
      </w:pPr>
      <w:r>
        <w:rPr>
          <w:noProof/>
        </w:rPr>
        <w:drawing>
          <wp:inline distT="0" distB="0" distL="0" distR="0" wp14:anchorId="42303640" wp14:editId="6AC81761">
            <wp:extent cx="3263900" cy="1174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B1D5" w14:textId="585B7C46" w:rsidR="00685EE9" w:rsidRDefault="00685EE9" w:rsidP="00685EE9">
      <w:r>
        <w:t>If the green “connected” square does not appear when the flow is deplo</w:t>
      </w:r>
      <w:r w:rsidR="005771F2">
        <w:t>y</w:t>
      </w:r>
      <w:r>
        <w:t>ed, look for the debug messages for clue.</w:t>
      </w:r>
      <w:r w:rsidR="005771F2">
        <w:t xml:space="preserve"> If there is no clue there, it could be that there is no policy attached to the “thing” yet.</w:t>
      </w:r>
    </w:p>
    <w:p w14:paraId="4111A671" w14:textId="7C621CDE" w:rsidR="005771F2" w:rsidRDefault="005771F2" w:rsidP="005771F2">
      <w:pPr>
        <w:pStyle w:val="Heading2"/>
      </w:pPr>
      <w:r>
        <w:t>Template node</w:t>
      </w:r>
    </w:p>
    <w:bookmarkStart w:id="2" w:name="_MON_1747754776"/>
    <w:bookmarkEnd w:id="2"/>
    <w:p w14:paraId="5AFA65C3" w14:textId="53ED7DF5" w:rsidR="005771F2" w:rsidRDefault="005771F2" w:rsidP="00685EE9">
      <w:r>
        <w:object w:dxaOrig="9026" w:dyaOrig="855" w14:anchorId="6296C5CC">
          <v:shape id="_x0000_i1044" type="#_x0000_t75" style="width:451.5pt;height:43pt" o:ole="">
            <v:imagedata r:id="rId17" o:title=""/>
          </v:shape>
          <o:OLEObject Type="Embed" ProgID="Word.OpenDocumentText.12" ShapeID="_x0000_i1044" DrawAspect="Content" ObjectID="_1747755030" r:id="rId18"/>
        </w:object>
      </w:r>
    </w:p>
    <w:p w14:paraId="5906054E" w14:textId="3A2EFE5F" w:rsidR="005771F2" w:rsidRDefault="005771F2" w:rsidP="005771F2">
      <w:pPr>
        <w:pStyle w:val="Heading2"/>
      </w:pPr>
      <w:r>
        <w:lastRenderedPageBreak/>
        <w:t>Dashboard</w:t>
      </w:r>
    </w:p>
    <w:p w14:paraId="37E1511D" w14:textId="1BF58C70" w:rsidR="005771F2" w:rsidRDefault="005771F2" w:rsidP="00685EE9">
      <w:r>
        <w:rPr>
          <w:noProof/>
        </w:rPr>
        <w:drawing>
          <wp:inline distT="0" distB="0" distL="0" distR="0" wp14:anchorId="0FDB2E45" wp14:editId="668B9665">
            <wp:extent cx="5727700" cy="15748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55C4" w14:textId="77777777" w:rsidR="005771F2" w:rsidRDefault="005771F2" w:rsidP="00685EE9"/>
    <w:sectPr w:rsidR="0057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639A7"/>
    <w:multiLevelType w:val="hybridMultilevel"/>
    <w:tmpl w:val="B3A67D48"/>
    <w:lvl w:ilvl="0" w:tplc="8D0EC9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BE3C9B"/>
    <w:multiLevelType w:val="hybridMultilevel"/>
    <w:tmpl w:val="7722BA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5C1D34"/>
    <w:multiLevelType w:val="hybridMultilevel"/>
    <w:tmpl w:val="4A9819D8"/>
    <w:lvl w:ilvl="0" w:tplc="4BEAA0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50A57"/>
    <w:multiLevelType w:val="hybridMultilevel"/>
    <w:tmpl w:val="B3A67D48"/>
    <w:lvl w:ilvl="0" w:tplc="8D0EC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7E32"/>
    <w:multiLevelType w:val="hybridMultilevel"/>
    <w:tmpl w:val="E6863A38"/>
    <w:lvl w:ilvl="0" w:tplc="8D0EC9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FA"/>
    <w:rsid w:val="000370D9"/>
    <w:rsid w:val="000776FA"/>
    <w:rsid w:val="00087893"/>
    <w:rsid w:val="001253BA"/>
    <w:rsid w:val="00195E07"/>
    <w:rsid w:val="00382995"/>
    <w:rsid w:val="00395E98"/>
    <w:rsid w:val="003D6378"/>
    <w:rsid w:val="0040786C"/>
    <w:rsid w:val="00415DE5"/>
    <w:rsid w:val="00486E30"/>
    <w:rsid w:val="004C045D"/>
    <w:rsid w:val="00576D1D"/>
    <w:rsid w:val="005771F2"/>
    <w:rsid w:val="005A3D8B"/>
    <w:rsid w:val="00685EE9"/>
    <w:rsid w:val="006F6E40"/>
    <w:rsid w:val="00721844"/>
    <w:rsid w:val="0079089C"/>
    <w:rsid w:val="00835A79"/>
    <w:rsid w:val="0089317E"/>
    <w:rsid w:val="008B359A"/>
    <w:rsid w:val="0098307F"/>
    <w:rsid w:val="009A095D"/>
    <w:rsid w:val="00A24F4D"/>
    <w:rsid w:val="00A277D8"/>
    <w:rsid w:val="00A3598A"/>
    <w:rsid w:val="00A81A0C"/>
    <w:rsid w:val="00AC3E22"/>
    <w:rsid w:val="00AF0AF6"/>
    <w:rsid w:val="00C23DC0"/>
    <w:rsid w:val="00CB44D5"/>
    <w:rsid w:val="00CF2B6E"/>
    <w:rsid w:val="00D07B65"/>
    <w:rsid w:val="00D51B32"/>
    <w:rsid w:val="00D617EE"/>
    <w:rsid w:val="00DB02AE"/>
    <w:rsid w:val="00E324A6"/>
    <w:rsid w:val="00E73FAA"/>
    <w:rsid w:val="00EC4808"/>
    <w:rsid w:val="00ED0443"/>
    <w:rsid w:val="00F015F2"/>
    <w:rsid w:val="00F2006B"/>
    <w:rsid w:val="00F60F15"/>
    <w:rsid w:val="00F6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C2DF"/>
  <w15:chartTrackingRefBased/>
  <w15:docId w15:val="{C68C73F7-F036-4583-8037-CB6008C6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57F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7EE"/>
    <w:pPr>
      <w:keepNext/>
      <w:keepLines/>
      <w:spacing w:before="240" w:after="240"/>
      <w:outlineLvl w:val="0"/>
    </w:pPr>
    <w:rPr>
      <w:rFonts w:ascii="Segoe UI" w:eastAsiaTheme="majorEastAsia" w:hAnsi="Segoe UI" w:cstheme="majorBidi"/>
      <w:b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40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57F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E40"/>
    <w:rPr>
      <w:rFonts w:asciiTheme="majorHAnsi" w:eastAsiaTheme="majorEastAsia" w:hAnsiTheme="majorHAnsi" w:cstheme="majorBidi"/>
      <w:color w:val="2F5496" w:themeColor="accent1" w:themeShade="BF"/>
      <w:sz w:val="24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635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17EE"/>
    <w:rPr>
      <w:rFonts w:ascii="Segoe UI" w:eastAsiaTheme="majorEastAsia" w:hAnsi="Segoe UI" w:cstheme="majorBidi"/>
      <w:b/>
      <w:sz w:val="20"/>
      <w:szCs w:val="32"/>
      <w:lang w:val="en-US" w:eastAsia="en-US"/>
    </w:rPr>
  </w:style>
  <w:style w:type="paragraph" w:styleId="NoSpacing">
    <w:name w:val="No Spacing"/>
    <w:uiPriority w:val="1"/>
    <w:qFormat/>
    <w:rsid w:val="00C23DC0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SCSC</dc:creator>
  <cp:keywords/>
  <dc:description/>
  <cp:lastModifiedBy>SCSC</cp:lastModifiedBy>
  <cp:revision>29</cp:revision>
  <dcterms:created xsi:type="dcterms:W3CDTF">2023-06-08T01:04:00Z</dcterms:created>
  <dcterms:modified xsi:type="dcterms:W3CDTF">2023-06-08T10:43:00Z</dcterms:modified>
</cp:coreProperties>
</file>