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p>
    <w:p>
      <w:pPr>
        <w:pBdr>
          <w:bottom w:val="single" w:color="C9993A" w:sz="8" w:space="8"/>
        </w:pBdr>
        <w:spacing w:after="0" w:before="0"/>
        <w:jc w:val="center"/>
      </w:pPr>
      <w:r>
        <w:rPr>
          <w:rFonts w:ascii="Arial" w:cs="Arial" w:eastAsia="Arial" w:hAnsi="Arial"/>
          <w:b/>
          <w:bCs/>
          <w:color w:val="1A1A2E"/>
          <w:sz w:val="52"/>
          <w:szCs w:val="52"/>
        </w:rPr>
        <w:t xml:space="preserve">SUDAN LIBRARY</w:t>
      </w:r>
    </w:p>
    <w:p>
      <w:pPr>
        <w:spacing w:after="40" w:before="40"/>
      </w:pPr>
    </w:p>
    <w:p>
      <w:pPr>
        <w:spacing w:after="40" w:before="40"/>
        <w:jc w:val="center"/>
      </w:pPr>
      <w:r>
        <w:rPr>
          <w:rFonts w:ascii="Arial" w:cs="Arial" w:eastAsia="Arial" w:hAnsi="Arial"/>
          <w:color w:val="2E5977"/>
          <w:sz w:val="36"/>
          <w:szCs w:val="36"/>
        </w:rPr>
        <w:t xml:space="preserve">PDF Collection Analysis</w:t>
      </w:r>
    </w:p>
    <w:p>
      <w:pPr>
        <w:spacing w:after="60" w:before="60"/>
      </w:pPr>
    </w:p>
    <w:p>
      <w:pPr>
        <w:jc w:val="center"/>
      </w:pPr>
      <w:r>
        <w:rPr>
          <w:rFonts w:ascii="Arial" w:cs="Arial" w:eastAsia="Arial" w:hAnsi="Arial"/>
          <w:i/>
          <w:iCs/>
          <w:color w:val="666666"/>
          <w:sz w:val="24"/>
          <w:szCs w:val="24"/>
        </w:rPr>
        <w:t xml:space="preserve">Most Impactful Paper  ·  Thematic Connection Map</w:t>
      </w:r>
    </w:p>
    <w:p>
      <w:pPr>
        <w:spacing w:after="80" w:before="40"/>
      </w:pPr>
    </w:p>
    <w:p>
      <w:pPr>
        <w:jc w:val="center"/>
      </w:pPr>
      <w:r>
        <w:rPr>
          <w:rFonts w:ascii="Arial" w:cs="Arial" w:eastAsia="Arial" w:hAnsi="Arial"/>
          <w:color w:val="888888"/>
          <w:sz w:val="22"/>
          <w:szCs w:val="22"/>
        </w:rPr>
        <w:t xml:space="preserve">Focus: Economic Development · Urban Planning</w:t>
      </w:r>
    </w:p>
    <w:p>
      <w:pPr>
        <w:spacing w:after="80" w:before="40"/>
      </w:pPr>
    </w:p>
    <w:p>
      <w:pPr>
        <w:jc w:val="center"/>
      </w:pPr>
      <w:r>
        <w:rPr>
          <w:rFonts w:ascii="Arial" w:cs="Arial" w:eastAsia="Arial" w:hAnsi="Arial"/>
          <w:color w:val="AAAAAA"/>
          <w:sz w:val="20"/>
          <w:szCs w:val="20"/>
        </w:rPr>
        <w:t xml:space="preserve">June 2026</w:t>
      </w:r>
    </w:p>
    <w:p>
      <w:pPr>
        <w:spacing w:after="80" w:before="400"/>
      </w:pPr>
    </w:p>
    <w:p>
      <w:r>
        <w:br w:type="page"/>
      </w:r>
    </w:p>
    <w:p>
      <w:pPr>
        <w:pStyle w:val="Heading1"/>
        <w:spacing w:after="160" w:before="360"/>
      </w:pPr>
      <w:r>
        <w:rPr>
          <w:rFonts w:ascii="Arial" w:cs="Arial" w:eastAsia="Arial" w:hAnsi="Arial"/>
          <w:b/>
          <w:bCs/>
          <w:color w:val="1A1A2E"/>
          <w:sz w:val="32"/>
          <w:szCs w:val="32"/>
        </w:rPr>
        <w:t xml:space="preserve">★  Most Impactful Paper</w:t>
      </w:r>
    </w:p>
    <w:p>
      <w:pPr>
        <w:pBdr>
          <w:bottom w:val="single" w:color="C9993A" w:sz="4" w:space="1"/>
        </w:pBdr>
        <w:spacing w:after="120" w:before="120"/>
      </w:pPr>
    </w:p>
    <w:p>
      <w:pPr>
        <w:spacing w:after="80" w:before="80"/>
      </w:pPr>
    </w:p>
    <w:p>
      <w:pPr>
        <w:pStyle w:val="Heading2"/>
        <w:spacing w:after="100" w:before="280"/>
      </w:pPr>
      <w:r>
        <w:rPr>
          <w:rFonts w:ascii="Arial" w:cs="Arial" w:eastAsia="Arial" w:hAnsi="Arial"/>
          <w:b/>
          <w:bCs/>
          <w:color w:val="2E5977"/>
          <w:sz w:val="26"/>
          <w:szCs w:val="26"/>
        </w:rPr>
        <w:t xml:space="preserve">Recommendation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200"/>
              <w:left w:type="dxa" w:w="240"/>
              <w:bottom w:type="dxa" w:w="200"/>
              <w:right w:type="dxa" w:w="240"/>
            </w:tcMar>
          </w:tcPr>
          <w:p>
            <w:pPr>
              <w:spacing w:after="80" w:before="0"/>
            </w:pPr>
            <w:r>
              <w:rPr>
                <w:rFonts w:ascii="Arial" w:cs="Arial" w:eastAsia="Arial" w:hAnsi="Arial"/>
                <w:b/>
                <w:bCs/>
                <w:color w:val="1A1A2E"/>
                <w:sz w:val="26"/>
                <w:szCs w:val="26"/>
              </w:rPr>
              <w:t xml:space="preserve">Sudan Country Economic Memorandum: </w:t>
            </w:r>
            <w:r>
              <w:rPr>
                <w:rFonts w:ascii="Arial" w:cs="Arial" w:eastAsia="Arial" w:hAnsi="Arial"/>
                <w:color w:val="1A1A2E"/>
                <w:sz w:val="26"/>
                <w:szCs w:val="26"/>
              </w:rPr>
              <w:t xml:space="preserve">Realizing the Potential for Diversified Development</w:t>
            </w:r>
          </w:p>
          <w:p>
            <w:pPr>
              <w:spacing w:after="0" w:before="0"/>
            </w:pPr>
            <w:r>
              <w:rPr>
                <w:rFonts w:ascii="Arial" w:cs="Arial" w:eastAsia="Arial" w:hAnsi="Arial"/>
                <w:i/>
                <w:iCs/>
                <w:color w:val="888888"/>
                <w:sz w:val="20"/>
                <w:szCs w:val="20"/>
              </w:rPr>
              <w:t xml:space="preserve">World Bank  ·  2015  ·  226 pages</w:t>
            </w:r>
          </w:p>
        </w:tc>
      </w:tr>
    </w:tbl>
    <w:p>
      <w:pPr>
        <w:spacing w:after="80" w:before="160"/>
      </w:pPr>
    </w:p>
    <w:p>
      <w:pPr>
        <w:pStyle w:val="Heading2"/>
        <w:spacing w:after="100" w:before="280"/>
      </w:pPr>
      <w:r>
        <w:rPr>
          <w:rFonts w:ascii="Arial" w:cs="Arial" w:eastAsia="Arial" w:hAnsi="Arial"/>
          <w:b/>
          <w:bCs/>
          <w:color w:val="2E5977"/>
          <w:sz w:val="26"/>
          <w:szCs w:val="26"/>
        </w:rPr>
        <w:t xml:space="preserve">Why this paper stands above all others</w:t>
      </w:r>
    </w:p>
    <w:p>
      <w:pPr>
        <w:spacing w:after="80" w:before="80"/>
      </w:pPr>
    </w:p>
    <w:p>
      <w:pPr>
        <w:spacing w:after="80" w:before="80" w:line="320"/>
      </w:pPr>
      <w:r>
        <w:rPr>
          <w:rFonts w:ascii="Arial" w:cs="Arial" w:eastAsia="Arial" w:hAnsi="Arial"/>
          <w:sz w:val="22"/>
          <w:szCs w:val="22"/>
        </w:rPr>
        <w:t xml:space="preserve">After reading across the full collection — economic development, urban planning, agriculture, water, heritage, and infrastructure — the World Bank CEM is the clear standout. It is not the most exciting paper in the collection, but it is the most consequential.</w:t>
      </w:r>
    </w:p>
    <w:p>
      <w:pPr>
        <w:spacing w:after="80" w:before="100"/>
      </w:pPr>
    </w:p>
    <w:p>
      <w:pPr>
        <w:spacing w:after="80" w:before="200"/>
      </w:pPr>
      <w:r>
        <w:rPr>
          <w:rFonts w:ascii="Arial" w:cs="Arial" w:eastAsia="Arial" w:hAnsi="Arial"/>
          <w:b/>
          <w:bCs/>
          <w:color w:val="1A1A2E"/>
          <w:sz w:val="22"/>
          <w:szCs w:val="22"/>
        </w:rPr>
        <w:t xml:space="preserve">1.  It diagnoses the exact crisis Sudan faces</w:t>
      </w:r>
    </w:p>
    <w:p>
      <w:pPr>
        <w:spacing w:after="80" w:before="60"/>
      </w:pPr>
    </w:p>
    <w:p>
      <w:pPr>
        <w:spacing w:after="80" w:before="80" w:line="320"/>
      </w:pPr>
      <w:r>
        <w:rPr>
          <w:rFonts w:ascii="Arial" w:cs="Arial" w:eastAsia="Arial" w:hAnsi="Arial"/>
          <w:sz w:val="22"/>
          <w:szCs w:val="22"/>
        </w:rPr>
        <w:t xml:space="preserve">Sudan lost 75% of its fiscal revenue when South Sudan separated in 2011, taking the oil fields with it. At the same moment, the Gezira Scheme — the 900,000-hectare irrigation system that once made Sudan the bread basket of the Arab world — was so degraded that the President publicly declared it a failure in 2014. The CEM was written at this precise inflection point, making it the most directly applicable document in the collection to Sudan's current structural crisis.</w:t>
      </w:r>
    </w:p>
    <w:p>
      <w:pPr>
        <w:spacing w:after="80" w:before="100"/>
      </w:pPr>
    </w:p>
    <w:p>
      <w:pPr>
        <w:spacing w:after="80" w:before="200"/>
      </w:pPr>
      <w:r>
        <w:rPr>
          <w:rFonts w:ascii="Arial" w:cs="Arial" w:eastAsia="Arial" w:hAnsi="Arial"/>
          <w:b/>
          <w:bCs/>
          <w:color w:val="1A1A2E"/>
          <w:sz w:val="22"/>
          <w:szCs w:val="22"/>
        </w:rPr>
        <w:t xml:space="preserve">2.  It offers quantified, actionable pathways out</w:t>
      </w:r>
    </w:p>
    <w:p>
      <w:pPr>
        <w:spacing w:after="80" w:before="60"/>
      </w:pPr>
    </w:p>
    <w:p>
      <w:pPr>
        <w:spacing w:after="80" w:before="80" w:line="320"/>
      </w:pPr>
      <w:r>
        <w:rPr>
          <w:rFonts w:ascii="Arial" w:cs="Arial" w:eastAsia="Arial" w:hAnsi="Arial"/>
          <w:sz w:val="22"/>
          <w:szCs w:val="22"/>
        </w:rPr>
        <w:t xml:space="preserve">Most papers in this collection diagnose problems. The CEM goes further: it models outcomes. Its core finding is that a 2% increase in crop agriculture productivity would raise Sudan's GDP growth by approximately 1 percentage point per year and reduce the poverty rate from a projected 38.4% baseline to 29.4% by 2030 — lifting millions of people out of poverty from a single sector intervention. This kind of quantified causal chain is rare and invaluable for prioritization.</w:t>
      </w:r>
    </w:p>
    <w:p>
      <w:pPr>
        <w:spacing w:after="80" w:before="100"/>
      </w:pPr>
    </w:p>
    <w:p>
      <w:pPr>
        <w:spacing w:after="80" w:before="200"/>
      </w:pPr>
      <w:r>
        <w:rPr>
          <w:rFonts w:ascii="Arial" w:cs="Arial" w:eastAsia="Arial" w:hAnsi="Arial"/>
          <w:b/>
          <w:bCs/>
          <w:color w:val="1A1A2E"/>
          <w:sz w:val="22"/>
          <w:szCs w:val="22"/>
        </w:rPr>
        <w:t xml:space="preserve">3.  It maps the full diversification pathway</w:t>
      </w:r>
    </w:p>
    <w:p>
      <w:pPr>
        <w:spacing w:after="80" w:before="60"/>
      </w:pPr>
    </w:p>
    <w:p>
      <w:pPr>
        <w:spacing w:after="80" w:before="80" w:line="320"/>
      </w:pPr>
      <w:r>
        <w:rPr>
          <w:rFonts w:ascii="Arial" w:cs="Arial" w:eastAsia="Arial" w:hAnsi="Arial"/>
          <w:sz w:val="22"/>
          <w:szCs w:val="22"/>
        </w:rPr>
        <w:t xml:space="preserve">The CEM lays out a three-stage development ladder: first, revive agriculture (the only sector with genuine comparative advantage post-oil); second, build agro-processing to capture more value from crops like sesame, gum arabic, and sorghum; third, use agro-processing as a platform for light manufacturing. This is not generic advice — it is a sequenced strategy grounded in Sudan's specific endowments and constraints.</w:t>
      </w:r>
    </w:p>
    <w:p>
      <w:pPr>
        <w:spacing w:after="80" w:before="100"/>
      </w:pPr>
    </w:p>
    <w:p>
      <w:pPr>
        <w:spacing w:after="80" w:before="200"/>
      </w:pPr>
      <w:r>
        <w:rPr>
          <w:rFonts w:ascii="Arial" w:cs="Arial" w:eastAsia="Arial" w:hAnsi="Arial"/>
          <w:b/>
          <w:bCs/>
          <w:color w:val="1A1A2E"/>
          <w:sz w:val="22"/>
          <w:szCs w:val="22"/>
        </w:rPr>
        <w:t xml:space="preserve">4.  It identifies the binding constraints precisely</w:t>
      </w:r>
    </w:p>
    <w:p>
      <w:pPr>
        <w:spacing w:after="80" w:before="60"/>
      </w:pPr>
    </w:p>
    <w:p>
      <w:pPr>
        <w:spacing w:after="80" w:before="80" w:line="320"/>
      </w:pPr>
      <w:r>
        <w:rPr>
          <w:rFonts w:ascii="Arial" w:cs="Arial" w:eastAsia="Arial" w:hAnsi="Arial"/>
          <w:sz w:val="22"/>
          <w:szCs w:val="22"/>
        </w:rPr>
        <w:t xml:space="preserve">Sudan's fertilizer use is 7.3 kg per hectare versus Ethiopia's 17 kg/ha. The real exchange rate has been overvalued for 40 years, systematically penalizing agricultural exporters. These are specific, measurable constraints that can be targeted by policy. No other paper in the collection provides this level of analytical specificity.</w:t>
      </w:r>
    </w:p>
    <w:p>
      <w:pPr>
        <w:spacing w:after="80" w:before="100"/>
      </w:pPr>
    </w:p>
    <w:p>
      <w:pPr>
        <w:spacing w:after="80" w:before="200"/>
      </w:pPr>
      <w:r>
        <w:rPr>
          <w:rFonts w:ascii="Arial" w:cs="Arial" w:eastAsia="Arial" w:hAnsi="Arial"/>
          <w:b/>
          <w:bCs/>
          <w:color w:val="1A1A2E"/>
          <w:sz w:val="22"/>
          <w:szCs w:val="22"/>
        </w:rPr>
        <w:t xml:space="preserve">5.  It connects to almost every other paper in the collection</w:t>
      </w:r>
    </w:p>
    <w:p>
      <w:pPr>
        <w:spacing w:after="80" w:before="60"/>
      </w:pPr>
    </w:p>
    <w:p>
      <w:pPr>
        <w:spacing w:after="80" w:before="80" w:line="320"/>
      </w:pPr>
      <w:r>
        <w:rPr>
          <w:rFonts w:ascii="Arial" w:cs="Arial" w:eastAsia="Arial" w:hAnsi="Arial"/>
          <w:sz w:val="22"/>
          <w:szCs w:val="22"/>
        </w:rPr>
        <w:t xml:space="preserve">The CEM sits at the intersection of agriculture, water, infrastructure, trade, and governance. It is the connective tissue of the collection. Every other paper either provides evidence the CEM draws on, or points toward a solution the CEM calls for. This is the paper you read first, and then use to understand what all the others are for.</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60"/>
              <w:left w:type="dxa" w:w="200"/>
              <w:bottom w:type="dxa" w:w="160"/>
              <w:right w:type="dxa" w:w="200"/>
            </w:tcMar>
          </w:tcPr>
          <w:p>
            <w:pPr>
              <w:spacing w:after="60" w:before="0"/>
            </w:pPr>
            <w:r>
              <w:rPr>
                <w:rFonts w:ascii="Arial" w:cs="Arial" w:eastAsia="Arial" w:hAnsi="Arial"/>
                <w:b/>
                <w:bCs/>
                <w:color w:val="2E5977"/>
                <w:sz w:val="22"/>
                <w:szCs w:val="22"/>
              </w:rPr>
              <w:t xml:space="preserve">Key quantified finding:</w:t>
            </w:r>
          </w:p>
          <w:p>
            <w:pPr>
              <w:spacing w:after="0" w:before="0" w:line="300"/>
            </w:pPr>
            <w:r>
              <w:rPr>
                <w:rFonts w:ascii="Arial" w:cs="Arial" w:eastAsia="Arial" w:hAnsi="Arial"/>
                <w:sz w:val="22"/>
                <w:szCs w:val="22"/>
              </w:rPr>
              <w:t xml:space="preserve">A 2% annual increase in crop agriculture productivity → +1 percentage point GDP growth/year → poverty rate drops from 38.4% to 29.4% by 2030. Agriculture is not Sudan's past — it is its fastest route to a liveable future.</w:t>
            </w:r>
          </w:p>
        </w:tc>
      </w:tr>
    </w:tbl>
    <w:p>
      <w:pPr>
        <w:spacing w:after="80" w:before="160"/>
      </w:pPr>
    </w:p>
    <w:p>
      <w:pPr>
        <w:pStyle w:val="Heading2"/>
        <w:spacing w:after="100" w:before="280"/>
      </w:pPr>
      <w:r>
        <w:rPr>
          <w:rFonts w:ascii="Arial" w:cs="Arial" w:eastAsia="Arial" w:hAnsi="Arial"/>
          <w:b/>
          <w:bCs/>
          <w:color w:val="2E5977"/>
          <w:sz w:val="26"/>
          <w:szCs w:val="26"/>
        </w:rPr>
        <w:t xml:space="preserve">Runner-up papers worth highlighting</w:t>
      </w:r>
    </w:p>
    <w:p>
      <w:pPr>
        <w:spacing w:after="80" w:before="80"/>
      </w:pPr>
    </w:p>
    <w:p>
      <w:pPr>
        <w:spacing w:after="80" w:before="80" w:line="320"/>
      </w:pPr>
      <w:r>
        <w:rPr>
          <w:rFonts w:ascii="Arial" w:cs="Arial" w:eastAsia="Arial" w:hAnsi="Arial"/>
          <w:sz w:val="22"/>
          <w:szCs w:val="22"/>
        </w:rPr>
        <w:t xml:space="preserve">Two papers deserve mention as close seconds in their respective domains:</w:t>
      </w:r>
    </w:p>
    <w:p>
      <w:pPr>
        <w:spacing w:after="80" w:before="80"/>
      </w:pPr>
    </w:p>
    <w:p>
      <w:pPr>
        <w:pStyle w:val="ListParagraph"/>
        <w:numPr>
          <w:ilvl w:val="0"/>
          <w:numId w:val="2"/>
        </w:numPr>
        <w:spacing w:after="60" w:before="60" w:line="300"/>
      </w:pPr>
      <w:r>
        <w:rPr>
          <w:rFonts w:ascii="Arial" w:cs="Arial" w:eastAsia="Arial" w:hAnsi="Arial"/>
          <w:b/>
          <w:bCs/>
          <w:sz w:val="22"/>
          <w:szCs w:val="22"/>
        </w:rPr>
        <w:t xml:space="preserve">World Bank DTIS (2014): </w:t>
      </w:r>
      <w:r>
        <w:rPr>
          <w:rFonts w:ascii="Arial" w:cs="Arial" w:eastAsia="Arial" w:hAnsi="Arial"/>
          <w:sz w:val="22"/>
          <w:szCs w:val="22"/>
        </w:rPr>
        <w:t xml:space="preserve">Sudan Diagnostic Trade Integration Study — Reducing Trade Costs to Increase Competitiveness and Resilience (158 pages). The most rigorous analysis in the collection of why Sudan's exports underperform. Shows that non-tariff barriers and customs inefficiencies are as damaging as macroeconomic misalignment. Essential companion to the CEM.</w:t>
      </w:r>
    </w:p>
    <w:p>
      <w:pPr>
        <w:spacing w:after="80" w:before="60"/>
      </w:pPr>
    </w:p>
    <w:p>
      <w:pPr>
        <w:pStyle w:val="ListParagraph"/>
        <w:numPr>
          <w:ilvl w:val="0"/>
          <w:numId w:val="2"/>
        </w:numPr>
        <w:spacing w:after="60" w:before="60" w:line="300"/>
      </w:pPr>
      <w:r>
        <w:rPr>
          <w:rFonts w:ascii="Arial" w:cs="Arial" w:eastAsia="Arial" w:hAnsi="Arial"/>
          <w:b/>
          <w:bCs/>
          <w:sz w:val="22"/>
          <w:szCs w:val="22"/>
        </w:rPr>
        <w:t xml:space="preserve">Agricultural Potential (2001): </w:t>
      </w:r>
      <w:r>
        <w:rPr>
          <w:rFonts w:ascii="Arial" w:cs="Arial" w:eastAsia="Arial" w:hAnsi="Arial"/>
          <w:sz w:val="22"/>
          <w:szCs w:val="22"/>
        </w:rPr>
        <w:t xml:space="preserve">The Agricultural Potential of Sudan (Abdalla &amp; Abdel Nour, 9 pages). Deceptively short: maps Sudan's full agro-ecological diversity across six zones with specific crop potential for each. The most accessible entry point into understanding why agriculture is Sudan's genuine comparative advantage.</w:t>
      </w:r>
    </w:p>
    <w:p>
      <w:r>
        <w:br w:type="page"/>
      </w:r>
    </w:p>
    <w:p>
      <w:pPr>
        <w:pStyle w:val="Heading1"/>
        <w:spacing w:after="160" w:before="360"/>
      </w:pPr>
      <w:r>
        <w:rPr>
          <w:rFonts w:ascii="Arial" w:cs="Arial" w:eastAsia="Arial" w:hAnsi="Arial"/>
          <w:b/>
          <w:bCs/>
          <w:color w:val="1A1A2E"/>
          <w:sz w:val="32"/>
          <w:szCs w:val="32"/>
        </w:rPr>
        <w:t xml:space="preserve">⧉  Connection Map Across the Collection</w:t>
      </w:r>
    </w:p>
    <w:p>
      <w:pPr>
        <w:pBdr>
          <w:bottom w:val="single" w:color="C9993A" w:sz="4" w:space="1"/>
        </w:pBdr>
        <w:spacing w:after="120" w:before="120"/>
      </w:pPr>
    </w:p>
    <w:p>
      <w:pPr>
        <w:spacing w:after="80" w:before="80"/>
      </w:pPr>
    </w:p>
    <w:p>
      <w:pPr>
        <w:spacing w:after="80" w:before="80" w:line="320"/>
      </w:pPr>
      <w:r>
        <w:rPr>
          <w:rFonts w:ascii="Arial" w:cs="Arial" w:eastAsia="Arial" w:hAnsi="Arial"/>
          <w:sz w:val="22"/>
          <w:szCs w:val="22"/>
        </w:rPr>
        <w:t xml:space="preserve">The 441 papers in this collection are not isolated — they form a dense web of reinforcing arguments, shared evidence, and complementary recommendations. Below are the five major thematic clusters and the connections between them.</w:t>
      </w:r>
    </w:p>
    <w:p>
      <w:pPr>
        <w:spacing w:after="80" w:before="160"/>
      </w:pPr>
    </w:p>
    <w:p>
      <w:pPr>
        <w:pStyle w:val="Heading2"/>
        <w:spacing w:after="100" w:before="280"/>
      </w:pPr>
      <w:r>
        <w:rPr>
          <w:rFonts w:ascii="Arial" w:cs="Arial" w:eastAsia="Arial" w:hAnsi="Arial"/>
          <w:b/>
          <w:bCs/>
          <w:color w:val="2E5977"/>
          <w:sz w:val="26"/>
          <w:szCs w:val="26"/>
        </w:rPr>
        <w:t xml:space="preserve">Cluster 1 — The Agriculture-Water-Economy Nexus</w:t>
      </w:r>
    </w:p>
    <w:p>
      <w:pPr>
        <w:spacing w:after="80" w:before="60"/>
      </w:pPr>
    </w:p>
    <w:p>
      <w:pPr>
        <w:spacing w:after="80" w:before="80" w:line="320"/>
      </w:pPr>
      <w:r>
        <w:rPr>
          <w:rFonts w:ascii="Arial" w:cs="Arial" w:eastAsia="Arial" w:hAnsi="Arial"/>
          <w:sz w:val="22"/>
          <w:szCs w:val="22"/>
        </w:rPr>
        <w:t xml:space="preserve">This is the central cluster. Sudan has roughly 84 million hectares of arable land, of which less than 20% is currently cultivated. Every major economic development paper in the collection eventually arrives here. The reason agriculture is underperforming is water — governance, distribution, and access failures. The papers in this cluster speak directly to each other.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2660"/>
      </w:tblGrid>
      <w:tr>
        <w:tc>
          <w:tcPr>
            <w:tcW w:type="dxa" w:w="3200"/>
            <w:tcBorders>
              <w:top w:val="single" w:color="CCCCCC" w:sz="1"/>
              <w:left w:val="single" w:color="CCCCCC" w:sz="1"/>
              <w:bottom w:val="single" w:color="CCCCCC" w:sz="1"/>
              <w:right w:val="single" w:color="CCCCCC" w:sz="1"/>
            </w:tcBorders>
            <w:shd w:fill="2E5977" w:val="clear"/>
            <w:tcMar>
              <w:top w:type="dxa" w:w="80"/>
              <w:left w:type="dxa" w:w="120"/>
              <w:bottom w:type="dxa" w:w="80"/>
              <w:right w:type="dxa" w:w="120"/>
            </w:tcMar>
          </w:tcPr>
          <w:p>
            <w:r>
              <w:rPr>
                <w:rFonts w:ascii="Arial" w:cs="Arial" w:eastAsia="Arial" w:hAnsi="Arial"/>
                <w:b/>
                <w:bCs/>
                <w:color w:val="FFFFFF"/>
                <w:sz w:val="20"/>
                <w:szCs w:val="20"/>
              </w:rPr>
              <w:t xml:space="preserve">Paper</w:t>
            </w:r>
          </w:p>
        </w:tc>
        <w:tc>
          <w:tcPr>
            <w:tcW w:type="dxa" w:w="3500"/>
            <w:tcBorders>
              <w:top w:val="single" w:color="CCCCCC" w:sz="1"/>
              <w:left w:val="single" w:color="CCCCCC" w:sz="1"/>
              <w:bottom w:val="single" w:color="CCCCCC" w:sz="1"/>
              <w:right w:val="single" w:color="CCCCCC" w:sz="1"/>
            </w:tcBorders>
            <w:shd w:fill="2E5977" w:val="clear"/>
            <w:tcMar>
              <w:top w:type="dxa" w:w="80"/>
              <w:left w:type="dxa" w:w="120"/>
              <w:bottom w:type="dxa" w:w="80"/>
              <w:right w:type="dxa" w:w="120"/>
            </w:tcMar>
          </w:tcPr>
          <w:p>
            <w:r>
              <w:rPr>
                <w:rFonts w:ascii="Arial" w:cs="Arial" w:eastAsia="Arial" w:hAnsi="Arial"/>
                <w:b/>
                <w:bCs/>
                <w:color w:val="FFFFFF"/>
                <w:sz w:val="20"/>
                <w:szCs w:val="20"/>
              </w:rPr>
              <w:t xml:space="preserve">Connects to</w:t>
            </w:r>
          </w:p>
        </w:tc>
        <w:tc>
          <w:tcPr>
            <w:tcW w:type="dxa" w:w="2660"/>
            <w:tcBorders>
              <w:top w:val="single" w:color="CCCCCC" w:sz="1"/>
              <w:left w:val="single" w:color="CCCCCC" w:sz="1"/>
              <w:bottom w:val="single" w:color="CCCCCC" w:sz="1"/>
              <w:right w:val="single" w:color="CCCCCC" w:sz="1"/>
            </w:tcBorders>
            <w:shd w:fill="2E5977" w:val="clear"/>
            <w:tcMar>
              <w:top w:type="dxa" w:w="80"/>
              <w:left w:type="dxa" w:w="120"/>
              <w:bottom w:type="dxa" w:w="80"/>
              <w:right w:type="dxa" w:w="120"/>
            </w:tcMar>
          </w:tcPr>
          <w:p>
            <w:r>
              <w:rPr>
                <w:rFonts w:ascii="Arial" w:cs="Arial" w:eastAsia="Arial" w:hAnsi="Arial"/>
                <w:b/>
                <w:bCs/>
                <w:color w:val="FFFFFF"/>
                <w:sz w:val="20"/>
                <w:szCs w:val="20"/>
              </w:rPr>
              <w:t xml:space="preserve">Link type</w:t>
            </w:r>
          </w:p>
        </w:tc>
      </w:tr>
      <w:tr>
        <w:tc>
          <w:tcPr>
            <w:tcW w:type="dxa" w:w="32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sz w:val="20"/>
                <w:szCs w:val="20"/>
              </w:rPr>
              <w:t xml:space="preserve">CEM (World Bank, 2015)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Agricultural Potential of Sudan (2001)</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Validates comparative advantage claim with agro-ecological evidence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Gezira Scheme papers (multiple)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Towards Sustainable Water Resources (2018)</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Irrigation collapse → need for integrated water governance reform</w:t>
            </w:r>
          </w:p>
        </w:tc>
      </w:tr>
      <w:tr>
        <w:tc>
          <w:tcPr>
            <w:tcW w:type="dxa" w:w="32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sz w:val="20"/>
                <w:szCs w:val="20"/>
              </w:rPr>
              <w:t xml:space="preserve">Sudan's Struggle for Food Self-Sufficiency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CEM + Gezira papers</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Political economy context for agricultural collapse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Best Practices for Water Harvesting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Nile Basin / Water Scarcity papers</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Practical techniques complement policy-level analysis</w:t>
            </w:r>
          </w:p>
        </w:tc>
      </w:tr>
      <w:tr>
        <w:tc>
          <w:tcPr>
            <w:tcW w:type="dxa" w:w="32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sz w:val="20"/>
                <w:szCs w:val="20"/>
              </w:rPr>
              <w:t xml:space="preserve">Nile Water and Agriculture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Sudan and the Exploitation of the Nile</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Upstream/downstream tension; geopolitical risk to irrigation</w:t>
            </w:r>
          </w:p>
        </w:tc>
      </w:tr>
    </w:tbl>
    <w:p>
      <w:pPr>
        <w:spacing w:after="80" w:before="160"/>
      </w:pPr>
    </w:p>
    <w:p>
      <w:pPr>
        <w:pStyle w:val="Heading2"/>
        <w:spacing w:after="100" w:before="280"/>
      </w:pPr>
      <w:r>
        <w:rPr>
          <w:rFonts w:ascii="Arial" w:cs="Arial" w:eastAsia="Arial" w:hAnsi="Arial"/>
          <w:b/>
          <w:bCs/>
          <w:color w:val="2E5977"/>
          <w:sz w:val="26"/>
          <w:szCs w:val="26"/>
        </w:rPr>
        <w:t xml:space="preserve">Cluster 2 — Economic Diversification and Trade</w:t>
      </w:r>
    </w:p>
    <w:p>
      <w:pPr>
        <w:spacing w:after="80" w:before="60"/>
      </w:pPr>
    </w:p>
    <w:p>
      <w:pPr>
        <w:spacing w:after="80" w:before="80" w:line="320"/>
      </w:pPr>
      <w:r>
        <w:rPr>
          <w:rFonts w:ascii="Arial" w:cs="Arial" w:eastAsia="Arial" w:hAnsi="Arial"/>
          <w:sz w:val="22"/>
          <w:szCs w:val="22"/>
        </w:rPr>
        <w:t xml:space="preserve">After oil, Sudan needs new export sectors. This cluster maps papers analyzing what those sectors could be and what barriers stand in the way. The CEM and the DTIS together form the strongest analytical backbone in the collection.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2660"/>
      </w:tblGrid>
      <w:tr>
        <w:tc>
          <w:tcPr>
            <w:tcW w:type="dxa" w:w="3200"/>
            <w:tcBorders>
              <w:top w:val="single" w:color="CCCCCC" w:sz="1"/>
              <w:left w:val="single" w:color="CCCCCC" w:sz="1"/>
              <w:bottom w:val="single" w:color="CCCCCC" w:sz="1"/>
              <w:right w:val="single" w:color="CCCCCC" w:sz="1"/>
            </w:tcBorders>
            <w:shd w:fill="2E5977" w:val="clear"/>
            <w:tcMar>
              <w:top w:type="dxa" w:w="80"/>
              <w:left w:type="dxa" w:w="120"/>
              <w:bottom w:type="dxa" w:w="80"/>
              <w:right w:type="dxa" w:w="120"/>
            </w:tcMar>
          </w:tcPr>
          <w:p>
            <w:r>
              <w:rPr>
                <w:rFonts w:ascii="Arial" w:cs="Arial" w:eastAsia="Arial" w:hAnsi="Arial"/>
                <w:b/>
                <w:bCs/>
                <w:color w:val="FFFFFF"/>
                <w:sz w:val="20"/>
                <w:szCs w:val="20"/>
              </w:rPr>
              <w:t xml:space="preserve">Paper</w:t>
            </w:r>
          </w:p>
        </w:tc>
        <w:tc>
          <w:tcPr>
            <w:tcW w:type="dxa" w:w="3500"/>
            <w:tcBorders>
              <w:top w:val="single" w:color="CCCCCC" w:sz="1"/>
              <w:left w:val="single" w:color="CCCCCC" w:sz="1"/>
              <w:bottom w:val="single" w:color="CCCCCC" w:sz="1"/>
              <w:right w:val="single" w:color="CCCCCC" w:sz="1"/>
            </w:tcBorders>
            <w:shd w:fill="2E5977" w:val="clear"/>
            <w:tcMar>
              <w:top w:type="dxa" w:w="80"/>
              <w:left w:type="dxa" w:w="120"/>
              <w:bottom w:type="dxa" w:w="80"/>
              <w:right w:type="dxa" w:w="120"/>
            </w:tcMar>
          </w:tcPr>
          <w:p>
            <w:r>
              <w:rPr>
                <w:rFonts w:ascii="Arial" w:cs="Arial" w:eastAsia="Arial" w:hAnsi="Arial"/>
                <w:b/>
                <w:bCs/>
                <w:color w:val="FFFFFF"/>
                <w:sz w:val="20"/>
                <w:szCs w:val="20"/>
              </w:rPr>
              <w:t xml:space="preserve">Connects to</w:t>
            </w:r>
          </w:p>
        </w:tc>
        <w:tc>
          <w:tcPr>
            <w:tcW w:type="dxa" w:w="2660"/>
            <w:tcBorders>
              <w:top w:val="single" w:color="CCCCCC" w:sz="1"/>
              <w:left w:val="single" w:color="CCCCCC" w:sz="1"/>
              <w:bottom w:val="single" w:color="CCCCCC" w:sz="1"/>
              <w:right w:val="single" w:color="CCCCCC" w:sz="1"/>
            </w:tcBorders>
            <w:shd w:fill="2E5977" w:val="clear"/>
            <w:tcMar>
              <w:top w:type="dxa" w:w="80"/>
              <w:left w:type="dxa" w:w="120"/>
              <w:bottom w:type="dxa" w:w="80"/>
              <w:right w:type="dxa" w:w="120"/>
            </w:tcMar>
          </w:tcPr>
          <w:p>
            <w:r>
              <w:rPr>
                <w:rFonts w:ascii="Arial" w:cs="Arial" w:eastAsia="Arial" w:hAnsi="Arial"/>
                <w:b/>
                <w:bCs/>
                <w:color w:val="FFFFFF"/>
                <w:sz w:val="20"/>
                <w:szCs w:val="20"/>
              </w:rPr>
              <w:t xml:space="preserve">Link type</w:t>
            </w:r>
          </w:p>
        </w:tc>
      </w:tr>
      <w:tr>
        <w:tc>
          <w:tcPr>
            <w:tcW w:type="dxa" w:w="32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sz w:val="20"/>
                <w:szCs w:val="20"/>
              </w:rPr>
              <w:t xml:space="preserve">DTIS (World Bank, 2014)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CEM (World Bank, 2015)</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Trade costs as key constraint; reinforces agriculture export priority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Chapter 2: Economic Challenges (Nour, 2013)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Skills Development in Sudan</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Structural unemployment → workforce misalignment → skill gap solution</w:t>
            </w:r>
          </w:p>
        </w:tc>
      </w:tr>
      <w:tr>
        <w:tc>
          <w:tcPr>
            <w:tcW w:type="dxa" w:w="32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sz w:val="20"/>
                <w:szCs w:val="20"/>
              </w:rPr>
              <w:t xml:space="preserve">Minerals Potential in Sudan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CEM — diversification chapter</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Gold as transitional revenue while agriculture is rebuilt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Solar Energy Potential in Sudan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 papers</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Energy deficit as binding constraint for industrialization</w:t>
            </w:r>
          </w:p>
        </w:tc>
      </w:tr>
      <w:tr>
        <w:tc>
          <w:tcPr>
            <w:tcW w:type="dxa" w:w="32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sz w:val="20"/>
                <w:szCs w:val="20"/>
              </w:rPr>
              <w:t xml:space="preserve">Doing Business 2017 + 2020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Investment Policy Review (Sudan)</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Parallel investment climate analyses; converging recommendations</w:t>
            </w:r>
          </w:p>
        </w:tc>
      </w:tr>
    </w:tbl>
    <w:p>
      <w:pPr>
        <w:spacing w:after="80" w:before="160"/>
      </w:pPr>
    </w:p>
    <w:p>
      <w:pPr>
        <w:pStyle w:val="Heading2"/>
        <w:spacing w:after="100" w:before="280"/>
      </w:pPr>
      <w:r>
        <w:rPr>
          <w:rFonts w:ascii="Arial" w:cs="Arial" w:eastAsia="Arial" w:hAnsi="Arial"/>
          <w:b/>
          <w:bCs/>
          <w:color w:val="2E5977"/>
          <w:sz w:val="26"/>
          <w:szCs w:val="26"/>
        </w:rPr>
        <w:t xml:space="preserve">Cluster 3 — Infrastructure as the Missing Link</w:t>
      </w:r>
    </w:p>
    <w:p>
      <w:pPr>
        <w:spacing w:after="80" w:before="60"/>
      </w:pPr>
    </w:p>
    <w:p>
      <w:pPr>
        <w:spacing w:after="80" w:before="80" w:line="320"/>
      </w:pPr>
      <w:r>
        <w:rPr>
          <w:rFonts w:ascii="Arial" w:cs="Arial" w:eastAsia="Arial" w:hAnsi="Arial"/>
          <w:sz w:val="22"/>
          <w:szCs w:val="22"/>
        </w:rPr>
        <w:t xml:space="preserve">Across both the economic and urban planning papers, infrastructure — transport, energy, and digital connectivity — emerges as the binding constraint between Sudan's resources and its markets. The infrastructure papers also connect Sudan to larger regional ambitions.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2660"/>
      </w:tblGrid>
      <w:tr>
        <w:tc>
          <w:tcPr>
            <w:tcW w:type="dxa" w:w="3200"/>
            <w:tcBorders>
              <w:top w:val="single" w:color="CCCCCC" w:sz="1"/>
              <w:left w:val="single" w:color="CCCCCC" w:sz="1"/>
              <w:bottom w:val="single" w:color="CCCCCC" w:sz="1"/>
              <w:right w:val="single" w:color="CCCCCC" w:sz="1"/>
            </w:tcBorders>
            <w:shd w:fill="2E5977" w:val="clear"/>
            <w:tcMar>
              <w:top w:type="dxa" w:w="80"/>
              <w:left w:type="dxa" w:w="120"/>
              <w:bottom w:type="dxa" w:w="80"/>
              <w:right w:type="dxa" w:w="120"/>
            </w:tcMar>
          </w:tcPr>
          <w:p>
            <w:r>
              <w:rPr>
                <w:rFonts w:ascii="Arial" w:cs="Arial" w:eastAsia="Arial" w:hAnsi="Arial"/>
                <w:b/>
                <w:bCs/>
                <w:color w:val="FFFFFF"/>
                <w:sz w:val="20"/>
                <w:szCs w:val="20"/>
              </w:rPr>
              <w:t xml:space="preserve">Paper</w:t>
            </w:r>
          </w:p>
        </w:tc>
        <w:tc>
          <w:tcPr>
            <w:tcW w:type="dxa" w:w="3500"/>
            <w:tcBorders>
              <w:top w:val="single" w:color="CCCCCC" w:sz="1"/>
              <w:left w:val="single" w:color="CCCCCC" w:sz="1"/>
              <w:bottom w:val="single" w:color="CCCCCC" w:sz="1"/>
              <w:right w:val="single" w:color="CCCCCC" w:sz="1"/>
            </w:tcBorders>
            <w:shd w:fill="2E5977" w:val="clear"/>
            <w:tcMar>
              <w:top w:type="dxa" w:w="80"/>
              <w:left w:type="dxa" w:w="120"/>
              <w:bottom w:type="dxa" w:w="80"/>
              <w:right w:type="dxa" w:w="120"/>
            </w:tcMar>
          </w:tcPr>
          <w:p>
            <w:r>
              <w:rPr>
                <w:rFonts w:ascii="Arial" w:cs="Arial" w:eastAsia="Arial" w:hAnsi="Arial"/>
                <w:b/>
                <w:bCs/>
                <w:color w:val="FFFFFF"/>
                <w:sz w:val="20"/>
                <w:szCs w:val="20"/>
              </w:rPr>
              <w:t xml:space="preserve">Connects to</w:t>
            </w:r>
          </w:p>
        </w:tc>
        <w:tc>
          <w:tcPr>
            <w:tcW w:type="dxa" w:w="2660"/>
            <w:tcBorders>
              <w:top w:val="single" w:color="CCCCCC" w:sz="1"/>
              <w:left w:val="single" w:color="CCCCCC" w:sz="1"/>
              <w:bottom w:val="single" w:color="CCCCCC" w:sz="1"/>
              <w:right w:val="single" w:color="CCCCCC" w:sz="1"/>
            </w:tcBorders>
            <w:shd w:fill="2E5977" w:val="clear"/>
            <w:tcMar>
              <w:top w:type="dxa" w:w="80"/>
              <w:left w:type="dxa" w:w="120"/>
              <w:bottom w:type="dxa" w:w="80"/>
              <w:right w:type="dxa" w:w="120"/>
            </w:tcMar>
          </w:tcPr>
          <w:p>
            <w:r>
              <w:rPr>
                <w:rFonts w:ascii="Arial" w:cs="Arial" w:eastAsia="Arial" w:hAnsi="Arial"/>
                <w:b/>
                <w:bCs/>
                <w:color w:val="FFFFFF"/>
                <w:sz w:val="20"/>
                <w:szCs w:val="20"/>
              </w:rPr>
              <w:t xml:space="preserve">Link type</w:t>
            </w:r>
          </w:p>
        </w:tc>
      </w:tr>
      <w:tr>
        <w:tc>
          <w:tcPr>
            <w:tcW w:type="dxa" w:w="32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sz w:val="20"/>
                <w:szCs w:val="20"/>
              </w:rPr>
              <w:t xml:space="preserve">Sudan's Infrastructure: A Continental Perspective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CDD Infrastructure Sector Overview</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Macro-view → sector-specific gap analysis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Sudan Railways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Sahel Rail + Africa Railways Vision 2025</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Domestic rail needs → regional connectivity potential</w:t>
            </w:r>
          </w:p>
        </w:tc>
      </w:tr>
      <w:tr>
        <w:tc>
          <w:tcPr>
            <w:tcW w:type="dxa" w:w="32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sz w:val="20"/>
                <w:szCs w:val="20"/>
              </w:rPr>
              <w:t xml:space="preserve">Khartoum Sky Trains Network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Khartoum 2030 / Khartoum Urban Area</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Intra-city transport as urban planning lever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E-Agriculture Strategy 2018–2022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Chapter 2 (Nour) — digital economy</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Digital leapfrog for agricultural productivity measurement</w:t>
            </w:r>
          </w:p>
        </w:tc>
      </w:tr>
    </w:tbl>
    <w:p>
      <w:pPr>
        <w:spacing w:after="80" w:before="160"/>
      </w:pPr>
    </w:p>
    <w:p>
      <w:pPr>
        <w:pStyle w:val="Heading2"/>
        <w:spacing w:after="100" w:before="280"/>
      </w:pPr>
      <w:r>
        <w:rPr>
          <w:rFonts w:ascii="Arial" w:cs="Arial" w:eastAsia="Arial" w:hAnsi="Arial"/>
          <w:b/>
          <w:bCs/>
          <w:color w:val="2E5977"/>
          <w:sz w:val="26"/>
          <w:szCs w:val="26"/>
        </w:rPr>
        <w:t xml:space="preserve">Cluster 4 — Khartoum: City in Tension</w:t>
      </w:r>
    </w:p>
    <w:p>
      <w:pPr>
        <w:spacing w:after="80" w:before="60"/>
      </w:pPr>
    </w:p>
    <w:p>
      <w:pPr>
        <w:spacing w:after="80" w:before="80" w:line="320"/>
      </w:pPr>
      <w:r>
        <w:rPr>
          <w:rFonts w:ascii="Arial" w:cs="Arial" w:eastAsia="Arial" w:hAnsi="Arial"/>
          <w:sz w:val="22"/>
          <w:szCs w:val="22"/>
        </w:rPr>
        <w:t xml:space="preserve">The urban planning papers form a coherent conversation about a single question: what kind of city should Khartoum become? They span 120 years of planning history and represent three philosophies in tension: colonial rationalism, petrodollar prestige, and sustainable community-led urbanism.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2660"/>
      </w:tblGrid>
      <w:tr>
        <w:tc>
          <w:tcPr>
            <w:tcW w:type="dxa" w:w="3200"/>
            <w:tcBorders>
              <w:top w:val="single" w:color="CCCCCC" w:sz="1"/>
              <w:left w:val="single" w:color="CCCCCC" w:sz="1"/>
              <w:bottom w:val="single" w:color="CCCCCC" w:sz="1"/>
              <w:right w:val="single" w:color="CCCCCC" w:sz="1"/>
            </w:tcBorders>
            <w:shd w:fill="2E5977" w:val="clear"/>
            <w:tcMar>
              <w:top w:type="dxa" w:w="80"/>
              <w:left w:type="dxa" w:w="120"/>
              <w:bottom w:type="dxa" w:w="80"/>
              <w:right w:type="dxa" w:w="120"/>
            </w:tcMar>
          </w:tcPr>
          <w:p>
            <w:r>
              <w:rPr>
                <w:rFonts w:ascii="Arial" w:cs="Arial" w:eastAsia="Arial" w:hAnsi="Arial"/>
                <w:b/>
                <w:bCs/>
                <w:color w:val="FFFFFF"/>
                <w:sz w:val="20"/>
                <w:szCs w:val="20"/>
              </w:rPr>
              <w:t xml:space="preserve">Paper</w:t>
            </w:r>
          </w:p>
        </w:tc>
        <w:tc>
          <w:tcPr>
            <w:tcW w:type="dxa" w:w="3500"/>
            <w:tcBorders>
              <w:top w:val="single" w:color="CCCCCC" w:sz="1"/>
              <w:left w:val="single" w:color="CCCCCC" w:sz="1"/>
              <w:bottom w:val="single" w:color="CCCCCC" w:sz="1"/>
              <w:right w:val="single" w:color="CCCCCC" w:sz="1"/>
            </w:tcBorders>
            <w:shd w:fill="2E5977" w:val="clear"/>
            <w:tcMar>
              <w:top w:type="dxa" w:w="80"/>
              <w:left w:type="dxa" w:w="120"/>
              <w:bottom w:type="dxa" w:w="80"/>
              <w:right w:type="dxa" w:w="120"/>
            </w:tcMar>
          </w:tcPr>
          <w:p>
            <w:r>
              <w:rPr>
                <w:rFonts w:ascii="Arial" w:cs="Arial" w:eastAsia="Arial" w:hAnsi="Arial"/>
                <w:b/>
                <w:bCs/>
                <w:color w:val="FFFFFF"/>
                <w:sz w:val="20"/>
                <w:szCs w:val="20"/>
              </w:rPr>
              <w:t xml:space="preserve">Connects to</w:t>
            </w:r>
          </w:p>
        </w:tc>
        <w:tc>
          <w:tcPr>
            <w:tcW w:type="dxa" w:w="2660"/>
            <w:tcBorders>
              <w:top w:val="single" w:color="CCCCCC" w:sz="1"/>
              <w:left w:val="single" w:color="CCCCCC" w:sz="1"/>
              <w:bottom w:val="single" w:color="CCCCCC" w:sz="1"/>
              <w:right w:val="single" w:color="CCCCCC" w:sz="1"/>
            </w:tcBorders>
            <w:shd w:fill="2E5977" w:val="clear"/>
            <w:tcMar>
              <w:top w:type="dxa" w:w="80"/>
              <w:left w:type="dxa" w:w="120"/>
              <w:bottom w:type="dxa" w:w="80"/>
              <w:right w:type="dxa" w:w="120"/>
            </w:tcMar>
          </w:tcPr>
          <w:p>
            <w:r>
              <w:rPr>
                <w:rFonts w:ascii="Arial" w:cs="Arial" w:eastAsia="Arial" w:hAnsi="Arial"/>
                <w:b/>
                <w:bCs/>
                <w:color w:val="FFFFFF"/>
                <w:sz w:val="20"/>
                <w:szCs w:val="20"/>
              </w:rPr>
              <w:t xml:space="preserve">Link type</w:t>
            </w:r>
          </w:p>
        </w:tc>
      </w:tr>
      <w:tr>
        <w:tc>
          <w:tcPr>
            <w:tcW w:type="dxa" w:w="32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sz w:val="20"/>
                <w:szCs w:val="20"/>
              </w:rPr>
              <w:t xml:space="preserve">Architecture in Sudan 1900–2014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Khartoum Urban Area (447 pages)</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Historical context → understanding planning continuity and rupture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 Glimpse of Dubai in Khartoum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Khartoum 2030 (Hamid &amp; Bahreldin)</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Prestige development model vs. sustainable/inclusive model</w:t>
            </w:r>
          </w:p>
        </w:tc>
      </w:tr>
      <w:tr>
        <w:tc>
          <w:tcPr>
            <w:tcW w:type="dxa" w:w="32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sz w:val="20"/>
                <w:szCs w:val="20"/>
              </w:rPr>
              <w:t xml:space="preserve">Beyond the Riverside (Bahreldin, 2020)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Khartoum 2030 (same author, 2014)</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Riverfront-specific vision → city-wide vision; same conceptual framework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Characterization of Urban Agriculture in Khartoum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Beyond the Riverside + CEM</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Urban food production → Nile corridor planning → food security</w:t>
            </w:r>
          </w:p>
        </w:tc>
      </w:tr>
      <w:tr>
        <w:tc>
          <w:tcPr>
            <w:tcW w:type="dxa" w:w="32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sz w:val="20"/>
                <w:szCs w:val="20"/>
              </w:rPr>
              <w:t xml:space="preserve">The Politics and Architecture of Housing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in Sudan 1900–2014</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Social dimension of built environment; state power over space</w:t>
            </w:r>
          </w:p>
        </w:tc>
      </w:tr>
    </w:tbl>
    <w:p>
      <w:pPr>
        <w:spacing w:after="80" w:before="160"/>
      </w:pPr>
    </w:p>
    <w:p>
      <w:pPr>
        <w:pStyle w:val="Heading2"/>
        <w:spacing w:after="100" w:before="280"/>
      </w:pPr>
      <w:r>
        <w:rPr>
          <w:rFonts w:ascii="Arial" w:cs="Arial" w:eastAsia="Arial" w:hAnsi="Arial"/>
          <w:b/>
          <w:bCs/>
          <w:color w:val="2E5977"/>
          <w:sz w:val="26"/>
          <w:szCs w:val="26"/>
        </w:rPr>
        <w:t xml:space="preserve">Cluster 5 — Heritage as Economic Asset (The Missing Connection)</w:t>
      </w:r>
    </w:p>
    <w:p>
      <w:pPr>
        <w:spacing w:after="80" w:before="60"/>
      </w:pPr>
    </w:p>
    <w:p>
      <w:pPr>
        <w:spacing w:after="80" w:before="80" w:line="320"/>
      </w:pPr>
      <w:r>
        <w:rPr>
          <w:rFonts w:ascii="Arial" w:cs="Arial" w:eastAsia="Arial" w:hAnsi="Arial"/>
          <w:sz w:val="22"/>
          <w:szCs w:val="22"/>
        </w:rPr>
        <w:t xml:space="preserve">Sudan's extraordinary archaeological and architectural heritage is almost entirely absent from the economic development papers in this collection. This is the most striking gap — and the most promising unexploited connection. Sudan has more ancient pyramids than Egypt, one of the world's most intact medieval port cities (Suakin), and an unbroken Nile archaeological corridor from Khartoum to Wadi Halfa.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2660"/>
      </w:tblGrid>
      <w:tr>
        <w:tc>
          <w:tcPr>
            <w:tcW w:type="dxa" w:w="3200"/>
            <w:tcBorders>
              <w:top w:val="single" w:color="CCCCCC" w:sz="1"/>
              <w:left w:val="single" w:color="CCCCCC" w:sz="1"/>
              <w:bottom w:val="single" w:color="CCCCCC" w:sz="1"/>
              <w:right w:val="single" w:color="CCCCCC" w:sz="1"/>
            </w:tcBorders>
            <w:shd w:fill="2E5977" w:val="clear"/>
            <w:tcMar>
              <w:top w:type="dxa" w:w="80"/>
              <w:left w:type="dxa" w:w="120"/>
              <w:bottom w:type="dxa" w:w="80"/>
              <w:right w:type="dxa" w:w="120"/>
            </w:tcMar>
          </w:tcPr>
          <w:p>
            <w:r>
              <w:rPr>
                <w:rFonts w:ascii="Arial" w:cs="Arial" w:eastAsia="Arial" w:hAnsi="Arial"/>
                <w:b/>
                <w:bCs/>
                <w:color w:val="FFFFFF"/>
                <w:sz w:val="20"/>
                <w:szCs w:val="20"/>
              </w:rPr>
              <w:t xml:space="preserve">Paper</w:t>
            </w:r>
          </w:p>
        </w:tc>
        <w:tc>
          <w:tcPr>
            <w:tcW w:type="dxa" w:w="3500"/>
            <w:tcBorders>
              <w:top w:val="single" w:color="CCCCCC" w:sz="1"/>
              <w:left w:val="single" w:color="CCCCCC" w:sz="1"/>
              <w:bottom w:val="single" w:color="CCCCCC" w:sz="1"/>
              <w:right w:val="single" w:color="CCCCCC" w:sz="1"/>
            </w:tcBorders>
            <w:shd w:fill="2E5977" w:val="clear"/>
            <w:tcMar>
              <w:top w:type="dxa" w:w="80"/>
              <w:left w:type="dxa" w:w="120"/>
              <w:bottom w:type="dxa" w:w="80"/>
              <w:right w:type="dxa" w:w="120"/>
            </w:tcMar>
          </w:tcPr>
          <w:p>
            <w:r>
              <w:rPr>
                <w:rFonts w:ascii="Arial" w:cs="Arial" w:eastAsia="Arial" w:hAnsi="Arial"/>
                <w:b/>
                <w:bCs/>
                <w:color w:val="FFFFFF"/>
                <w:sz w:val="20"/>
                <w:szCs w:val="20"/>
              </w:rPr>
              <w:t xml:space="preserve">Connects to</w:t>
            </w:r>
          </w:p>
        </w:tc>
        <w:tc>
          <w:tcPr>
            <w:tcW w:type="dxa" w:w="2660"/>
            <w:tcBorders>
              <w:top w:val="single" w:color="CCCCCC" w:sz="1"/>
              <w:left w:val="single" w:color="CCCCCC" w:sz="1"/>
              <w:bottom w:val="single" w:color="CCCCCC" w:sz="1"/>
              <w:right w:val="single" w:color="CCCCCC" w:sz="1"/>
            </w:tcBorders>
            <w:shd w:fill="2E5977" w:val="clear"/>
            <w:tcMar>
              <w:top w:type="dxa" w:w="80"/>
              <w:left w:type="dxa" w:w="120"/>
              <w:bottom w:type="dxa" w:w="80"/>
              <w:right w:type="dxa" w:w="120"/>
            </w:tcMar>
          </w:tcPr>
          <w:p>
            <w:r>
              <w:rPr>
                <w:rFonts w:ascii="Arial" w:cs="Arial" w:eastAsia="Arial" w:hAnsi="Arial"/>
                <w:b/>
                <w:bCs/>
                <w:color w:val="FFFFFF"/>
                <w:sz w:val="20"/>
                <w:szCs w:val="20"/>
              </w:rPr>
              <w:t xml:space="preserve">Link type</w:t>
            </w:r>
          </w:p>
        </w:tc>
      </w:tr>
      <w:tr>
        <w:tc>
          <w:tcPr>
            <w:tcW w:type="dxa" w:w="32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sz w:val="20"/>
                <w:szCs w:val="20"/>
              </w:rPr>
              <w:t xml:space="preserve">Suakin: On Reviving an Ancient Red Sea Port City (1997)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CEM — economic diversification</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Heritage tourism as non-oil revenue; UNESCO listing pathway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Dongola Reach papers (multiple)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Oxford Handbook of Ancient Nubia</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Archaeological circuit → cultural tourism itinerary</w:t>
            </w:r>
          </w:p>
        </w:tc>
      </w:tr>
      <w:tr>
        <w:tc>
          <w:tcPr>
            <w:tcW w:type="dxa" w:w="32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sz w:val="20"/>
                <w:szCs w:val="20"/>
              </w:rPr>
              <w:t xml:space="preserve">Unearthing Pan-African Crossroads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Nile Magazine + Ancient Nubia material</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Public-facing narrative for heritage branding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Reflections on the Red Sea Style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Suakin + Architecture in Sudan</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Architectural identity as tourism asset; Red Sea design continuity</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60"/>
              <w:left w:type="dxa" w:w="200"/>
              <w:bottom w:type="dxa" w:w="160"/>
              <w:right w:type="dxa" w:w="200"/>
            </w:tcMar>
          </w:tcPr>
          <w:p>
            <w:pPr>
              <w:spacing w:after="60" w:before="0"/>
            </w:pPr>
            <w:r>
              <w:rPr>
                <w:rFonts w:ascii="Arial" w:cs="Arial" w:eastAsia="Arial" w:hAnsi="Arial"/>
                <w:b/>
                <w:bCs/>
                <w:color w:val="2E5977"/>
                <w:sz w:val="22"/>
                <w:szCs w:val="22"/>
              </w:rPr>
              <w:t xml:space="preserve">The gap in this collection — and the opportunity:</w:t>
            </w:r>
          </w:p>
          <w:p>
            <w:pPr>
              <w:spacing w:after="0" w:before="0" w:line="300"/>
            </w:pPr>
            <w:r>
              <w:rPr>
                <w:rFonts w:ascii="Arial" w:cs="Arial" w:eastAsia="Arial" w:hAnsi="Arial"/>
                <w:sz w:val="22"/>
                <w:szCs w:val="22"/>
              </w:rPr>
              <w:t xml:space="preserve">Not a single paper explicitly connects Sudan's heritage assets (Meroe pyramids, Suakin, Nubian sites) to an economic development model. Ethiopia and Egypt have built significant tourism sectors on comparable archaeological assets. The paper that needs to be written — or commissioned — is a Sudan Heritage Tourism Economic Assessment.</w:t>
            </w:r>
          </w:p>
        </w:tc>
      </w:tr>
    </w:tbl>
    <w:p>
      <w:r>
        <w:br w:type="page"/>
      </w:r>
    </w:p>
    <w:p>
      <w:pPr>
        <w:pStyle w:val="Heading1"/>
        <w:spacing w:after="160" w:before="360"/>
      </w:pPr>
      <w:r>
        <w:rPr>
          <w:rFonts w:ascii="Arial" w:cs="Arial" w:eastAsia="Arial" w:hAnsi="Arial"/>
          <w:b/>
          <w:bCs/>
          <w:color w:val="1A1A2E"/>
          <w:sz w:val="32"/>
          <w:szCs w:val="32"/>
        </w:rPr>
        <w:t xml:space="preserve">■  Summary</w:t>
      </w:r>
    </w:p>
    <w:p>
      <w:pPr>
        <w:pBdr>
          <w:bottom w:val="single" w:color="C9993A" w:sz="4" w:space="1"/>
        </w:pBdr>
        <w:spacing w:after="120" w:before="120"/>
      </w:pPr>
    </w:p>
    <w:p>
      <w:pPr>
        <w:spacing w:after="80" w:before="80"/>
      </w:pPr>
    </w:p>
    <w:p>
      <w:pPr>
        <w:spacing w:after="80" w:before="80" w:line="320"/>
      </w:pPr>
      <w:r>
        <w:rPr>
          <w:rFonts w:ascii="Arial" w:cs="Arial" w:eastAsia="Arial" w:hAnsi="Arial"/>
          <w:sz w:val="22"/>
          <w:szCs w:val="22"/>
        </w:rPr>
        <w:t xml:space="preserve">Read together, the 441 papers in this collection make a single coherent argument that Sudan has never fully implemented: it has abundant land, water, agricultural potential, architectural heritage, mineral wealth, and a strategic geographic position between Africa and the Arab world. What it has consistently lacked is not resources but governance, institutions, infrastructure, and market access.</w:t>
      </w:r>
    </w:p>
    <w:p>
      <w:pPr>
        <w:spacing w:after="80" w:before="120"/>
      </w:pPr>
    </w:p>
    <w:p>
      <w:pPr>
        <w:spacing w:after="80" w:before="80" w:line="320"/>
      </w:pPr>
      <w:r>
        <w:rPr>
          <w:rFonts w:ascii="Arial" w:cs="Arial" w:eastAsia="Arial" w:hAnsi="Arial"/>
          <w:sz w:val="22"/>
          <w:szCs w:val="22"/>
        </w:rPr>
        <w:t xml:space="preserve">The World Bank CEM is the paper that makes this argument most rigorously and quantifiably. But the same argument is made in different registers across the entire collection — by agricultural scientists, urban planners, archaeologists, trade economists, and water engineers — all pointing at the same underlying truth: Sudan's ceiling is high, and the gap between what Sudan is and what it could be is one of the largest of any country in the region.</w:t>
      </w:r>
    </w:p>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93A" w:sz="6"/>
              <w:left w:val="none" w:color="FFFFFF" w:sz="0"/>
              <w:bottom w:val="single" w:color="C9993A" w:sz="6"/>
              <w:right w:val="none" w:color="FFFFFF" w:sz="0"/>
            </w:tcBorders>
            <w:shd w:fill="FAFAFA" w:val="clear"/>
            <w:tcMar>
              <w:top w:type="dxa" w:w="200"/>
              <w:left w:type="dxa" w:w="240"/>
              <w:bottom w:type="dxa" w:w="200"/>
              <w:right w:type="dxa" w:w="240"/>
            </w:tcMar>
          </w:tcPr>
          <w:p>
            <w:pPr>
              <w:spacing w:after="80" w:before="0"/>
              <w:jc w:val="center"/>
            </w:pPr>
            <w:r>
              <w:rPr>
                <w:rFonts w:ascii="Arial" w:cs="Arial" w:eastAsia="Arial" w:hAnsi="Arial"/>
                <w:i/>
                <w:iCs/>
                <w:color w:val="888888"/>
                <w:sz w:val="20"/>
                <w:szCs w:val="20"/>
              </w:rPr>
              <w:t xml:space="preserve">One paper to read first:</w:t>
            </w:r>
          </w:p>
          <w:p>
            <w:pPr>
              <w:spacing w:after="120" w:before="0"/>
              <w:jc w:val="center"/>
            </w:pPr>
            <w:r>
              <w:rPr>
                <w:rFonts w:ascii="Arial" w:cs="Arial" w:eastAsia="Arial" w:hAnsi="Arial"/>
                <w:b/>
                <w:bCs/>
                <w:color w:val="1A1A2E"/>
                <w:sz w:val="24"/>
                <w:szCs w:val="24"/>
              </w:rPr>
              <w:t xml:space="preserve">Sudan Country Economic Memorandum — World Bank, 2015</w:t>
            </w:r>
          </w:p>
          <w:p>
            <w:pPr>
              <w:spacing w:after="80" w:before="0"/>
              <w:jc w:val="center"/>
            </w:pPr>
            <w:r>
              <w:rPr>
                <w:rFonts w:ascii="Arial" w:cs="Arial" w:eastAsia="Arial" w:hAnsi="Arial"/>
                <w:i/>
                <w:iCs/>
                <w:color w:val="888888"/>
                <w:sz w:val="20"/>
                <w:szCs w:val="20"/>
              </w:rPr>
              <w:t xml:space="preserve">One paper to commission next:</w:t>
            </w:r>
          </w:p>
          <w:p>
            <w:pPr>
              <w:spacing w:after="0" w:before="0"/>
              <w:jc w:val="center"/>
            </w:pPr>
            <w:r>
              <w:rPr>
                <w:rFonts w:ascii="Arial" w:cs="Arial" w:eastAsia="Arial" w:hAnsi="Arial"/>
                <w:b/>
                <w:bCs/>
                <w:color w:val="2E5977"/>
                <w:sz w:val="24"/>
                <w:szCs w:val="24"/>
              </w:rPr>
              <w:t xml:space="preserve">Sudan Heritage Tourism: An Economic Assessment</w:t>
            </w:r>
          </w:p>
        </w:tc>
      </w:tr>
    </w:tbl>
    <w:p>
      <w:pPr>
        <w:spacing w:after="80"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93A" w:sz="4" w:space="1"/>
      </w:pBdr>
    </w:pPr>
    <w:r>
      <w:rPr>
        <w:rFonts w:ascii="Arial" w:cs="Arial" w:eastAsia="Arial" w:hAnsi="Arial"/>
        <w:color w:val="888888"/>
        <w:sz w:val="18"/>
        <w:szCs w:val="18"/>
      </w:rPr>
      <w:t xml:space="preserve">Sudan Library — PDF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597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2026-06-11T15:53:57.288Z</dcterms:created>
  <dcterms:modified xsi:type="dcterms:W3CDTF">2026-06-11T15:53:57.288Z</dcterms:modified>
</cp:coreProperties>
</file>

<file path=docProps/custom.xml><?xml version="1.0" encoding="utf-8"?>
<Properties xmlns="http://schemas.openxmlformats.org/officeDocument/2006/custom-properties" xmlns:vt="http://schemas.openxmlformats.org/officeDocument/2006/docPropsVTypes"/>
</file>