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K.</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M.</w:t>
      </w:r>
      <w:r>
        <w:t xml:space="preserve"> </w:t>
      </w:r>
      <w:r>
        <w:t xml:space="preserve">Vickery</w:t>
      </w:r>
      <m:oMath>
        <m:sSup>
          <m:e>
            <m:r>
              <m:t>​</m:t>
            </m:r>
          </m:e>
          <m:sup>
            <m:r>
              <m:t>5</m:t>
            </m:r>
          </m:sup>
        </m:sSup>
      </m:oMath>
      <w:r>
        <w:t xml:space="preserve">,</w:t>
      </w:r>
      <w:r>
        <w:t xml:space="preserve"> </w:t>
      </w:r>
      <w:r>
        <w:t xml:space="preserve">Myfanwy</w:t>
      </w:r>
      <w:r>
        <w:t xml:space="preserve"> </w:t>
      </w:r>
      <w:r>
        <w:t xml:space="preserve">L.</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(Whay</w:t>
      </w:r>
      <w:r>
        <w:t xml:space="preserve"> </w:t>
      </w:r>
      <w:r>
        <w:rPr>
          <w:iCs/>
          <w:i/>
        </w:rPr>
        <w:t xml:space="preserve">et al.</w:t>
      </w:r>
      <w:r>
        <w:t xml:space="preserve">, 2003; Green and Clifton, 2018)</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 Purdy and Green,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w:t>
      </w:r>
      <w:r>
        <w:t xml:space="preserve"> </w:t>
      </w:r>
      <w:r>
        <w:rPr>
          <w:iCs/>
          <w:i/>
        </w:rPr>
        <w:t xml:space="preserve">et al.</w:t>
      </w:r>
      <w:r>
        <w:t xml:space="preserve">, 2016)</w:t>
      </w:r>
      <w:r>
        <w:t xml:space="preserve">. Several projects have developed and explored the potential of games of this sort - including developing games for teaching crop cultivation and livestock breeding skills</w:t>
      </w:r>
      <w:r>
        <w:t xml:space="preserve"> </w:t>
      </w:r>
      <w:r>
        <w:t xml:space="preserve">(Yoo and Kim, 2014; Szilágyi</w:t>
      </w:r>
      <w:r>
        <w:t xml:space="preserve"> </w:t>
      </w:r>
      <w:r>
        <w:rPr>
          <w:iCs/>
          <w:i/>
        </w:rPr>
        <w:t xml:space="preserve">et al.</w:t>
      </w:r>
      <w:r>
        <w:t xml:space="preserve">, 2017)</w:t>
      </w:r>
      <w:r>
        <w:t xml:space="preserve">, developing more all-encompassing agricultural training games</w:t>
      </w:r>
      <w:r>
        <w:t xml:space="preserve"> </w:t>
      </w:r>
      <w:r>
        <w:t xml:space="preserve">(GATES, 2019; Fountas, Spyros</w:t>
      </w:r>
      <w:r>
        <w:t xml:space="preserve"> </w:t>
      </w:r>
      <w:r>
        <w:rPr>
          <w:iCs/>
          <w:i/>
        </w:rPr>
        <w:t xml:space="preserve">et al.</w:t>
      </w:r>
      <w:r>
        <w:t xml:space="preserve">, 2019)</w:t>
      </w:r>
      <w:r>
        <w:t xml:space="preserve">, and exploring the potential of virtual reality-assisted agricultural training</w:t>
      </w:r>
      <w:r>
        <w:t xml:space="preserve"> </w:t>
      </w:r>
      <w:r>
        <w:t xml:space="preserve">(Barber</w:t>
      </w:r>
      <w:r>
        <w:t xml:space="preserve"> </w:t>
      </w:r>
      <w:r>
        <w:rPr>
          <w:iCs/>
          <w:i/>
        </w:rPr>
        <w:t xml:space="preserve">et al.</w:t>
      </w:r>
      <w:r>
        <w:t xml:space="preserve">,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(Nuritha, Widartha and Bukhori, 2017; Hernandez-Aguilera</w:t>
      </w:r>
      <w:r>
        <w:t xml:space="preserve"> </w:t>
      </w:r>
      <w:r>
        <w:rPr>
          <w:iCs/>
          <w:i/>
        </w:rPr>
        <w:t xml:space="preserve">et al.</w:t>
      </w:r>
      <w:r>
        <w:t xml:space="preserve">, 2020)</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66dcaf7d-0733-485a-a85b-27b0a5fc2241"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6dcaf7d-0733-485a-a85b-27b0a5fc2241"/>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1"/>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 Wassink and Green (2009)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w:t>
      </w:r>
      <w:r>
        <w:t xml:space="preserve"> </w:t>
      </w:r>
      <w:r>
        <w:t xml:space="preserve">(Unity Technologies, 2015)</w:t>
      </w:r>
      <w:r>
        <w:t xml:space="preserve"> </w:t>
      </w:r>
      <w:r>
        <w:t xml:space="preserve">and 3D modelling software Blender</w:t>
      </w:r>
      <w:r>
        <w:t xml:space="preserve"> </w:t>
      </w:r>
      <w:r>
        <w:t xml:space="preserve">(Blender Online Community, 2021)</w:t>
      </w:r>
      <w:r>
        <w:t xml:space="preserve"> </w:t>
      </w:r>
      <w:r>
        <w:t xml:space="preserve">in collaboration by a game programmer (OM) and 3D artist/animator (TL) using a mix of pre-made, modified and newly-created 3D models, animations and other digital assets</w:t>
      </w:r>
      <w:r>
        <w:t xml:space="preserve"> </w:t>
      </w:r>
      <w:r>
        <w:t xml:space="preserve">(Lehtonen, 2017; Bicameral Studios, 2018; Bilalov, 2020; Michsky, 2021)</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an online study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2021b)</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2021b, 2021a)</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e58b7de5-f518-4b85-a1a9-047cdd3abd71"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e58b7de5-f518-4b85-a1a9-047cdd3abd71"/>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2"/>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6580865a-cffb-45da-9b13-a59a57070125"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580865a-cffb-45da-9b13-a59a57070125"/>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3"/>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6fa8519a-2ea0-4521-ad1f-2aaab649df38"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fa8519a-2ea0-4521-ad1f-2aaab649df38"/>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0210a852-7488-4637-94e3-03ed1accba32"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0210a852-7488-4637-94e3-03ed1accba32"/>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5"/>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edaacc3f-f45b-4a99-90af-a6d9155a81af"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edaacc3f-f45b-4a99-90af-a6d9155a81af"/>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83148793-b193-466d-b43f-5fd9112549dc"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83148793-b193-466d-b43f-5fd9112549dc"/>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 Putz and Lowry,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 Stolterman and Tenenberg,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 Silk and Crowley,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w:t>
      </w:r>
      <w:r>
        <w:t xml:space="preserve"> </w:t>
      </w:r>
      <w:r>
        <w:rPr>
          <w:iCs/>
          <w:i/>
        </w:rPr>
        <w:t xml:space="preserve">et al.</w:t>
      </w:r>
      <w:r>
        <w:t xml:space="preserve">,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 The last author would also like to acknowledge the Centre for Artificial Intelligence, Robotics and Human-Machine Systems (IROHMS) operation C82092, part-funded by the European Regional Development Fund (ERDF) through the Welsh Government. This study was funded by the GW4 Crucible Seed Funding Award Cru20_3.</w:t>
      </w:r>
    </w:p>
    <w:bookmarkEnd w:id="47"/>
    <w:bookmarkStart w:id="49" w:name="data-availability-statement"/>
    <w:p>
      <w:pPr>
        <w:pStyle w:val="Heading1"/>
      </w:pPr>
      <w:r>
        <w:t xml:space="preserve">Data availability statement</w:t>
      </w:r>
    </w:p>
    <w:p>
      <w:pPr>
        <w:pStyle w:val="FirstParagraph"/>
      </w:pPr>
      <w:r>
        <w:t xml:space="preserve">The anonymous data collected during the online evaluation study (the results of which are reported in this paper) are freely available in raw (direct output from MS Forms platform) and formatted (tidied using R code) formats at [INSERT OPEN SCIENCE FRAMEWORK LINK UPON ACCEPTANCE OF MS] and the lead author’s Github repository (</w:t>
      </w:r>
      <w:hyperlink r:id="rId48">
        <w:r>
          <w:rPr>
            <w:rStyle w:val="Hyperlink"/>
          </w:rPr>
          <w:t xml:space="preserve">https://github.com/befriendabacterium/lamenessgame</w:t>
        </w:r>
      </w:hyperlink>
      <w:r>
        <w:t xml:space="preserve">). R code to reproduce the analysis and figures reported in the manuscript is also deposited here. The Supplementary Materials of the manuscript also contain the thematic analysis of the open-form feedback in a more accessible Word document format. All participants approved the open publication of these anonymous data when signing the consent form to participate in the study.</w:t>
      </w:r>
    </w:p>
    <w:p>
      <w:r>
        <w:br w:type="page"/>
      </w:r>
    </w:p>
    <w:bookmarkEnd w:id="49"/>
    <w:bookmarkStart w:id="51" w:name="supplementary-material"/>
    <w:p>
      <w:pPr>
        <w:pStyle w:val="Heading1"/>
      </w:pPr>
      <w:r>
        <w:t xml:space="preserve">Supplementary Material</w:t>
      </w:r>
    </w:p>
    <w:p>
      <w:r>
        <w:br w:type="page"/>
      </w:r>
    </w:p>
    <w:p>
      <w:pPr>
        <w:pStyle w:val="Figure"/>
      </w:pPr>
      <w:r>
        <w:rPr/>
        <w:t xml:space="preserve">Supplementary Material </w:t>
      </w:r>
      <w:bookmarkStart w:id="56006d1a-9f57-499b-bdde-cba442a8853d"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56006d1a-9f57-499b-bdde-cba442a8853d"/>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 Stolterman and Tenenberg,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2015)</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 Gresse von Wangenheim and Borgatto,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 Wassink and Green (2009)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(Bilalov,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7f848b86-a6cf-4665-bac4-f4f9585d94c4"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7f848b86-a6cf-4665-bac4-f4f9585d94c4"/>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50">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9ea8ffce-83fa-4b83-ae14-f964339e7395"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9ea8ffce-83fa-4b83-ae14-f964339e7395"/>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40caf142-6833-4638-808a-8e05f181401b"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40caf142-6833-4638-808a-8e05f181401b"/>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228a2bef-ac4b-4109-b152-4bb29035db9c"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228a2bef-ac4b-4109-b152-4bb29035db9c"/>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31430927-e67f-4268-ab2c-45255a65dba0"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31430927-e67f-4268-ab2c-45255a65dba0"/>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9"/>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250fbc6a-ec59-4ffa-9f31-00061cebcbc5"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250fbc6a-ec59-4ffa-9f31-00061cebcbc5"/>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0d21d328-f4a5-4c64-a924-35e1d50c0aea"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0d21d328-f4a5-4c64-a924-35e1d50c0aea"/>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5e503f02-6a49-4f70-89fd-ea3c32b24bd2"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5e503f02-6a49-4f70-89fd-ea3c32b24bd2"/>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1d2a084a-c72e-451f-bbb5-45ec30beae89"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1d2a084a-c72e-451f-bbb5-45ec30beae89"/>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c87ab557-3c14-4ea2-888e-277c4f2cf55b"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c87ab557-3c14-4ea2-888e-277c4f2cf55b"/>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4"/>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d7d5a620-e2ee-4df6-942f-6d1351406432"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d7d5a620-e2ee-4df6-942f-6d1351406432"/>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5"/>
                    <a:srcRect/>
                    <a:stretch>
                      <a:fillRect/>
                    </a:stretch>
                  </pic:blipFill>
                  <pic:spPr bwMode="auto">
                    <a:xfrm>
                      <a:off x="0" y="0"/>
                      <a:ext cx="76200" cy="76200"/>
                    </a:xfrm>
                    <a:prstGeom prst="rect">
                      <a:avLst/>
                    </a:prstGeom>
                    <a:noFill/>
                  </pic:spPr>
                </pic:pic>
              </a:graphicData>
            </a:graphic>
          </wp:inline>
        </w:drawing>
      </w:r>
    </w:p>
    <w:p>
      <w:r>
        <w:br w:type="page"/>
      </w:r>
    </w:p>
    <w:bookmarkEnd w:id="51"/>
    <w:bookmarkStart w:id="163" w:name="references"/>
    <w:p>
      <w:pPr>
        <w:pStyle w:val="Heading1"/>
      </w:pPr>
      <w:r>
        <w:t xml:space="preserve">References</w:t>
      </w:r>
    </w:p>
    <w:bookmarkStart w:id="162" w:name="refs"/>
    <w:bookmarkStart w:id="52" w:name="ref-barber2016b"/>
    <w:p>
      <w:pPr>
        <w:pStyle w:val="Bibliography"/>
      </w:pPr>
      <w:r>
        <w:t xml:space="preserve">Barber, S., Hallein, E., Shallcross, D., Weston, J., Jacobsen, C., Bramley, E., Celi, P. and McGowan, M. (2016)</w:t>
      </w:r>
      <w:r>
        <w:t xml:space="preserve"> </w:t>
      </w:r>
      <w:r>
        <w:rPr>
          <w:iCs/>
          <w:i/>
        </w:rPr>
        <w:t xml:space="preserve">Development of 4D farms to improve student learning and safety</w:t>
      </w:r>
      <w:r>
        <w:t xml:space="preserve">. Canberra, Australia: Australian Government Office for Learning; Teaching.</w:t>
      </w:r>
    </w:p>
    <w:bookmarkEnd w:id="52"/>
    <w:bookmarkStart w:id="54" w:name="ref-berthet2016"/>
    <w:p>
      <w:pPr>
        <w:pStyle w:val="Bibliography"/>
      </w:pPr>
      <w:r>
        <w:t xml:space="preserve">Berthet, E.T.A., Barnaud, C., Girard, N., Labatut, J. and Martin, G. (2016)</w:t>
      </w:r>
      <w:r>
        <w:t xml:space="preserve"> </w:t>
      </w:r>
      <w:r>
        <w:t xml:space="preserve">‘How to foster agroecological innovations? A comparison of participatory design methods’</w:t>
      </w:r>
      <w:r>
        <w:t xml:space="preserve">,</w:t>
      </w:r>
      <w:r>
        <w:t xml:space="preserve"> </w:t>
      </w:r>
      <w:r>
        <w:rPr>
          <w:iCs/>
          <w:i/>
        </w:rPr>
        <w:t xml:space="preserve">Journal of Environmental Planning and Management</w:t>
      </w:r>
      <w:r>
        <w:t xml:space="preserve">, 59(2), pp. 280–301. Available at:</w:t>
      </w:r>
      <w:r>
        <w:t xml:space="preserve"> </w:t>
      </w:r>
      <w:hyperlink r:id="rId53">
        <w:r>
          <w:rPr>
            <w:rStyle w:val="Hyperlink"/>
          </w:rPr>
          <w:t xml:space="preserve">https://doi.org/10.1080/09640568.2015.1009627</w:t>
        </w:r>
      </w:hyperlink>
      <w:r>
        <w:t xml:space="preserve">.</w:t>
      </w:r>
    </w:p>
    <w:bookmarkEnd w:id="54"/>
    <w:bookmarkStart w:id="56" w:name="ref-best2021"/>
    <w:p>
      <w:pPr>
        <w:pStyle w:val="Bibliography"/>
      </w:pPr>
      <w:r>
        <w:t xml:space="preserve">Best, C.M., Pyatt, A.Z., Roden, J., Behnke, M. and Phillips, K. (2021)</w:t>
      </w:r>
      <w:r>
        <w:t xml:space="preserve"> </w:t>
      </w:r>
      <w:r>
        <w:t xml:space="preserve">‘Sheep farmers</w:t>
      </w:r>
      <w:r>
        <w:t xml:space="preserve">’</w:t>
      </w:r>
      <w:r>
        <w:t xml:space="preserve"> </w:t>
      </w:r>
      <w:r>
        <w:t xml:space="preserve">attitudes towards lameness control: Qualitative exploration of factors affecting adoption of the lameness Five-Point Plan’</w:t>
      </w:r>
      <w:r>
        <w:t xml:space="preserve">,</w:t>
      </w:r>
      <w:r>
        <w:t xml:space="preserve"> </w:t>
      </w:r>
      <w:r>
        <w:rPr>
          <w:iCs/>
          <w:i/>
        </w:rPr>
        <w:t xml:space="preserve">PLOS ONE</w:t>
      </w:r>
      <w:r>
        <w:t xml:space="preserve">, 16(2), p. e0246798. Available at:</w:t>
      </w:r>
      <w:r>
        <w:t xml:space="preserve"> </w:t>
      </w:r>
      <w:hyperlink r:id="rId55">
        <w:r>
          <w:rPr>
            <w:rStyle w:val="Hyperlink"/>
          </w:rPr>
          <w:t xml:space="preserve">https://doi.org/10.1371/journal.pone.0246798</w:t>
        </w:r>
      </w:hyperlink>
      <w:r>
        <w:t xml:space="preserve">.</w:t>
      </w:r>
    </w:p>
    <w:bookmarkEnd w:id="56"/>
    <w:bookmarkStart w:id="58" w:name="ref-best2020"/>
    <w:p>
      <w:pPr>
        <w:pStyle w:val="Bibliography"/>
      </w:pPr>
      <w:r>
        <w:t xml:space="preserve">Best, C.M., Roden, J., Pyatt, A.Z., Behnke, M. and Phillips, K. (2020)</w:t>
      </w:r>
      <w:r>
        <w:t xml:space="preserve"> </w:t>
      </w:r>
      <w:r>
        <w:t xml:space="preserve">‘Uptake of the lameness Five-Point Plan and its association with farmer-reported lameness prevalence: A cross-sectional study of 532 UK sheep farmers’</w:t>
      </w:r>
      <w:r>
        <w:t xml:space="preserve">,</w:t>
      </w:r>
      <w:r>
        <w:t xml:space="preserve"> </w:t>
      </w:r>
      <w:r>
        <w:rPr>
          <w:iCs/>
          <w:i/>
        </w:rPr>
        <w:t xml:space="preserve">Preventive Veterinary Medicine</w:t>
      </w:r>
      <w:r>
        <w:t xml:space="preserve">, 181, p. 105064. Available at:</w:t>
      </w:r>
      <w:r>
        <w:t xml:space="preserve"> </w:t>
      </w:r>
      <w:hyperlink r:id="rId57">
        <w:r>
          <w:rPr>
            <w:rStyle w:val="Hyperlink"/>
          </w:rPr>
          <w:t xml:space="preserve">https://doi.org/10.1016/j.prevetmed.2020.105064</w:t>
        </w:r>
      </w:hyperlink>
      <w:r>
        <w:t xml:space="preserve">.</w:t>
      </w:r>
    </w:p>
    <w:bookmarkEnd w:id="58"/>
    <w:bookmarkStart w:id="60" w:name="ref-bicameralstudios2018"/>
    <w:p>
      <w:pPr>
        <w:pStyle w:val="Bibliography"/>
      </w:pPr>
      <w:r>
        <w:t xml:space="preserve">Bicameral Studios (2018)</w:t>
      </w:r>
      <w:r>
        <w:t xml:space="preserve"> </w:t>
      </w:r>
      <w:r>
        <w:rPr>
          <w:iCs/>
          <w:i/>
        </w:rPr>
        <w:t xml:space="preserve">Free island collection | 3D landscapes | unity asset store</w:t>
      </w:r>
      <w:r>
        <w:t xml:space="preserve">. Mississauga, Ontario: Bicameral Studios. Available at:</w:t>
      </w:r>
      <w:r>
        <w:t xml:space="preserve"> </w:t>
      </w:r>
      <w:hyperlink r:id="rId59">
        <w:r>
          <w:rPr>
            <w:rStyle w:val="Hyperlink"/>
          </w:rPr>
          <w:t xml:space="preserve">https://assetstore.unity.com/packages/3d/environments/landscapes/free-island-collection-104753</w:t>
        </w:r>
      </w:hyperlink>
      <w:r>
        <w:t xml:space="preserve">.</w:t>
      </w:r>
    </w:p>
    <w:bookmarkEnd w:id="60"/>
    <w:bookmarkStart w:id="62" w:name="ref-bilalov2020"/>
    <w:p>
      <w:pPr>
        <w:pStyle w:val="Bibliography"/>
      </w:pPr>
      <w:r>
        <w:t xml:space="preserve">Bilalov, R. (2020)</w:t>
      </w:r>
      <w:r>
        <w:t xml:space="preserve"> </w:t>
      </w:r>
      <w:r>
        <w:rPr>
          <w:iCs/>
          <w:i/>
        </w:rPr>
        <w:t xml:space="preserve">Sheep realistic | characters | unity asset store</w:t>
      </w:r>
      <w:r>
        <w:t xml:space="preserve">. Uralsk, Kazakhstan: Red Deer. Available at:</w:t>
      </w:r>
      <w:r>
        <w:t xml:space="preserve"> </w:t>
      </w:r>
      <w:hyperlink r:id="rId61">
        <w:r>
          <w:rPr>
            <w:rStyle w:val="Hyperlink"/>
          </w:rPr>
          <w:t xml:space="preserve">https://assetstore.unity.com/packages/3d/characters/animals/mammals/sheep-realistic-176904</w:t>
        </w:r>
      </w:hyperlink>
      <w:r>
        <w:t xml:space="preserve">.</w:t>
      </w:r>
    </w:p>
    <w:bookmarkEnd w:id="62"/>
    <w:bookmarkStart w:id="64" w:name="ref-blenderonlinecommunity2021"/>
    <w:p>
      <w:pPr>
        <w:pStyle w:val="Bibliography"/>
      </w:pPr>
      <w:r>
        <w:t xml:space="preserve">Blender Online Community (2021)</w:t>
      </w:r>
      <w:r>
        <w:t xml:space="preserve"> </w:t>
      </w:r>
      <w:r>
        <w:rPr>
          <w:iCs/>
          <w:i/>
        </w:rPr>
        <w:t xml:space="preserve">Blender</w:t>
      </w:r>
      <w:r>
        <w:t xml:space="preserve">. Amsterdram: Blender Foundation. Available at:</w:t>
      </w:r>
      <w:r>
        <w:t xml:space="preserve"> </w:t>
      </w:r>
      <w:hyperlink r:id="rId63">
        <w:r>
          <w:rPr>
            <w:rStyle w:val="Hyperlink"/>
          </w:rPr>
          <w:t xml:space="preserve">https://www.blender.org/</w:t>
        </w:r>
      </w:hyperlink>
      <w:r>
        <w:t xml:space="preserve">.</w:t>
      </w:r>
    </w:p>
    <w:bookmarkEnd w:id="64"/>
    <w:bookmarkStart w:id="66" w:name="ref-bødker2000"/>
    <w:p>
      <w:pPr>
        <w:pStyle w:val="Bibliography"/>
      </w:pPr>
      <w:r>
        <w:t xml:space="preserve">Bødker, S. (2000)</w:t>
      </w:r>
      <w:r>
        <w:t xml:space="preserve"> </w:t>
      </w:r>
      <w:r>
        <w:t xml:space="preserve">‘Scenarios in user-centred design—setting the stage for reflection and action’</w:t>
      </w:r>
      <w:r>
        <w:t xml:space="preserve">,</w:t>
      </w:r>
      <w:r>
        <w:t xml:space="preserve"> </w:t>
      </w:r>
      <w:r>
        <w:rPr>
          <w:iCs/>
          <w:i/>
        </w:rPr>
        <w:t xml:space="preserve">Interacting with Computers</w:t>
      </w:r>
      <w:r>
        <w:t xml:space="preserve">, 13(1), pp. 61–75. Available at:</w:t>
      </w:r>
      <w:r>
        <w:t xml:space="preserve"> </w:t>
      </w:r>
      <w:hyperlink r:id="rId65">
        <w:r>
          <w:rPr>
            <w:rStyle w:val="Hyperlink"/>
          </w:rPr>
          <w:t xml:space="preserve">https://doi.org/10.1016/S0953-5438(00)00024-2</w:t>
        </w:r>
      </w:hyperlink>
      <w:r>
        <w:t xml:space="preserve">.</w:t>
      </w:r>
    </w:p>
    <w:bookmarkEnd w:id="66"/>
    <w:bookmarkStart w:id="68" w:name="ref-braun2006"/>
    <w:p>
      <w:pPr>
        <w:pStyle w:val="Bibliography"/>
      </w:pPr>
      <w:r>
        <w:t xml:space="preserve">Braun, V. and Clarke, V. (2006)</w:t>
      </w:r>
      <w:r>
        <w:t xml:space="preserve"> </w:t>
      </w:r>
      <w:r>
        <w:t xml:space="preserve">‘Using thematic analysis in psychology’</w:t>
      </w:r>
      <w:r>
        <w:t xml:space="preserve">,</w:t>
      </w:r>
      <w:r>
        <w:t xml:space="preserve"> </w:t>
      </w:r>
      <w:r>
        <w:rPr>
          <w:iCs/>
          <w:i/>
        </w:rPr>
        <w:t xml:space="preserve">Qualitative Research in Psychology</w:t>
      </w:r>
      <w:r>
        <w:t xml:space="preserve">, 3(2), pp. 77–101. Available at:</w:t>
      </w:r>
      <w:r>
        <w:t xml:space="preserve"> </w:t>
      </w:r>
      <w:hyperlink r:id="rId67">
        <w:r>
          <w:rPr>
            <w:rStyle w:val="Hyperlink"/>
          </w:rPr>
          <w:t xml:space="preserve">https://doi.org/10.1191/1478088706qp063oa</w:t>
        </w:r>
      </w:hyperlink>
      <w:r>
        <w:t xml:space="preserve">.</w:t>
      </w:r>
    </w:p>
    <w:bookmarkEnd w:id="68"/>
    <w:bookmarkStart w:id="70" w:name="ref-braun2021b"/>
    <w:p>
      <w:pPr>
        <w:pStyle w:val="Bibliography"/>
      </w:pPr>
      <w:r>
        <w:t xml:space="preserve">Braun, V. and Clarke, V. (2021a)</w:t>
      </w:r>
      <w:r>
        <w:t xml:space="preserve"> </w:t>
      </w:r>
      <w:r>
        <w:t xml:space="preserve">‘Can I use TA? Should I use TA? Should I not use TA? Comparing reflexive thematic analysis and other pattern-based qualitative analytic approaches’</w:t>
      </w:r>
      <w:r>
        <w:t xml:space="preserve">,</w:t>
      </w:r>
      <w:r>
        <w:t xml:space="preserve"> </w:t>
      </w:r>
      <w:r>
        <w:rPr>
          <w:iCs/>
          <w:i/>
        </w:rPr>
        <w:t xml:space="preserve">Counselling and Psychotherapy Research</w:t>
      </w:r>
      <w:r>
        <w:t xml:space="preserve">, 21(1), pp. 37–47. Available at:</w:t>
      </w:r>
      <w:r>
        <w:t xml:space="preserve"> </w:t>
      </w:r>
      <w:hyperlink r:id="rId69">
        <w:r>
          <w:rPr>
            <w:rStyle w:val="Hyperlink"/>
          </w:rPr>
          <w:t xml:space="preserve">https://doi.org/10.1002/capr.12360</w:t>
        </w:r>
      </w:hyperlink>
      <w:r>
        <w:t xml:space="preserve">.</w:t>
      </w:r>
    </w:p>
    <w:bookmarkEnd w:id="70"/>
    <w:bookmarkStart w:id="72" w:name="ref-braun2021a"/>
    <w:p>
      <w:pPr>
        <w:pStyle w:val="Bibliography"/>
      </w:pPr>
      <w:r>
        <w:t xml:space="preserve">Braun, V. and Clarke, V. (2021b)</w:t>
      </w:r>
      <w:r>
        <w:t xml:space="preserve"> </w:t>
      </w:r>
      <w:r>
        <w:rPr>
          <w:iCs/>
          <w:i/>
        </w:rPr>
        <w:t xml:space="preserve">Thematic analysis: A practical guide</w:t>
      </w:r>
      <w:r>
        <w:t xml:space="preserve">. SAGE Publications Ltd. Available at:</w:t>
      </w:r>
      <w:r>
        <w:t xml:space="preserve"> </w:t>
      </w:r>
      <w:hyperlink r:id="rId71">
        <w:r>
          <w:rPr>
            <w:rStyle w:val="Hyperlink"/>
          </w:rPr>
          <w:t xml:space="preserve">https://uk.sagepub.com/en-gb/eur/thematic-analysis/book248481</w:t>
        </w:r>
      </w:hyperlink>
      <w:r>
        <w:t xml:space="preserve">.</w:t>
      </w:r>
    </w:p>
    <w:bookmarkEnd w:id="72"/>
    <w:bookmarkStart w:id="74" w:name="ref-bueno1979"/>
    <w:p>
      <w:pPr>
        <w:pStyle w:val="Bibliography"/>
      </w:pPr>
      <w:r>
        <w:t xml:space="preserve">Bueno, L. and Ruckebusch, Y. (1979)</w:t>
      </w:r>
      <w:r>
        <w:t xml:space="preserve"> </w:t>
      </w:r>
      <w:r>
        <w:t xml:space="preserve">‘Ingestive behaviour in sheep under field conditions’</w:t>
      </w:r>
      <w:r>
        <w:t xml:space="preserve">,</w:t>
      </w:r>
      <w:r>
        <w:t xml:space="preserve"> </w:t>
      </w:r>
      <w:r>
        <w:rPr>
          <w:iCs/>
          <w:i/>
        </w:rPr>
        <w:t xml:space="preserve">Applied Animal Ethology</w:t>
      </w:r>
      <w:r>
        <w:t xml:space="preserve">, 5(2), pp. 179–187. Available at:</w:t>
      </w:r>
      <w:r>
        <w:t xml:space="preserve"> </w:t>
      </w:r>
      <w:hyperlink r:id="rId73">
        <w:r>
          <w:rPr>
            <w:rStyle w:val="Hyperlink"/>
          </w:rPr>
          <w:t xml:space="preserve">https://doi.org/10.1016/0304-3762(79)90089-0</w:t>
        </w:r>
      </w:hyperlink>
      <w:r>
        <w:t xml:space="preserve">.</w:t>
      </w:r>
    </w:p>
    <w:bookmarkEnd w:id="74"/>
    <w:bookmarkStart w:id="76" w:name="ref-champely2020"/>
    <w:p>
      <w:pPr>
        <w:pStyle w:val="Bibliography"/>
      </w:pPr>
      <w:r>
        <w:t xml:space="preserve">Champely, S., Ekstrom, C., Dalgaard, P., Gill, J., Weibelzahl, S., Anandkumar, A., Ford, C., Volcic, R. and Rosario, H.D. (2020)</w:t>
      </w:r>
      <w:r>
        <w:t xml:space="preserve"> </w:t>
      </w:r>
      <w:r>
        <w:rPr>
          <w:iCs/>
          <w:i/>
        </w:rPr>
        <w:t xml:space="preserve">Pwr: Basic functions for power analysis</w:t>
      </w:r>
      <w:r>
        <w:t xml:space="preserve">. Available at:</w:t>
      </w:r>
      <w:r>
        <w:t xml:space="preserve"> </w:t>
      </w:r>
      <w:hyperlink r:id="rId75">
        <w:r>
          <w:rPr>
            <w:rStyle w:val="Hyperlink"/>
          </w:rPr>
          <w:t xml:space="preserve">https://CRAN.R-project.org/package=pwr</w:t>
        </w:r>
      </w:hyperlink>
      <w:r>
        <w:t xml:space="preserve">.</w:t>
      </w:r>
    </w:p>
    <w:bookmarkEnd w:id="76"/>
    <w:bookmarkStart w:id="77" w:name="ref-cohen1977a"/>
    <w:p>
      <w:pPr>
        <w:pStyle w:val="Bibliography"/>
      </w:pPr>
      <w:r>
        <w:t xml:space="preserve">Cohen, J. (1977)</w:t>
      </w:r>
      <w:r>
        <w:t xml:space="preserve"> </w:t>
      </w:r>
      <w:r>
        <w:rPr>
          <w:iCs/>
          <w:i/>
        </w:rPr>
        <w:t xml:space="preserve">Statistical Power Analysis for the Behavioral Sciences</w:t>
      </w:r>
      <w:r>
        <w:t xml:space="preserve">. Cambridge, Massachusetts: Academic Press.</w:t>
      </w:r>
    </w:p>
    <w:bookmarkEnd w:id="77"/>
    <w:bookmarkStart w:id="79" w:name="ref-crowley2021"/>
    <w:p>
      <w:pPr>
        <w:pStyle w:val="Bibliography"/>
      </w:pPr>
      <w:r>
        <w:t xml:space="preserve">Crowley, E.J., Silk, M.J. and Crowley, S.L. (2021)</w:t>
      </w:r>
      <w:r>
        <w:t xml:space="preserve"> </w:t>
      </w:r>
      <w:r>
        <w:t xml:space="preserve">‘The educational value of virtual ecologies in</w:t>
      </w:r>
      <w:r>
        <w:t xml:space="preserve"> </w:t>
      </w:r>
      <w:r>
        <w:t xml:space="preserve">Red</w:t>
      </w:r>
      <w:r>
        <w:t xml:space="preserve"> </w:t>
      </w:r>
      <w:r>
        <w:t xml:space="preserve">Dead</w:t>
      </w:r>
      <w:r>
        <w:t xml:space="preserve"> </w:t>
      </w:r>
      <w:r>
        <w:t xml:space="preserve">Redemption</w:t>
      </w:r>
      <w:r>
        <w:t xml:space="preserve"> </w:t>
      </w:r>
      <w:r>
        <w:t xml:space="preserve">2’</w:t>
      </w:r>
      <w:r>
        <w:t xml:space="preserve">,</w:t>
      </w:r>
      <w:r>
        <w:t xml:space="preserve"> </w:t>
      </w:r>
      <w:r>
        <w:rPr>
          <w:iCs/>
          <w:i/>
        </w:rPr>
        <w:t xml:space="preserve">People and Nature</w:t>
      </w:r>
      <w:r>
        <w:t xml:space="preserve">, n/a(n/a). Available at:</w:t>
      </w:r>
      <w:r>
        <w:t xml:space="preserve"> </w:t>
      </w:r>
      <w:hyperlink r:id="rId78">
        <w:r>
          <w:rPr>
            <w:rStyle w:val="Hyperlink"/>
          </w:rPr>
          <w:t xml:space="preserve">https://doi.org/10.1002/pan3.10242</w:t>
        </w:r>
      </w:hyperlink>
      <w:r>
        <w:t xml:space="preserve">.</w:t>
      </w:r>
    </w:p>
    <w:bookmarkEnd w:id="79"/>
    <w:bookmarkStart w:id="81" w:name="ref-davies2017"/>
    <w:p>
      <w:pPr>
        <w:pStyle w:val="Bibliography"/>
      </w:pPr>
      <w:r>
        <w:t xml:space="preserve">Davies, P., Remnant, J.G., Green, M.J., Gascoigne, E., Gibbon, N., Hyde, R., Porteous, J.R., Schubert, K., Lovatt, F. and Corbishley, A. (2017)</w:t>
      </w:r>
      <w:r>
        <w:t xml:space="preserve"> </w:t>
      </w:r>
      <w:r>
        <w:t xml:space="preserve">‘Quantitative analysis of antibiotic usage in British sheep flocks’</w:t>
      </w:r>
      <w:r>
        <w:t xml:space="preserve">,</w:t>
      </w:r>
      <w:r>
        <w:t xml:space="preserve"> </w:t>
      </w:r>
      <w:r>
        <w:rPr>
          <w:iCs/>
          <w:i/>
        </w:rPr>
        <w:t xml:space="preserve">Veterinary Record</w:t>
      </w:r>
      <w:r>
        <w:t xml:space="preserve">, 181(19), pp. 511–511. Available at:</w:t>
      </w:r>
      <w:r>
        <w:t xml:space="preserve"> </w:t>
      </w:r>
      <w:hyperlink r:id="rId80">
        <w:r>
          <w:rPr>
            <w:rStyle w:val="Hyperlink"/>
          </w:rPr>
          <w:t xml:space="preserve">https://doi.org/10.1136/vr.104501</w:t>
        </w:r>
      </w:hyperlink>
      <w:r>
        <w:t xml:space="preserve">.</w:t>
      </w:r>
    </w:p>
    <w:bookmarkEnd w:id="81"/>
    <w:bookmarkStart w:id="83" w:name="ref-eklund2021"/>
    <w:p>
      <w:pPr>
        <w:pStyle w:val="Bibliography"/>
      </w:pPr>
      <w:r>
        <w:t xml:space="preserve">Eklund, A. and Trimble, J. (2021)</w:t>
      </w:r>
      <w:r>
        <w:t xml:space="preserve"> </w:t>
      </w:r>
      <w:r>
        <w:rPr>
          <w:iCs/>
          <w:i/>
        </w:rPr>
        <w:t xml:space="preserve">Beeswarm: The bee swarm plot, an alternative to stripchart</w:t>
      </w:r>
      <w:r>
        <w:t xml:space="preserve">. Vienna, Austria: R Foundation for Statistical Computing. Available at:</w:t>
      </w:r>
      <w:r>
        <w:t xml:space="preserve"> </w:t>
      </w:r>
      <w:hyperlink r:id="rId82">
        <w:r>
          <w:rPr>
            <w:rStyle w:val="Hyperlink"/>
          </w:rPr>
          <w:t xml:space="preserve">https://CRAN.R-project.org/package=beeswarm</w:t>
        </w:r>
      </w:hyperlink>
      <w:r>
        <w:t xml:space="preserve">.</w:t>
      </w:r>
    </w:p>
    <w:bookmarkEnd w:id="83"/>
    <w:bookmarkStart w:id="85" w:name="ref-fallman2008"/>
    <w:p>
      <w:pPr>
        <w:pStyle w:val="Bibliography"/>
      </w:pPr>
      <w:r>
        <w:t xml:space="preserve">Fallman, D. (2008)</w:t>
      </w:r>
      <w:r>
        <w:t xml:space="preserve"> </w:t>
      </w:r>
      <w:r>
        <w:t xml:space="preserve">‘The</w:t>
      </w:r>
      <w:r>
        <w:t xml:space="preserve"> </w:t>
      </w:r>
      <w:r>
        <w:t xml:space="preserve">Interaction</w:t>
      </w:r>
      <w:r>
        <w:t xml:space="preserve"> </w:t>
      </w:r>
      <w:r>
        <w:t xml:space="preserve">Design</w:t>
      </w:r>
      <w:r>
        <w:t xml:space="preserve"> </w:t>
      </w:r>
      <w:r>
        <w:t xml:space="preserve">Research</w:t>
      </w:r>
      <w:r>
        <w:t xml:space="preserve"> </w:t>
      </w:r>
      <w:r>
        <w:t xml:space="preserve">Triangle</w:t>
      </w:r>
      <w:r>
        <w:t xml:space="preserve"> </w:t>
      </w:r>
      <w:r>
        <w:t xml:space="preserve">of</w:t>
      </w:r>
      <w:r>
        <w:t xml:space="preserve"> </w:t>
      </w:r>
      <w:r>
        <w:t xml:space="preserve">Design</w:t>
      </w:r>
      <w:r>
        <w:t xml:space="preserve"> </w:t>
      </w:r>
      <w:r>
        <w:t xml:space="preserve">Practice</w:t>
      </w:r>
      <w:r>
        <w:t xml:space="preserve">,</w:t>
      </w:r>
      <w:r>
        <w:t xml:space="preserve"> </w:t>
      </w:r>
      <w:r>
        <w:t xml:space="preserve">Design</w:t>
      </w:r>
      <w:r>
        <w:t xml:space="preserve"> </w:t>
      </w:r>
      <w:r>
        <w:t xml:space="preserve">Studies</w:t>
      </w:r>
      <w:r>
        <w:t xml:space="preserve">, and</w:t>
      </w:r>
      <w:r>
        <w:t xml:space="preserve"> </w:t>
      </w:r>
      <w:r>
        <w:t xml:space="preserve">Design</w:t>
      </w:r>
      <w:r>
        <w:t xml:space="preserve"> </w:t>
      </w:r>
      <w:r>
        <w:t xml:space="preserve">Exploration</w:t>
      </w:r>
      <w:r>
        <w:t xml:space="preserve">’</w:t>
      </w:r>
      <w:r>
        <w:t xml:space="preserve">,</w:t>
      </w:r>
      <w:r>
        <w:t xml:space="preserve"> </w:t>
      </w:r>
      <w:r>
        <w:rPr>
          <w:iCs/>
          <w:i/>
        </w:rPr>
        <w:t xml:space="preserve">Design Issues</w:t>
      </w:r>
      <w:r>
        <w:t xml:space="preserve">, 24(3), pp. 4–18. Available at:</w:t>
      </w:r>
      <w:r>
        <w:t xml:space="preserve"> </w:t>
      </w:r>
      <w:hyperlink r:id="rId84">
        <w:r>
          <w:rPr>
            <w:rStyle w:val="Hyperlink"/>
          </w:rPr>
          <w:t xml:space="preserve">https://www.jstor.org/stable/25224179</w:t>
        </w:r>
      </w:hyperlink>
      <w:r>
        <w:t xml:space="preserve"> </w:t>
      </w:r>
      <w:r>
        <w:t xml:space="preserve">(Accessed: 31 August 2022).</w:t>
      </w:r>
    </w:p>
    <w:bookmarkEnd w:id="85"/>
    <w:bookmarkStart w:id="87" w:name="ref-fawc2011"/>
    <w:p>
      <w:pPr>
        <w:pStyle w:val="Bibliography"/>
      </w:pPr>
      <w:r>
        <w:t xml:space="preserve">FAWC (2011)</w:t>
      </w:r>
      <w:r>
        <w:t xml:space="preserve"> </w:t>
      </w:r>
      <w:r>
        <w:t xml:space="preserve">‘FAWC opinion on sheep lameness’</w:t>
      </w:r>
      <w:r>
        <w:t xml:space="preserve">. Available at:</w:t>
      </w:r>
      <w:r>
        <w:t xml:space="preserve"> </w:t>
      </w:r>
      <w:hyperlink r:id="rId86">
        <w:r>
          <w:rPr>
            <w:rStyle w:val="Hyperlink"/>
          </w:rPr>
          <w:t xml:space="preserve">https://www.gov.uk/government/publications/fawc-opinion-on-sheep-lameness</w:t>
        </w:r>
      </w:hyperlink>
      <w:r>
        <w:t xml:space="preserve">.</w:t>
      </w:r>
    </w:p>
    <w:bookmarkEnd w:id="87"/>
    <w:bookmarkStart w:id="89" w:name="ref-fountasspyros2019"/>
    <w:p>
      <w:pPr>
        <w:pStyle w:val="Bibliography"/>
      </w:pPr>
      <w:r>
        <w:t xml:space="preserve">Fountas, Spyros, Tsiropoulos, Zisis, Stamatelopoulos, Panagiotis, Anastasiou, Evangelos, Hutzenlaub, Tim, Radišić, Mladen, Minic, Vladan and Rau, Patrick (2019)</w:t>
      </w:r>
      <w:r>
        <w:t xml:space="preserve"> </w:t>
      </w:r>
      <w:r>
        <w:t xml:space="preserve">‘EFITA-HAICTA-WCCA Congress’</w:t>
      </w:r>
      <w:r>
        <w:t xml:space="preserve">, in. Rhodes, Greece: EFITA. Available at:</w:t>
      </w:r>
      <w:r>
        <w:t xml:space="preserve"> </w:t>
      </w:r>
      <w:hyperlink r:id="rId88">
        <w:r>
          <w:rPr>
            <w:rStyle w:val="Hyperlink"/>
          </w:rPr>
          <w:t xml:space="preserve">https://efita2021.com/wp-content/uploads/2021/12/EFITA_Proceedings_e-book.pdf</w:t>
        </w:r>
      </w:hyperlink>
      <w:r>
        <w:t xml:space="preserve">.</w:t>
      </w:r>
    </w:p>
    <w:bookmarkEnd w:id="89"/>
    <w:bookmarkStart w:id="91" w:name="ref-gates2019"/>
    <w:p>
      <w:pPr>
        <w:pStyle w:val="Bibliography"/>
      </w:pPr>
      <w:r>
        <w:t xml:space="preserve">GATES (2019)</w:t>
      </w:r>
      <w:r>
        <w:t xml:space="preserve"> </w:t>
      </w:r>
      <w:r>
        <w:t xml:space="preserve">‘Gates</w:t>
      </w:r>
      <w:r>
        <w:t xml:space="preserve"> </w:t>
      </w:r>
      <w:r>
        <w:t xml:space="preserve"> </w:t>
      </w:r>
      <w:r>
        <w:t xml:space="preserve">Smart</w:t>
      </w:r>
      <w:r>
        <w:t xml:space="preserve"> </w:t>
      </w:r>
      <w:r>
        <w:t xml:space="preserve">Farming</w:t>
      </w:r>
      <w:r>
        <w:t xml:space="preserve">.’</w:t>
      </w:r>
      <w:r>
        <w:t xml:space="preserve">,</w:t>
      </w:r>
      <w:r>
        <w:t xml:space="preserve"> </w:t>
      </w:r>
      <w:r>
        <w:rPr>
          <w:iCs/>
          <w:i/>
        </w:rPr>
        <w:t xml:space="preserve">Gates</w:t>
      </w:r>
      <w:r>
        <w:rPr>
          <w:iCs/>
          <w:i/>
        </w:rPr>
        <w:t xml:space="preserve"> </w:t>
      </w:r>
      <w:r>
        <w:rPr>
          <w:iCs/>
          <w:i/>
        </w:rPr>
        <w:t xml:space="preserve"> </w:t>
      </w:r>
      <w:r>
        <w:rPr>
          <w:iCs/>
          <w:i/>
        </w:rPr>
        <w:t xml:space="preserve">Smart Farming.</w:t>
      </w:r>
      <w:r>
        <w:t xml:space="preserve"> Available at:</w:t>
      </w:r>
      <w:r>
        <w:t xml:space="preserve"> </w:t>
      </w:r>
      <w:hyperlink r:id="rId90">
        <w:r>
          <w:rPr>
            <w:rStyle w:val="Hyperlink"/>
          </w:rPr>
          <w:t xml:space="preserve">https://www.gates-game.eu/en</w:t>
        </w:r>
      </w:hyperlink>
      <w:r>
        <w:t xml:space="preserve"> </w:t>
      </w:r>
      <w:r>
        <w:t xml:space="preserve">(Accessed: 6 January 2022).</w:t>
      </w:r>
    </w:p>
    <w:bookmarkEnd w:id="91"/>
    <w:bookmarkStart w:id="93" w:name="ref-green2018"/>
    <w:p>
      <w:pPr>
        <w:pStyle w:val="Bibliography"/>
      </w:pPr>
      <w:r>
        <w:t xml:space="preserve">Green, L. and Clifton, R. (2018)</w:t>
      </w:r>
      <w:r>
        <w:t xml:space="preserve"> </w:t>
      </w:r>
      <w:r>
        <w:t xml:space="preserve">‘Diagnosing and managing footrot in sheep: an update’</w:t>
      </w:r>
      <w:r>
        <w:t xml:space="preserve">,</w:t>
      </w:r>
      <w:r>
        <w:t xml:space="preserve"> </w:t>
      </w:r>
      <w:r>
        <w:rPr>
          <w:iCs/>
          <w:i/>
        </w:rPr>
        <w:t xml:space="preserve">In Practice</w:t>
      </w:r>
      <w:r>
        <w:t xml:space="preserve">, 40(1), pp. 17–26. Available at:</w:t>
      </w:r>
      <w:r>
        <w:t xml:space="preserve"> </w:t>
      </w:r>
      <w:hyperlink r:id="rId92">
        <w:r>
          <w:rPr>
            <w:rStyle w:val="Hyperlink"/>
          </w:rPr>
          <w:t xml:space="preserve">https://doi.org/10.1136/inp.j4575</w:t>
        </w:r>
      </w:hyperlink>
      <w:r>
        <w:t xml:space="preserve">.</w:t>
      </w:r>
    </w:p>
    <w:bookmarkEnd w:id="93"/>
    <w:bookmarkStart w:id="95" w:name="ref-hanington2017"/>
    <w:p>
      <w:pPr>
        <w:pStyle w:val="Bibliography"/>
      </w:pPr>
      <w:r>
        <w:t xml:space="preserve">Hanington, B. (2017)</w:t>
      </w:r>
      <w:r>
        <w:t xml:space="preserve"> </w:t>
      </w:r>
      <w:r>
        <w:t xml:space="preserve">‘Empathy,</w:t>
      </w:r>
      <w:r>
        <w:t xml:space="preserve"> </w:t>
      </w:r>
      <w:r>
        <w:t xml:space="preserve">Values</w:t>
      </w:r>
      <w:r>
        <w:t xml:space="preserve">, and</w:t>
      </w:r>
      <w:r>
        <w:t xml:space="preserve"> </w:t>
      </w:r>
      <w:r>
        <w:t xml:space="preserve">Situated</w:t>
      </w:r>
      <w:r>
        <w:t xml:space="preserve"> </w:t>
      </w:r>
      <w:r>
        <w:t xml:space="preserve">Action</w:t>
      </w:r>
      <w:r>
        <w:t xml:space="preserve">:</w:t>
      </w:r>
      <w:r>
        <w:t xml:space="preserve"> </w:t>
      </w:r>
      <w:r>
        <w:t xml:space="preserve">Sustaining</w:t>
      </w:r>
      <w:r>
        <w:t xml:space="preserve"> </w:t>
      </w:r>
      <w:r>
        <w:t xml:space="preserve">people and planet through human centered design’</w:t>
      </w:r>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1st edn. Routledge. Available at:</w:t>
      </w:r>
      <w:r>
        <w:t xml:space="preserve"> </w:t>
      </w:r>
      <w:hyperlink r:id="rId94">
        <w:r>
          <w:rPr>
            <w:rStyle w:val="Hyperlink"/>
          </w:rPr>
          <w:t xml:space="preserve">https://www.taylorfrancis.com/chapters/edit/10.4324/9781315625508-19/empathy-values-situated-action-bruce-hanington</w:t>
        </w:r>
      </w:hyperlink>
      <w:r>
        <w:t xml:space="preserve"> </w:t>
      </w:r>
      <w:r>
        <w:t xml:space="preserve">(Accessed: 31 August 2022).</w:t>
      </w:r>
    </w:p>
    <w:bookmarkEnd w:id="95"/>
    <w:bookmarkStart w:id="97" w:name="ref-hernandez-aguilera2020"/>
    <w:p>
      <w:pPr>
        <w:pStyle w:val="Bibliography"/>
      </w:pPr>
      <w:r>
        <w:t xml:space="preserve">Hernandez-Aguilera, J.N., Mauerman, M., Herrera, A., Vasilaky, K., Baethgen, W., Loboguerrero, A.M., Diro, R., Tesfamariam Tekeste, Y. and Osgood, D. (2020)</w:t>
      </w:r>
      <w:r>
        <w:t xml:space="preserve"> </w:t>
      </w:r>
      <w:r>
        <w:t xml:space="preserve">‘Games and Fieldwork in Agriculture: A Systematic Review of the 21st Century in Economics and Social Science’</w:t>
      </w:r>
      <w:r>
        <w:t xml:space="preserve">,</w:t>
      </w:r>
      <w:r>
        <w:t xml:space="preserve"> </w:t>
      </w:r>
      <w:r>
        <w:rPr>
          <w:iCs/>
          <w:i/>
        </w:rPr>
        <w:t xml:space="preserve">Games</w:t>
      </w:r>
      <w:r>
        <w:t xml:space="preserve">, 11(4), p. 47. Available at:</w:t>
      </w:r>
      <w:r>
        <w:t xml:space="preserve"> </w:t>
      </w:r>
      <w:hyperlink r:id="rId96">
        <w:r>
          <w:rPr>
            <w:rStyle w:val="Hyperlink"/>
          </w:rPr>
          <w:t xml:space="preserve">https://doi.org/10.3390/g11040047</w:t>
        </w:r>
      </w:hyperlink>
      <w:r>
        <w:t xml:space="preserve">.</w:t>
      </w:r>
    </w:p>
    <w:bookmarkEnd w:id="97"/>
    <w:bookmarkStart w:id="99" w:name="ref-jones2022"/>
    <w:p>
      <w:pPr>
        <w:pStyle w:val="Bibliography"/>
      </w:pPr>
      <w:r>
        <w:t xml:space="preserve">Jones, A. (2022)</w:t>
      </w:r>
      <w:r>
        <w:t xml:space="preserve"> </w:t>
      </w:r>
      <w:r>
        <w:t xml:space="preserve">‘Just farmers’</w:t>
      </w:r>
      <w:r>
        <w:t xml:space="preserve">. Available at:</w:t>
      </w:r>
      <w:r>
        <w:t xml:space="preserve"> </w:t>
      </w:r>
      <w:hyperlink r:id="rId98">
        <w:r>
          <w:rPr>
            <w:rStyle w:val="Hyperlink"/>
          </w:rPr>
          <w:t xml:space="preserve">https://www.justfarmers.org/</w:t>
        </w:r>
      </w:hyperlink>
      <w:r>
        <w:t xml:space="preserve">.</w:t>
      </w:r>
    </w:p>
    <w:bookmarkEnd w:id="99"/>
    <w:bookmarkStart w:id="101" w:name="ref-jones2020"/>
    <w:p>
      <w:pPr>
        <w:pStyle w:val="Bibliography"/>
      </w:pPr>
      <w:r>
        <w:t xml:space="preserve">Jones, M., Hughes, R., Murray, A., Verdezoto, N. and Barnish, M. (2020)</w:t>
      </w:r>
      <w:r>
        <w:t xml:space="preserve"> </w:t>
      </w:r>
      <w:r>
        <w:t xml:space="preserve">‘Exploring antibiotic use practices in livestock production through a novel, game-based approach’</w:t>
      </w:r>
      <w:r>
        <w:t xml:space="preserve">. Available at:</w:t>
      </w:r>
      <w:r>
        <w:t xml:space="preserve"> </w:t>
      </w:r>
      <w:hyperlink r:id="rId100">
        <w:r>
          <w:rPr>
            <w:rStyle w:val="Hyperlink"/>
          </w:rPr>
          <w:t xml:space="preserve">https://gw4.ac.uk/exploring-antibiotic-use-practices-in-livestock-production-through-a-novel-game-based-approach/</w:t>
        </w:r>
      </w:hyperlink>
      <w:r>
        <w:t xml:space="preserve">.</w:t>
      </w:r>
    </w:p>
    <w:bookmarkEnd w:id="101"/>
    <w:bookmarkStart w:id="102" w:name="ref-kaler2011"/>
    <w:p>
      <w:pPr>
        <w:pStyle w:val="Bibliography"/>
      </w:pPr>
      <w:r>
        <w:t xml:space="preserve">Kaler, J. and George, T.R.N. (2011)</w:t>
      </w:r>
      <w:r>
        <w:t xml:space="preserve"> </w:t>
      </w:r>
      <w:r>
        <w:t xml:space="preserve">‘Why are sheep lame? Temporal associations between severity of foot lesions and severity of lameness in 60 sheep’</w:t>
      </w:r>
      <w:r>
        <w:t xml:space="preserve">,</w:t>
      </w:r>
      <w:r>
        <w:t xml:space="preserve"> </w:t>
      </w:r>
      <w:r>
        <w:rPr>
          <w:iCs/>
          <w:i/>
        </w:rPr>
        <w:t xml:space="preserve">Animal Welfare</w:t>
      </w:r>
      <w:r>
        <w:t xml:space="preserve">, 20, p. 1.</w:t>
      </w:r>
    </w:p>
    <w:bookmarkEnd w:id="102"/>
    <w:bookmarkStart w:id="104" w:name="ref-kaler2008"/>
    <w:p>
      <w:pPr>
        <w:pStyle w:val="Bibliography"/>
      </w:pPr>
      <w:r>
        <w:t xml:space="preserve">Kaler, J. and Green, L. (2008)</w:t>
      </w:r>
      <w:r>
        <w:t xml:space="preserve"> </w:t>
      </w:r>
      <w:r>
        <w:t xml:space="preserve">‘Recognition of lameness and decisions to catch for inspection among sheep farmers and specialists in</w:t>
      </w:r>
      <w:r>
        <w:t xml:space="preserve"> </w:t>
      </w:r>
      <w:r>
        <w:t xml:space="preserve">GB</w:t>
      </w:r>
      <w:r>
        <w:t xml:space="preserve">’</w:t>
      </w:r>
      <w:r>
        <w:t xml:space="preserve">,</w:t>
      </w:r>
      <w:r>
        <w:t xml:space="preserve"> </w:t>
      </w:r>
      <w:r>
        <w:rPr>
          <w:iCs/>
          <w:i/>
        </w:rPr>
        <w:t xml:space="preserve">BMC Veterinary Research</w:t>
      </w:r>
      <w:r>
        <w:t xml:space="preserve">, 4(1), p. 41. Available at:</w:t>
      </w:r>
      <w:r>
        <w:t xml:space="preserve"> </w:t>
      </w:r>
      <w:hyperlink r:id="rId103">
        <w:r>
          <w:rPr>
            <w:rStyle w:val="Hyperlink"/>
          </w:rPr>
          <w:t xml:space="preserve">https://doi.org/10.1186/1746-6148-4-41</w:t>
        </w:r>
      </w:hyperlink>
      <w:r>
        <w:t xml:space="preserve">.</w:t>
      </w:r>
    </w:p>
    <w:bookmarkEnd w:id="104"/>
    <w:bookmarkStart w:id="106" w:name="ref-kaler2019"/>
    <w:p>
      <w:pPr>
        <w:pStyle w:val="Bibliography"/>
      </w:pPr>
      <w:r>
        <w:t xml:space="preserve">Kaler, J., Mitsch, J., Vázquez-Diosdado, J.A., Bollard, N., Dottorini, T. and Ellis, K.A. (2019)</w:t>
      </w:r>
      <w:r>
        <w:t xml:space="preserve"> </w:t>
      </w:r>
      <w:r>
        <w:t xml:space="preserve">‘Automated detection of lameness in sheep using machine learning approaches: Novel insights into behavioural differences among lame and non-lame sheep’</w:t>
      </w:r>
      <w:r>
        <w:t xml:space="preserve">,</w:t>
      </w:r>
      <w:r>
        <w:t xml:space="preserve"> </w:t>
      </w:r>
      <w:r>
        <w:rPr>
          <w:iCs/>
          <w:i/>
        </w:rPr>
        <w:t xml:space="preserve">Royal Society Open Science</w:t>
      </w:r>
      <w:r>
        <w:t xml:space="preserve">, 7(1), p. 190824. Available at:</w:t>
      </w:r>
      <w:r>
        <w:t xml:space="preserve"> </w:t>
      </w:r>
      <w:hyperlink r:id="rId105">
        <w:r>
          <w:rPr>
            <w:rStyle w:val="Hyperlink"/>
          </w:rPr>
          <w:t xml:space="preserve">https://doi.org/10.1098/rsos.190824</w:t>
        </w:r>
      </w:hyperlink>
      <w:r>
        <w:t xml:space="preserve">.</w:t>
      </w:r>
    </w:p>
    <w:bookmarkEnd w:id="106"/>
    <w:bookmarkStart w:id="108" w:name="ref-kaler2009"/>
    <w:p>
      <w:pPr>
        <w:pStyle w:val="Bibliography"/>
      </w:pPr>
      <w:r>
        <w:t xml:space="preserve">Kaler, J., Wassink, G.J. and Green, L. (2009)</w:t>
      </w:r>
      <w:r>
        <w:t xml:space="preserve"> </w:t>
      </w:r>
      <w:r>
        <w:t xml:space="preserve">‘The inter- and intra-observer reliability of a locomotion scoring scale for sheep’</w:t>
      </w:r>
      <w:r>
        <w:t xml:space="preserve">,</w:t>
      </w:r>
      <w:r>
        <w:t xml:space="preserve"> </w:t>
      </w:r>
      <w:r>
        <w:rPr>
          <w:iCs/>
          <w:i/>
        </w:rPr>
        <w:t xml:space="preserve">The Veterinary Journal</w:t>
      </w:r>
      <w:r>
        <w:t xml:space="preserve">, 180(2), pp. 189–194. Available at:</w:t>
      </w:r>
      <w:r>
        <w:t xml:space="preserve"> </w:t>
      </w:r>
      <w:hyperlink r:id="rId107">
        <w:r>
          <w:rPr>
            <w:rStyle w:val="Hyperlink"/>
          </w:rPr>
          <w:t xml:space="preserve">https://doi.org/10.1016/j.tvjl.2007.12.028</w:t>
        </w:r>
      </w:hyperlink>
      <w:r>
        <w:t xml:space="preserve">.</w:t>
      </w:r>
    </w:p>
    <w:bookmarkEnd w:id="108"/>
    <w:bookmarkStart w:id="110" w:name="ref-komsta2022"/>
    <w:p>
      <w:pPr>
        <w:pStyle w:val="Bibliography"/>
      </w:pPr>
      <w:r>
        <w:t xml:space="preserve">Komsta, L. and Novomestky, F. (2022)</w:t>
      </w:r>
      <w:r>
        <w:t xml:space="preserve"> </w:t>
      </w:r>
      <w:r>
        <w:rPr>
          <w:iCs/>
          <w:i/>
        </w:rPr>
        <w:t xml:space="preserve">Moments: Moments, cumulants, skewness, kurtosis and related tests</w:t>
      </w:r>
      <w:r>
        <w:t xml:space="preserve">. Vienna, Austria: R Foundation for Statistical Computing. Available at:</w:t>
      </w:r>
      <w:r>
        <w:t xml:space="preserve"> </w:t>
      </w:r>
      <w:hyperlink r:id="rId109">
        <w:r>
          <w:rPr>
            <w:rStyle w:val="Hyperlink"/>
          </w:rPr>
          <w:t xml:space="preserve">https://CRAN.R-project.org/package=moments</w:t>
        </w:r>
      </w:hyperlink>
      <w:r>
        <w:t xml:space="preserve">.</w:t>
      </w:r>
    </w:p>
    <w:bookmarkEnd w:id="110"/>
    <w:bookmarkStart w:id="112" w:name="ref-lane2018"/>
    <w:p>
      <w:pPr>
        <w:pStyle w:val="Bibliography"/>
      </w:pPr>
      <w:r>
        <w:t xml:space="preserve">Lane, R. (2018)</w:t>
      </w:r>
      <w:r>
        <w:t xml:space="preserve"> </w:t>
      </w:r>
      <w:r>
        <w:t xml:space="preserve">‘Meet the real-life farmers who play farming simulator’</w:t>
      </w:r>
      <w:r>
        <w:t xml:space="preserve">,</w:t>
      </w:r>
      <w:r>
        <w:t xml:space="preserve"> </w:t>
      </w:r>
      <w:r>
        <w:rPr>
          <w:iCs/>
          <w:i/>
        </w:rPr>
        <w:t xml:space="preserve">The Guardian</w:t>
      </w:r>
      <w:r>
        <w:t xml:space="preserve"> </w:t>
      </w:r>
      <w:r>
        <w:t xml:space="preserve">[Preprint]. Available at:</w:t>
      </w:r>
      <w:r>
        <w:t xml:space="preserve"> </w:t>
      </w:r>
      <w:hyperlink r:id="rId111">
        <w:r>
          <w:rPr>
            <w:rStyle w:val="Hyperlink"/>
          </w:rPr>
          <w:t xml:space="preserve">https://www.theguardian.com/games/2018/jul/24/meet-the-real-life-farmers-who-play-farming-simulator</w:t>
        </w:r>
      </w:hyperlink>
      <w:r>
        <w:t xml:space="preserve">.</w:t>
      </w:r>
    </w:p>
    <w:bookmarkEnd w:id="112"/>
    <w:bookmarkStart w:id="114" w:name="ref-lehtonen2017"/>
    <w:p>
      <w:pPr>
        <w:pStyle w:val="Bibliography"/>
      </w:pPr>
      <w:r>
        <w:t xml:space="preserve">Lehtonen, S. (2017)</w:t>
      </w:r>
      <w:r>
        <w:t xml:space="preserve"> </w:t>
      </w:r>
      <w:r>
        <w:rPr>
          <w:iCs/>
          <w:i/>
        </w:rPr>
        <w:t xml:space="preserve">sFuture targeting | 3D props | unity asset store</w:t>
      </w:r>
      <w:r>
        <w:t xml:space="preserve">. Sweden: Sami Lehtonen. Available at:</w:t>
      </w:r>
      <w:r>
        <w:t xml:space="preserve"> </w:t>
      </w:r>
      <w:hyperlink r:id="rId113">
        <w:r>
          <w:rPr>
            <w:rStyle w:val="Hyperlink"/>
          </w:rPr>
          <w:t xml:space="preserve">https://assetstore.unity.com/packages/3d/props/sfuture-targeting-83113</w:t>
        </w:r>
      </w:hyperlink>
      <w:r>
        <w:t xml:space="preserve">.</w:t>
      </w:r>
    </w:p>
    <w:bookmarkEnd w:id="114"/>
    <w:bookmarkStart w:id="116" w:name="ref-lim2008"/>
    <w:p>
      <w:pPr>
        <w:pStyle w:val="Bibliography"/>
      </w:pPr>
      <w:r>
        <w:t xml:space="preserve">Lim, Y.-K., Stolterman, E. and Tenenberg, J. (2008)</w:t>
      </w:r>
      <w:r>
        <w:t xml:space="preserve"> </w:t>
      </w:r>
      <w:r>
        <w:t xml:space="preserve">‘The anatomy of prototypes:</w:t>
      </w:r>
      <w:r>
        <w:t xml:space="preserve"> </w:t>
      </w:r>
      <w:r>
        <w:t xml:space="preserve">Prototypes</w:t>
      </w:r>
      <w:r>
        <w:t xml:space="preserve"> </w:t>
      </w:r>
      <w:r>
        <w:t xml:space="preserve">as filters, prototypes as manifestations of design ideas’</w:t>
      </w:r>
      <w:r>
        <w:t xml:space="preserve">,</w:t>
      </w:r>
      <w:r>
        <w:t xml:space="preserve"> </w:t>
      </w:r>
      <w:r>
        <w:rPr>
          <w:iCs/>
          <w:i/>
        </w:rPr>
        <w:t xml:space="preserve">ACM Transactions on Computer-Human Interaction</w:t>
      </w:r>
      <w:r>
        <w:t xml:space="preserve">, 15(2), pp. 7:1–7:27. Available at:</w:t>
      </w:r>
      <w:r>
        <w:t xml:space="preserve"> </w:t>
      </w:r>
      <w:hyperlink r:id="rId115">
        <w:r>
          <w:rPr>
            <w:rStyle w:val="Hyperlink"/>
          </w:rPr>
          <w:t xml:space="preserve">https://doi.org/10.1145/1375761.1375762</w:t>
        </w:r>
      </w:hyperlink>
      <w:r>
        <w:t xml:space="preserve">.</w:t>
      </w:r>
    </w:p>
    <w:bookmarkEnd w:id="116"/>
    <w:bookmarkStart w:id="118" w:name="ref-michsky2021"/>
    <w:p>
      <w:pPr>
        <w:pStyle w:val="Bibliography"/>
      </w:pPr>
      <w:r>
        <w:t xml:space="preserve">Michsky (2021)</w:t>
      </w:r>
      <w:r>
        <w:t xml:space="preserve"> </w:t>
      </w:r>
      <w:r>
        <w:rPr>
          <w:iCs/>
          <w:i/>
        </w:rPr>
        <w:t xml:space="preserve">Modern UI pack | GUI tools | unity asset store</w:t>
      </w:r>
      <w:r>
        <w:t xml:space="preserve">. no place: Michsky. Available at:</w:t>
      </w:r>
      <w:r>
        <w:t xml:space="preserve"> </w:t>
      </w:r>
      <w:hyperlink r:id="rId117">
        <w:r>
          <w:rPr>
            <w:rStyle w:val="Hyperlink"/>
          </w:rPr>
          <w:t xml:space="preserve">https://assetstore.unity.com/packages/tools/gui/modern-ui-pack-201717</w:t>
        </w:r>
      </w:hyperlink>
      <w:r>
        <w:t xml:space="preserve">.</w:t>
      </w:r>
    </w:p>
    <w:bookmarkEnd w:id="118"/>
    <w:bookmarkStart w:id="120" w:name="ref-monk2002"/>
    <w:p>
      <w:pPr>
        <w:pStyle w:val="Bibliography"/>
      </w:pPr>
      <w:r>
        <w:t xml:space="preserve">Monk, A.F. (2002)</w:t>
      </w:r>
      <w:r>
        <w:t xml:space="preserve"> </w:t>
      </w:r>
      <w:r>
        <w:t xml:space="preserve">‘Fun,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w:t>
      </w:r>
      <w:r>
        <w:t xml:space="preserve">, in X. Faulkner, J. Finlay, and F. Détienne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pp. 3–14. Available at:</w:t>
      </w:r>
      <w:r>
        <w:t xml:space="preserve"> </w:t>
      </w:r>
      <w:hyperlink r:id="rId119">
        <w:r>
          <w:rPr>
            <w:rStyle w:val="Hyperlink"/>
          </w:rPr>
          <w:t xml:space="preserve">https://doi.org/10.1007/978-1-4471-0105-5_1</w:t>
        </w:r>
      </w:hyperlink>
      <w:r>
        <w:t xml:space="preserve">.</w:t>
      </w:r>
    </w:p>
    <w:bookmarkEnd w:id="120"/>
    <w:bookmarkStart w:id="122" w:name="ref-moojen2022"/>
    <w:p>
      <w:pPr>
        <w:pStyle w:val="Bibliography"/>
      </w:pPr>
      <w:r>
        <w:t xml:space="preserve">Moojen, F.G., Faccio Carvalho, P.C. de, Santos, D.T. dos, Neto, A.B., Vieira, P.C. and Ryschawy, J. (2022)</w:t>
      </w:r>
      <w:r>
        <w:t xml:space="preserve"> </w:t>
      </w:r>
      <w:r>
        <w:t xml:space="preserve">‘A serious game to design integrated crop-livestock system and facilitate change in mindset toward system thinking’</w:t>
      </w:r>
      <w:r>
        <w:t xml:space="preserve">,</w:t>
      </w:r>
      <w:r>
        <w:t xml:space="preserve"> </w:t>
      </w:r>
      <w:r>
        <w:rPr>
          <w:iCs/>
          <w:i/>
        </w:rPr>
        <w:t xml:space="preserve">Agronomy for Sustainable Development</w:t>
      </w:r>
      <w:r>
        <w:t xml:space="preserve">, 42(3), p. 35. Available at:</w:t>
      </w:r>
      <w:r>
        <w:t xml:space="preserve"> </w:t>
      </w:r>
      <w:hyperlink r:id="rId121">
        <w:r>
          <w:rPr>
            <w:rStyle w:val="Hyperlink"/>
          </w:rPr>
          <w:t xml:space="preserve">https://doi.org/10.1007/s13593-022-00777-5</w:t>
        </w:r>
      </w:hyperlink>
      <w:r>
        <w:t xml:space="preserve">.</w:t>
      </w:r>
    </w:p>
    <w:bookmarkEnd w:id="122"/>
    <w:bookmarkStart w:id="124" w:name="ref-nalon2019"/>
    <w:p>
      <w:pPr>
        <w:pStyle w:val="Bibliography"/>
      </w:pPr>
      <w:r>
        <w:t xml:space="preserve">Nalon, E. and Stevenson, P. (2019)</w:t>
      </w:r>
      <w:r>
        <w:t xml:space="preserve"> </w:t>
      </w:r>
      <w:r>
        <w:t xml:space="preserve">‘Addressing Lameness in Farmed Animals: An Urgent Need to Achieve Compliance with EU Animal Welfare Law’</w:t>
      </w:r>
      <w:r>
        <w:t xml:space="preserve">,</w:t>
      </w:r>
      <w:r>
        <w:t xml:space="preserve"> </w:t>
      </w:r>
      <w:r>
        <w:rPr>
          <w:iCs/>
          <w:i/>
        </w:rPr>
        <w:t xml:space="preserve">Animals</w:t>
      </w:r>
      <w:r>
        <w:t xml:space="preserve">, 9(8), p. 576. Available at:</w:t>
      </w:r>
      <w:r>
        <w:t xml:space="preserve"> </w:t>
      </w:r>
      <w:hyperlink r:id="rId123">
        <w:r>
          <w:rPr>
            <w:rStyle w:val="Hyperlink"/>
          </w:rPr>
          <w:t xml:space="preserve">https://doi.org/10.3390/ani9080576</w:t>
        </w:r>
      </w:hyperlink>
      <w:r>
        <w:t xml:space="preserve">.</w:t>
      </w:r>
    </w:p>
    <w:bookmarkEnd w:id="124"/>
    <w:bookmarkStart w:id="126" w:name="ref-nieuwhof2005a"/>
    <w:p>
      <w:pPr>
        <w:pStyle w:val="Bibliography"/>
      </w:pPr>
      <w:r>
        <w:t xml:space="preserve">Nieuwhof, G.J. and Bishop, S.C. (2005)</w:t>
      </w:r>
      <w:r>
        <w:t xml:space="preserve"> </w:t>
      </w:r>
      <w:r>
        <w:t xml:space="preserve">‘Costs of the major endemic diseases of sheep in Great Britain and the potential benefits of reduction in disease impact’</w:t>
      </w:r>
      <w:r>
        <w:t xml:space="preserve">,</w:t>
      </w:r>
      <w:r>
        <w:t xml:space="preserve"> </w:t>
      </w:r>
      <w:r>
        <w:rPr>
          <w:iCs/>
          <w:i/>
        </w:rPr>
        <w:t xml:space="preserve">Animal Science</w:t>
      </w:r>
      <w:r>
        <w:t xml:space="preserve">, 81(1), pp. 23–29. Available at:</w:t>
      </w:r>
      <w:r>
        <w:t xml:space="preserve"> </w:t>
      </w:r>
      <w:hyperlink r:id="rId125">
        <w:r>
          <w:rPr>
            <w:rStyle w:val="Hyperlink"/>
          </w:rPr>
          <w:t xml:space="preserve">https://doi.org/10.1079/ASC41010023</w:t>
        </w:r>
      </w:hyperlink>
      <w:r>
        <w:t xml:space="preserve">.</w:t>
      </w:r>
    </w:p>
    <w:bookmarkEnd w:id="126"/>
    <w:bookmarkStart w:id="128" w:name="ref-nuritha2017"/>
    <w:p>
      <w:pPr>
        <w:pStyle w:val="Bibliography"/>
      </w:pPr>
      <w:r>
        <w:t xml:space="preserve">Nuritha, I., Widartha, V.P. and Bukhori, S. (2017)</w:t>
      </w:r>
      <w:r>
        <w:t xml:space="preserve"> </w:t>
      </w:r>
      <w:r>
        <w:t xml:space="preserve">‘2017 4th international conference on computer applications and information processing technology (CAIPT)’</w:t>
      </w:r>
      <w:r>
        <w:t xml:space="preserve">, in. Kuta Bali, Indonesia: IEEE, pp. 1–5. Available at:</w:t>
      </w:r>
      <w:r>
        <w:t xml:space="preserve"> </w:t>
      </w:r>
      <w:hyperlink r:id="rId127">
        <w:r>
          <w:rPr>
            <w:rStyle w:val="Hyperlink"/>
          </w:rPr>
          <w:t xml:space="preserve">https://doi.org/10.1109/CAIPT.2017.8320713</w:t>
        </w:r>
      </w:hyperlink>
      <w:r>
        <w:t xml:space="preserve">.</w:t>
      </w:r>
    </w:p>
    <w:bookmarkEnd w:id="128"/>
    <w:bookmarkStart w:id="130" w:name="ref-pavlenko2021"/>
    <w:p>
      <w:pPr>
        <w:pStyle w:val="Bibliography"/>
      </w:pPr>
      <w:r>
        <w:t xml:space="preserve">Pavlenko, T., Paraforos, D.s., Fenrich, D., S., Murdoch, A., Tranter, R., Gadanakis, Y., Arnoult, M. and Engel, T. (2021)</w:t>
      </w:r>
      <w:r>
        <w:t xml:space="preserve"> </w:t>
      </w:r>
      <w:r>
        <w:t xml:space="preserve">‘96.</w:t>
      </w:r>
      <w:r>
        <w:t xml:space="preserve"> </w:t>
      </w:r>
      <w:r>
        <w:t xml:space="preserve">Increasing</w:t>
      </w:r>
      <w:r>
        <w:t xml:space="preserve"> </w:t>
      </w:r>
      <w:r>
        <w:t xml:space="preserve">adoption of precision agriculture via gamification: The farming simulator case’</w:t>
      </w:r>
      <w:r>
        <w:t xml:space="preserve">, in</w:t>
      </w:r>
      <w:r>
        <w:t xml:space="preserve"> </w:t>
      </w:r>
      <w:r>
        <w:rPr>
          <w:iCs/>
          <w:i/>
        </w:rPr>
        <w:t xml:space="preserve">Precision agriculture ?21</w:t>
      </w:r>
      <w:r>
        <w:t xml:space="preserve">. Wageningen Academic Publishers, pp. 803–810. Available at:</w:t>
      </w:r>
      <w:r>
        <w:t xml:space="preserve"> </w:t>
      </w:r>
      <w:hyperlink r:id="rId129">
        <w:r>
          <w:rPr>
            <w:rStyle w:val="Hyperlink"/>
          </w:rPr>
          <w:t xml:space="preserve">https://doi.org/10.3920/978-90-8686-916-9_96</w:t>
        </w:r>
      </w:hyperlink>
      <w:r>
        <w:t xml:space="preserve">.</w:t>
      </w:r>
    </w:p>
    <w:bookmarkEnd w:id="130"/>
    <w:bookmarkStart w:id="132" w:name="ref-petri2017"/>
    <w:p>
      <w:pPr>
        <w:pStyle w:val="Bibliography"/>
      </w:pPr>
      <w:r>
        <w:t xml:space="preserve">Petri, G., Gresse von Wangenheim, C. and Borgatto, A.F. (2017)</w:t>
      </w:r>
      <w:r>
        <w:t xml:space="preserve"> </w:t>
      </w:r>
      <w:r>
        <w:t xml:space="preserve">‘MEEGA+, Systematic Model to Evaluate Educational Games’</w:t>
      </w:r>
      <w:r>
        <w:t xml:space="preserve">, in N. Lee (ed.). Cham, Switzerland: Springer International Publishing, pp. 1–7. Available at:</w:t>
      </w:r>
      <w:r>
        <w:t xml:space="preserve"> </w:t>
      </w:r>
      <w:hyperlink r:id="rId131">
        <w:r>
          <w:rPr>
            <w:rStyle w:val="Hyperlink"/>
          </w:rPr>
          <w:t xml:space="preserve">https://doi.org/10.1007/978-3-319-08234-9_214-1</w:t>
        </w:r>
      </w:hyperlink>
      <w:r>
        <w:t xml:space="preserve">.</w:t>
      </w:r>
    </w:p>
    <w:bookmarkEnd w:id="132"/>
    <w:bookmarkStart w:id="134" w:name="ref-prosser2019"/>
    <w:p>
      <w:pPr>
        <w:pStyle w:val="Bibliography"/>
      </w:pPr>
      <w:r>
        <w:t xml:space="preserve">Prosser, N.S., Purdy, K.J. and Green, L.E. (2019)</w:t>
      </w:r>
      <w:r>
        <w:t xml:space="preserve"> </w:t>
      </w:r>
      <w:r>
        <w:t xml:space="preserve">‘Increase in the flock prevalence of lameness in ewes is associated with a reduction in farmers using evidence-based management of prompt treatment: A longitudinal observational study of 154 English sheep flocks 2013</w:t>
      </w:r>
      <w:r>
        <w:t xml:space="preserve">2015’</w:t>
      </w:r>
      <w:r>
        <w:t xml:space="preserve">,</w:t>
      </w:r>
      <w:r>
        <w:t xml:space="preserve"> </w:t>
      </w:r>
      <w:r>
        <w:rPr>
          <w:iCs/>
          <w:i/>
        </w:rPr>
        <w:t xml:space="preserve">Preventive Veterinary Medicine</w:t>
      </w:r>
      <w:r>
        <w:t xml:space="preserve">, 173, p. 104801. Available at:</w:t>
      </w:r>
      <w:r>
        <w:t xml:space="preserve"> </w:t>
      </w:r>
      <w:hyperlink r:id="rId133">
        <w:r>
          <w:rPr>
            <w:rStyle w:val="Hyperlink"/>
          </w:rPr>
          <w:t xml:space="preserve">https://doi.org/10.1016/j.prevetmed.2019.104801</w:t>
        </w:r>
      </w:hyperlink>
      <w:r>
        <w:t xml:space="preserve">.</w:t>
      </w:r>
    </w:p>
    <w:bookmarkEnd w:id="134"/>
    <w:bookmarkStart w:id="136" w:name="ref-rcoreteam2017"/>
    <w:p>
      <w:pPr>
        <w:pStyle w:val="Bibliography"/>
      </w:pPr>
      <w:r>
        <w:t xml:space="preserve">R Core Team (2017)</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35">
        <w:r>
          <w:rPr>
            <w:rStyle w:val="Hyperlink"/>
          </w:rPr>
          <w:t xml:space="preserve">https://www.R-project.org/</w:t>
        </w:r>
      </w:hyperlink>
      <w:r>
        <w:t xml:space="preserve">.</w:t>
      </w:r>
    </w:p>
    <w:bookmarkEnd w:id="136"/>
    <w:bookmarkStart w:id="138" w:name="ref-rstudioteam2020"/>
    <w:p>
      <w:pPr>
        <w:pStyle w:val="Bibliography"/>
      </w:pPr>
      <w:r>
        <w:t xml:space="preserve">RStudio Team (2020)</w:t>
      </w:r>
      <w:r>
        <w:t xml:space="preserve"> </w:t>
      </w:r>
      <w:r>
        <w:t xml:space="preserve">‘</w:t>
      </w:r>
      <w:r>
        <w:t xml:space="preserve">RStudio</w:t>
      </w:r>
      <w:r>
        <w:t xml:space="preserve">:</w:t>
      </w:r>
      <w:r>
        <w:t xml:space="preserve"> </w:t>
      </w:r>
      <w:r>
        <w:t xml:space="preserve">Integrated</w:t>
      </w:r>
      <w:r>
        <w:t xml:space="preserve"> </w:t>
      </w:r>
      <w:r>
        <w:t xml:space="preserve">development environment for</w:t>
      </w:r>
      <w:r>
        <w:t xml:space="preserve"> </w:t>
      </w:r>
      <w:r>
        <w:t xml:space="preserve">R</w:t>
      </w:r>
      <w:r>
        <w:t xml:space="preserve">’</w:t>
      </w:r>
      <w:r>
        <w:t xml:space="preserve">. Boston, MA: RStudio, PBC. Available at:</w:t>
      </w:r>
      <w:r>
        <w:t xml:space="preserve"> </w:t>
      </w:r>
      <w:hyperlink r:id="rId137">
        <w:r>
          <w:rPr>
            <w:rStyle w:val="Hyperlink"/>
          </w:rPr>
          <w:t xml:space="preserve">http://www.rstudio.com/</w:t>
        </w:r>
      </w:hyperlink>
      <w:r>
        <w:t xml:space="preserve">.</w:t>
      </w:r>
    </w:p>
    <w:bookmarkEnd w:id="138"/>
    <w:bookmarkStart w:id="140" w:name="ref-starke2019"/>
    <w:p>
      <w:pPr>
        <w:pStyle w:val="Bibliography"/>
      </w:pPr>
      <w:r>
        <w:t xml:space="preserve">Starke, S.D. and Oosterlinck, M. (2019)</w:t>
      </w:r>
      <w:r>
        <w:t xml:space="preserve"> </w:t>
      </w:r>
      <w:r>
        <w:t xml:space="preserve">‘Reliability of equine visual lameness classification as a function of expertise, lameness severity and rater confidence’</w:t>
      </w:r>
      <w:r>
        <w:t xml:space="preserve">,</w:t>
      </w:r>
      <w:r>
        <w:t xml:space="preserve"> </w:t>
      </w:r>
      <w:r>
        <w:rPr>
          <w:iCs/>
          <w:i/>
        </w:rPr>
        <w:t xml:space="preserve">Veterinary Record</w:t>
      </w:r>
      <w:r>
        <w:t xml:space="preserve">, 184(2), pp. 63–63. Available at:</w:t>
      </w:r>
      <w:r>
        <w:t xml:space="preserve"> </w:t>
      </w:r>
      <w:hyperlink r:id="rId139">
        <w:r>
          <w:rPr>
            <w:rStyle w:val="Hyperlink"/>
          </w:rPr>
          <w:t xml:space="preserve">https://doi.org/10.1136/vr.105058</w:t>
        </w:r>
      </w:hyperlink>
      <w:r>
        <w:t xml:space="preserve">.</w:t>
      </w:r>
    </w:p>
    <w:bookmarkEnd w:id="140"/>
    <w:bookmarkStart w:id="142" w:name="ref-sutherland2020"/>
    <w:p>
      <w:pPr>
        <w:pStyle w:val="Bibliography"/>
      </w:pPr>
      <w:r>
        <w:t xml:space="preserve">Sutherland, L.-A. (2020)</w:t>
      </w:r>
      <w:r>
        <w:t xml:space="preserve"> </w:t>
      </w:r>
      <w:r>
        <w:t xml:space="preserve">‘The</w:t>
      </w:r>
      <w:r>
        <w:t xml:space="preserve"> </w:t>
      </w:r>
      <w:r>
        <w:t xml:space="preserve">‘</w:t>
      </w:r>
      <w:r>
        <w:t xml:space="preserve">desk-chair countryside</w:t>
      </w:r>
      <w:r>
        <w:t xml:space="preserve">’</w:t>
      </w:r>
      <w:r>
        <w:t xml:space="preserve">: Affect, authenticity and the rural idyll in a farming computer game’</w:t>
      </w:r>
      <w:r>
        <w:t xml:space="preserve">,</w:t>
      </w:r>
      <w:r>
        <w:t xml:space="preserve"> </w:t>
      </w:r>
      <w:r>
        <w:rPr>
          <w:iCs/>
          <w:i/>
        </w:rPr>
        <w:t xml:space="preserve">Journal of Rural Studies</w:t>
      </w:r>
      <w:r>
        <w:t xml:space="preserve">, 78, pp. 350–363. Available at:</w:t>
      </w:r>
      <w:r>
        <w:t xml:space="preserve"> </w:t>
      </w:r>
      <w:hyperlink r:id="rId141">
        <w:r>
          <w:rPr>
            <w:rStyle w:val="Hyperlink"/>
          </w:rPr>
          <w:t xml:space="preserve">https://doi.org/10.1016/j.jrurstud.2020.05.002</w:t>
        </w:r>
      </w:hyperlink>
      <w:r>
        <w:t xml:space="preserve">.</w:t>
      </w:r>
    </w:p>
    <w:bookmarkEnd w:id="142"/>
    <w:bookmarkStart w:id="144" w:name="ref-szilágyi2017"/>
    <w:p>
      <w:pPr>
        <w:pStyle w:val="Bibliography"/>
      </w:pPr>
      <w:r>
        <w:t xml:space="preserve">Szilágyi, R., Kovács, T., Nagy, K. and Várallyai, L. (2017)</w:t>
      </w:r>
      <w:r>
        <w:t xml:space="preserve"> </w:t>
      </w:r>
      <w:r>
        <w:t xml:space="preserve">‘Development of</w:t>
      </w:r>
      <w:r>
        <w:t xml:space="preserve"> </w:t>
      </w:r>
      <w:r>
        <w:t xml:space="preserve">Farm</w:t>
      </w:r>
      <w:r>
        <w:t xml:space="preserve"> </w:t>
      </w:r>
      <w:r>
        <w:t xml:space="preserve">simulation application, an example for gamification in higher education’</w:t>
      </w:r>
      <w:r>
        <w:t xml:space="preserve">,</w:t>
      </w:r>
      <w:r>
        <w:t xml:space="preserve"> </w:t>
      </w:r>
      <w:r>
        <w:rPr>
          <w:iCs/>
          <w:i/>
        </w:rPr>
        <w:t xml:space="preserve">Journal of Agricultural Informatics</w:t>
      </w:r>
      <w:r>
        <w:t xml:space="preserve">, 8. Available at:</w:t>
      </w:r>
      <w:r>
        <w:t xml:space="preserve"> </w:t>
      </w:r>
      <w:hyperlink r:id="rId143">
        <w:r>
          <w:rPr>
            <w:rStyle w:val="Hyperlink"/>
          </w:rPr>
          <w:t xml:space="preserve">https://doi.org/10.17700/jai.2017.8.2.373</w:t>
        </w:r>
      </w:hyperlink>
      <w:r>
        <w:t xml:space="preserve">.</w:t>
      </w:r>
    </w:p>
    <w:bookmarkEnd w:id="144"/>
    <w:bookmarkStart w:id="146" w:name="ref-treiblmaier2018"/>
    <w:p>
      <w:pPr>
        <w:pStyle w:val="Bibliography"/>
      </w:pPr>
      <w:r>
        <w:t xml:space="preserve">Treiblmaier, H., Putz, L. and Lowry, P.B. (2018)</w:t>
      </w:r>
      <w:r>
        <w:t xml:space="preserve"> </w:t>
      </w:r>
      <w:r>
        <w:t xml:space="preserve">‘Setting a Definition, Context, and Theory-Based Research Agenda for the Gamification of Non-Gaming Applications’</w:t>
      </w:r>
      <w:r>
        <w:t xml:space="preserve">,</w:t>
      </w:r>
      <w:r>
        <w:t xml:space="preserve"> </w:t>
      </w:r>
      <w:r>
        <w:rPr>
          <w:iCs/>
          <w:i/>
        </w:rPr>
        <w:t xml:space="preserve">AIS Transactions on Human-Computer Interaction</w:t>
      </w:r>
      <w:r>
        <w:t xml:space="preserve">, 10(3), pp. 129–163. Available at:</w:t>
      </w:r>
      <w:r>
        <w:t xml:space="preserve"> </w:t>
      </w:r>
      <w:hyperlink r:id="rId145">
        <w:r>
          <w:rPr>
            <w:rStyle w:val="Hyperlink"/>
          </w:rPr>
          <w:t xml:space="preserve">https://doi.org/10.17705/1thci.00107</w:t>
        </w:r>
      </w:hyperlink>
      <w:r>
        <w:t xml:space="preserve">.</w:t>
      </w:r>
    </w:p>
    <w:bookmarkEnd w:id="146"/>
    <w:bookmarkStart w:id="147" w:name="ref-tukey1977exploratory"/>
    <w:p>
      <w:pPr>
        <w:pStyle w:val="Bibliography"/>
      </w:pPr>
      <w:r>
        <w:t xml:space="preserve">Tukey, J.W. (1977)</w:t>
      </w:r>
      <w:r>
        <w:t xml:space="preserve"> </w:t>
      </w:r>
      <w:r>
        <w:rPr>
          <w:iCs/>
          <w:i/>
        </w:rPr>
        <w:t xml:space="preserve">Exploratory data analysis</w:t>
      </w:r>
      <w:r>
        <w:t xml:space="preserve">. Reading, MA: Pearson Education.</w:t>
      </w:r>
    </w:p>
    <w:bookmarkEnd w:id="147"/>
    <w:bookmarkStart w:id="149" w:name="ref-unitytechnologies2015"/>
    <w:p>
      <w:pPr>
        <w:pStyle w:val="Bibliography"/>
      </w:pPr>
      <w:r>
        <w:t xml:space="preserve">Unity Technologies (2015)</w:t>
      </w:r>
      <w:r>
        <w:t xml:space="preserve"> </w:t>
      </w:r>
      <w:r>
        <w:rPr>
          <w:iCs/>
          <w:i/>
        </w:rPr>
        <w:t xml:space="preserve">Unity</w:t>
      </w:r>
      <w:r>
        <w:t xml:space="preserve">. San Francisco, California: Unity Software Inc. Available at:</w:t>
      </w:r>
      <w:r>
        <w:t xml:space="preserve"> </w:t>
      </w:r>
      <w:hyperlink r:id="rId148">
        <w:r>
          <w:rPr>
            <w:rStyle w:val="Hyperlink"/>
          </w:rPr>
          <w:t xml:space="preserve">https://unity.com/</w:t>
        </w:r>
      </w:hyperlink>
      <w:r>
        <w:t xml:space="preserve">.</w:t>
      </w:r>
    </w:p>
    <w:bookmarkEnd w:id="149"/>
    <w:bookmarkStart w:id="151" w:name="ref-warnes2022"/>
    <w:p>
      <w:pPr>
        <w:pStyle w:val="Bibliography"/>
      </w:pPr>
      <w:r>
        <w:t xml:space="preserve">Warnes, G.R., Bolker, B., Bonebakker, L., Gentleman, R., Huber, W., Liaw, A., Lumley, T., Maechler, M., Magnusson, A., Moeller, S., Schwartz, M., Venables, B. and Galili, T. (2022)</w:t>
      </w:r>
      <w:r>
        <w:t xml:space="preserve"> </w:t>
      </w:r>
      <w:r>
        <w:rPr>
          <w:iCs/>
          <w:i/>
        </w:rPr>
        <w:t xml:space="preserve">Gplots: Various r programming tools for plotting data</w:t>
      </w:r>
      <w:r>
        <w:t xml:space="preserve">. Available at:</w:t>
      </w:r>
      <w:r>
        <w:t xml:space="preserve"> </w:t>
      </w:r>
      <w:hyperlink r:id="rId150">
        <w:r>
          <w:rPr>
            <w:rStyle w:val="Hyperlink"/>
          </w:rPr>
          <w:t xml:space="preserve">https://CRAN.R-project.org/package=gplots</w:t>
        </w:r>
      </w:hyperlink>
      <w:r>
        <w:t xml:space="preserve">.</w:t>
      </w:r>
    </w:p>
    <w:bookmarkEnd w:id="151"/>
    <w:bookmarkStart w:id="153" w:name="ref-wassink2010"/>
    <w:p>
      <w:pPr>
        <w:pStyle w:val="Bibliography"/>
      </w:pPr>
      <w:r>
        <w:t xml:space="preserve">Wassink, G.J., King, E.M., Grogono-Thomas, R., Brown, J.C., Moore, L.J. and Green, L.E. (2010)</w:t>
      </w:r>
      <w:r>
        <w:t xml:space="preserve"> </w:t>
      </w:r>
      <w:r>
        <w:t xml:space="preserve">‘A within farm clinical trial to compare two treatments (parenteral antibacterials and hoof trimming) for sheep lame with footrot’</w:t>
      </w:r>
      <w:r>
        <w:t xml:space="preserve">,</w:t>
      </w:r>
      <w:r>
        <w:t xml:space="preserve"> </w:t>
      </w:r>
      <w:r>
        <w:rPr>
          <w:iCs/>
          <w:i/>
        </w:rPr>
        <w:t xml:space="preserve">Preventive Veterinary Medicine</w:t>
      </w:r>
      <w:r>
        <w:t xml:space="preserve">, 96(1), pp. 93–103. Available at:</w:t>
      </w:r>
      <w:r>
        <w:t xml:space="preserve"> </w:t>
      </w:r>
      <w:hyperlink r:id="rId152">
        <w:r>
          <w:rPr>
            <w:rStyle w:val="Hyperlink"/>
          </w:rPr>
          <w:t xml:space="preserve">https://doi.org/10.1016/j.prevetmed.2010.05.006</w:t>
        </w:r>
      </w:hyperlink>
      <w:r>
        <w:t xml:space="preserve">.</w:t>
      </w:r>
    </w:p>
    <w:bookmarkEnd w:id="153"/>
    <w:bookmarkStart w:id="155" w:name="ref-whay2003"/>
    <w:p>
      <w:pPr>
        <w:pStyle w:val="Bibliography"/>
      </w:pPr>
      <w:r>
        <w:t xml:space="preserve">Whay, H.R., Main, D.C.J., Green, L.E. and Webster, A.J.F. (2003)</w:t>
      </w:r>
      <w:r>
        <w:t xml:space="preserve"> </w:t>
      </w:r>
      <w:r>
        <w:t xml:space="preserve">‘Assessment of the welfare of dairy caftle using animal-based measurements: direct observations and investigation of farm records’</w:t>
      </w:r>
      <w:r>
        <w:t xml:space="preserve">,</w:t>
      </w:r>
      <w:r>
        <w:t xml:space="preserve"> </w:t>
      </w:r>
      <w:r>
        <w:rPr>
          <w:iCs/>
          <w:i/>
        </w:rPr>
        <w:t xml:space="preserve">Veterinary Record</w:t>
      </w:r>
      <w:r>
        <w:t xml:space="preserve">, 153(7), pp. 197–202. Available at:</w:t>
      </w:r>
      <w:r>
        <w:t xml:space="preserve"> </w:t>
      </w:r>
      <w:hyperlink r:id="rId154">
        <w:r>
          <w:rPr>
            <w:rStyle w:val="Hyperlink"/>
          </w:rPr>
          <w:t xml:space="preserve">https://doi.org/10.1136/vr.153.7.197</w:t>
        </w:r>
      </w:hyperlink>
      <w:r>
        <w:t xml:space="preserve">.</w:t>
      </w:r>
    </w:p>
    <w:bookmarkEnd w:id="155"/>
    <w:bookmarkStart w:id="157" w:name="ref-winter2017"/>
    <w:p>
      <w:pPr>
        <w:pStyle w:val="Bibliography"/>
      </w:pPr>
      <w:r>
        <w:t xml:space="preserve">Winter, J.R. and Green, L.E. (2017)</w:t>
      </w:r>
      <w:r>
        <w:t xml:space="preserve"> </w:t>
      </w:r>
      <w:r>
        <w:t xml:space="preserve">‘Cost</w:t>
      </w:r>
      <w:r>
        <w:t xml:space="preserve">benefit analysis of management practices for ewes lame with footrot’</w:t>
      </w:r>
      <w:r>
        <w:t xml:space="preserve">,</w:t>
      </w:r>
      <w:r>
        <w:t xml:space="preserve"> </w:t>
      </w:r>
      <w:r>
        <w:rPr>
          <w:iCs/>
          <w:i/>
        </w:rPr>
        <w:t xml:space="preserve">The Veterinary Journal</w:t>
      </w:r>
      <w:r>
        <w:t xml:space="preserve">, 220, pp. 1–6. Available at:</w:t>
      </w:r>
      <w:r>
        <w:t xml:space="preserve"> </w:t>
      </w:r>
      <w:hyperlink r:id="rId156">
        <w:r>
          <w:rPr>
            <w:rStyle w:val="Hyperlink"/>
          </w:rPr>
          <w:t xml:space="preserve">https://doi.org/10.1016/j.tvjl.2016.11.010</w:t>
        </w:r>
      </w:hyperlink>
      <w:r>
        <w:t xml:space="preserve">.</w:t>
      </w:r>
    </w:p>
    <w:bookmarkEnd w:id="157"/>
    <w:bookmarkStart w:id="159" w:name="ref-winter2015"/>
    <w:p>
      <w:pPr>
        <w:pStyle w:val="Bibliography"/>
      </w:pPr>
      <w:r>
        <w:t xml:space="preserve">Winter, J.R., Kaler, J., Ferguson, E., KilBride, A.L. and Green, L.E. (2015)</w:t>
      </w:r>
      <w:r>
        <w:t xml:space="preserve"> </w:t>
      </w:r>
      <w:r>
        <w:t xml:space="preserve">‘Changes in prevalence of, and risk factors for, lameness in random samples of English sheep flocks: 2004</w:t>
      </w:r>
      <w:r>
        <w:t xml:space="preserve">2013’</w:t>
      </w:r>
      <w:r>
        <w:t xml:space="preserve">,</w:t>
      </w:r>
      <w:r>
        <w:t xml:space="preserve"> </w:t>
      </w:r>
      <w:r>
        <w:rPr>
          <w:iCs/>
          <w:i/>
        </w:rPr>
        <w:t xml:space="preserve">Preventive Veterinary Medicine</w:t>
      </w:r>
      <w:r>
        <w:t xml:space="preserve">, 122(1), pp. 121–128. Available at:</w:t>
      </w:r>
      <w:r>
        <w:t xml:space="preserve"> </w:t>
      </w:r>
      <w:hyperlink r:id="rId158">
        <w:r>
          <w:rPr>
            <w:rStyle w:val="Hyperlink"/>
          </w:rPr>
          <w:t xml:space="preserve">https://doi.org/10.1016/j.prevetmed.2015.09.014</w:t>
        </w:r>
      </w:hyperlink>
      <w:r>
        <w:t xml:space="preserve">.</w:t>
      </w:r>
    </w:p>
    <w:bookmarkEnd w:id="159"/>
    <w:bookmarkStart w:id="161" w:name="ref-yoo2014"/>
    <w:p>
      <w:pPr>
        <w:pStyle w:val="Bibliography"/>
      </w:pPr>
      <w:r>
        <w:t xml:space="preserve">Yoo, H.-S. and Kim, S.-W. (2014)</w:t>
      </w:r>
      <w:r>
        <w:t xml:space="preserve"> </w:t>
      </w:r>
      <w:r>
        <w:t xml:space="preserve">‘Virtual</w:t>
      </w:r>
      <w:r>
        <w:t xml:space="preserve"> </w:t>
      </w:r>
      <w:r>
        <w:t xml:space="preserve">Farmers</w:t>
      </w:r>
      <w:r>
        <w:t xml:space="preserve"> </w:t>
      </w:r>
      <w:r>
        <w:t xml:space="preserve">Training</w:t>
      </w:r>
      <w:r>
        <w:t xml:space="preserve">:</w:t>
      </w:r>
      <w:r>
        <w:t xml:space="preserve"> </w:t>
      </w:r>
      <w:r>
        <w:t xml:space="preserve">Realistic</w:t>
      </w:r>
      <w:r>
        <w:t xml:space="preserve"> </w:t>
      </w:r>
      <w:r>
        <w:t xml:space="preserve">Simulation</w:t>
      </w:r>
      <w:r>
        <w:t xml:space="preserve"> </w:t>
      </w:r>
      <w:r>
        <w:t xml:space="preserve">with</w:t>
      </w:r>
      <w:r>
        <w:t xml:space="preserve"> </w:t>
      </w:r>
      <w:r>
        <w:t xml:space="preserve">Amusements</w:t>
      </w:r>
      <w:r>
        <w:t xml:space="preserve"> </w:t>
      </w:r>
      <w:r>
        <w:t xml:space="preserve">using</w:t>
      </w:r>
      <w:r>
        <w:t xml:space="preserve"> </w:t>
      </w:r>
      <w:r>
        <w:t xml:space="preserve">Historic</w:t>
      </w:r>
      <w:r>
        <w:t xml:space="preserve"> </w:t>
      </w:r>
      <w:r>
        <w:t xml:space="preserve">Simulation</w:t>
      </w:r>
      <w:r>
        <w:t xml:space="preserve"> </w:t>
      </w:r>
      <w:r>
        <w:t xml:space="preserve">and</w:t>
      </w:r>
      <w:r>
        <w:t xml:space="preserve"> </w:t>
      </w:r>
      <w:r>
        <w:t xml:space="preserve">Game</w:t>
      </w:r>
      <w:r>
        <w:t xml:space="preserve"> </w:t>
      </w:r>
      <w:r>
        <w:t xml:space="preserve">Storyline</w:t>
      </w:r>
      <w:r>
        <w:t xml:space="preserve">’</w:t>
      </w:r>
      <w:r>
        <w:t xml:space="preserve">,</w:t>
      </w:r>
      <w:r>
        <w:t xml:space="preserve"> </w:t>
      </w:r>
      <w:r>
        <w:rPr>
          <w:iCs/>
          <w:i/>
        </w:rPr>
        <w:t xml:space="preserve">International Journal of Multimedia and Ubiquitous Engineering</w:t>
      </w:r>
      <w:r>
        <w:t xml:space="preserve">, 9(5), pp. 121–130. Available at:</w:t>
      </w:r>
      <w:r>
        <w:t xml:space="preserve"> </w:t>
      </w:r>
      <w:hyperlink r:id="rId160">
        <w:r>
          <w:rPr>
            <w:rStyle w:val="Hyperlink"/>
          </w:rPr>
          <w:t xml:space="preserve">https://doi.org/10.14257/ijmue.2014.9.5.11</w:t>
        </w:r>
      </w:hyperlink>
      <w:r>
        <w:t xml:space="preserve">.</w:t>
      </w:r>
    </w:p>
    <w:bookmarkEnd w:id="161"/>
    <w:bookmarkEnd w:id="162"/>
    <w:bookmarkEnd w:id="163"/>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5"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3"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 Id="rId161" Type="http://schemas.openxmlformats.org/officeDocument/2006/relationships/image" Target="media/file1d782e8368ca.png"/>
<Relationship Id="rId162" Type="http://schemas.openxmlformats.org/officeDocument/2006/relationships/image" Target="media/file1d7821d07a97.png"/>
<Relationship Id="rId163" Type="http://schemas.openxmlformats.org/officeDocument/2006/relationships/image" Target="media/file1d784563203b.png"/>
<Relationship Id="rId164" Type="http://schemas.openxmlformats.org/officeDocument/2006/relationships/image" Target="media/file1d787b063e9e.png"/>
<Relationship Id="rId165" Type="http://schemas.openxmlformats.org/officeDocument/2006/relationships/image" Target="media/file1d78335866f7.png"/>
<Relationship Id="rId166" Type="http://schemas.openxmlformats.org/officeDocument/2006/relationships/image" Target="media/file1d78931288.png"/>
<Relationship Id="rId167" Type="http://schemas.openxmlformats.org/officeDocument/2006/relationships/image" Target="media/file1d785cf824fb.png"/>
<Relationship Id="rId168" Type="http://schemas.openxmlformats.org/officeDocument/2006/relationships/image" Target="media/file1d7817bb2e1.png"/>
<Relationship Id="rId169" Type="http://schemas.openxmlformats.org/officeDocument/2006/relationships/image" Target="media/file1d783c1334de.png"/>
<Relationship Id="rId170" Type="http://schemas.openxmlformats.org/officeDocument/2006/relationships/image" Target="media/file1d785b187588.png"/>
<Relationship Id="rId171" Type="http://schemas.openxmlformats.org/officeDocument/2006/relationships/image" Target="media/file1d7875ea370e.png"/>
<Relationship Id="rId172" Type="http://schemas.openxmlformats.org/officeDocument/2006/relationships/image" Target="media/file1d78589f1710.png"/>
<Relationship Id="rId173" Type="http://schemas.openxmlformats.org/officeDocument/2006/relationships/image" Target="media/file1d78219b2a5c.png"/>
<Relationship Id="rId174" Type="http://schemas.openxmlformats.org/officeDocument/2006/relationships/image" Target="media/file1d78982767.png"/>
<Relationship Id="rId175" Type="http://schemas.openxmlformats.org/officeDocument/2006/relationships/image" Target="media/file1d7852e06dbb.png"/>
</Relationships>

</file>

<file path=word/_rels/footnotes.xml.rels><?xml version="1.0" encoding="UTF-8" standalone="yes"?>

<Relationships  xmlns="http://schemas.openxmlformats.org/package/2006/relationships">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5"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3"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K. Murray^1, Omid Mansour^4, Tiziana Loni, Holly M. Vickery^5, Myfanwy L. Evans^6, Laura Green^7, Nervo Verdezoto^4</dc:creator>
  <cp:keywords/>
  <dcterms:created xsi:type="dcterms:W3CDTF">2023-02-03T22:01:00Z</dcterms:created>
  <dcterms:modified xsi:type="dcterms:W3CDTF">2023-02-03T22:01:02Z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harvard-cite-them-right_12thed_no-et-al.csl</vt:lpwstr>
  </property>
  <property fmtid="{D5CDD505-2E9C-101B-9397-08002B2CF9AE}" pid="4" name="includeline-num">
    <vt:lpwstr>True</vt:lpwstr>
  </property>
  <property fmtid="{D5CDD505-2E9C-101B-9397-08002B2CF9AE}" pid="5" name="output">
    <vt:lpwstr/>
  </property>
</Properties>
</file>