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285DE2" w:rsidP="00637B28">
      <w:pPr>
        <w:spacing w:after="0" w:line="240" w:lineRule="auto"/>
        <w:rPr>
          <w:rFonts w:ascii="Calibri Light" w:hAnsi="Calibri Light"/>
          <w:sz w:val="72"/>
          <w:szCs w:val="72"/>
        </w:rPr>
      </w:pPr>
      <w:proofErr w:type="spellStart"/>
      <w:r>
        <w:rPr>
          <w:rFonts w:ascii="Calibri Light" w:hAnsi="Calibri Light"/>
          <w:sz w:val="72"/>
          <w:szCs w:val="72"/>
        </w:rPr>
        <w:t>PeopleXD</w:t>
      </w:r>
      <w:r w:rsidR="00637B28">
        <w:rPr>
          <w:rFonts w:ascii="Calibri Light" w:hAnsi="Calibri Light"/>
          <w:sz w:val="72"/>
          <w:szCs w:val="72"/>
        </w:rPr>
        <w:t>|</w:t>
      </w:r>
      <w:r w:rsidR="00D40296">
        <w:rPr>
          <w:rFonts w:ascii="Calibri Light" w:hAnsi="Calibri Light"/>
          <w:sz w:val="72"/>
          <w:szCs w:val="72"/>
        </w:rPr>
        <w:t>People</w:t>
      </w:r>
      <w:proofErr w:type="spellEnd"/>
      <w:r w:rsidR="00D40296">
        <w:rPr>
          <w:rFonts w:ascii="Calibri Light" w:hAnsi="Calibri Light"/>
          <w:sz w:val="72"/>
          <w:szCs w:val="72"/>
        </w:rPr>
        <w:t xml:space="preserve"> Management</w:t>
      </w:r>
      <w:r w:rsidR="00637B28">
        <w:rPr>
          <w:rFonts w:ascii="Calibri Light" w:hAnsi="Calibri Light"/>
          <w:sz w:val="72"/>
          <w:szCs w:val="72"/>
        </w:rPr>
        <w:t xml:space="preserve">: </w:t>
      </w:r>
      <w:r w:rsidR="00D40296">
        <w:rPr>
          <w:rFonts w:ascii="Calibri Light" w:hAnsi="Calibri Light"/>
          <w:sz w:val="72"/>
          <w:szCs w:val="72"/>
        </w:rPr>
        <w:t>Continuous Service</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064BEB">
                <w:rPr>
                  <w:b w:val="0"/>
                  <w:noProof/>
                  <w:webHidden/>
                  <w:sz w:val="22"/>
                  <w:szCs w:val="22"/>
                </w:rPr>
                <w:t>1</w:t>
              </w:r>
              <w:r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2</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2</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2</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3</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4</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4</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4</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4</w:t>
              </w:r>
              <w:r w:rsidR="00637B28" w:rsidRPr="00164A47">
                <w:rPr>
                  <w:noProof/>
                  <w:webHidden/>
                  <w:sz w:val="22"/>
                  <w:szCs w:val="22"/>
                </w:rPr>
                <w:fldChar w:fldCharType="end"/>
              </w:r>
            </w:hyperlink>
          </w:p>
          <w:p w:rsidR="00637B28" w:rsidRPr="00164A47" w:rsidRDefault="0049132B"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064BEB">
                <w:rPr>
                  <w:b w:val="0"/>
                  <w:noProof/>
                  <w:webHidden/>
                  <w:sz w:val="22"/>
                  <w:szCs w:val="22"/>
                </w:rPr>
                <w:t>4</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33"/>
        <w:gridCol w:w="1123"/>
        <w:gridCol w:w="1530"/>
        <w:gridCol w:w="5120"/>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7225E8" w:rsidP="00075C2B">
            <w:pPr>
              <w:rPr>
                <w:b w:val="0"/>
                <w:bCs w:val="0"/>
              </w:rPr>
            </w:pPr>
            <w:r>
              <w:rPr>
                <w:b w:val="0"/>
                <w:bCs w:val="0"/>
              </w:rPr>
              <w:t>17/02/22</w:t>
            </w:r>
          </w:p>
        </w:tc>
        <w:tc>
          <w:tcPr>
            <w:tcW w:w="1134" w:type="dxa"/>
            <w:tcBorders>
              <w:left w:val="single" w:sz="8" w:space="0" w:color="ED7D31" w:themeColor="accent2"/>
              <w:right w:val="single" w:sz="8" w:space="0" w:color="ED7D31" w:themeColor="accent2"/>
            </w:tcBorders>
          </w:tcPr>
          <w:p w:rsidR="00637B28" w:rsidRPr="0049146E" w:rsidRDefault="007225E8"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7225E8" w:rsidP="00075C2B">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ED7D31" w:themeColor="accent2"/>
            </w:tcBorders>
          </w:tcPr>
          <w:p w:rsidR="00637B28" w:rsidRPr="0049146E" w:rsidRDefault="007225E8" w:rsidP="00075C2B">
            <w:pPr>
              <w:cnfStyle w:val="000000100000" w:firstRow="0" w:lastRow="0" w:firstColumn="0" w:lastColumn="0" w:oddVBand="0" w:evenVBand="0" w:oddHBand="1" w:evenHBand="0" w:firstRowFirstColumn="0" w:firstRowLastColumn="0" w:lastRowFirstColumn="0" w:lastRowLastColumn="0"/>
            </w:pPr>
            <w:r>
              <w:t>Initial draft</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5B215E" w:rsidP="00075C2B">
            <w:pPr>
              <w:rPr>
                <w:b w:val="0"/>
                <w:bCs w:val="0"/>
              </w:rPr>
            </w:pPr>
            <w:r>
              <w:rPr>
                <w:b w:val="0"/>
                <w:bCs w:val="0"/>
              </w:rPr>
              <w:t>5 Apr 2023</w:t>
            </w:r>
          </w:p>
        </w:tc>
        <w:tc>
          <w:tcPr>
            <w:tcW w:w="1134" w:type="dxa"/>
            <w:tcBorders>
              <w:left w:val="single" w:sz="8" w:space="0" w:color="ED7D31" w:themeColor="accent2"/>
              <w:right w:val="single" w:sz="8" w:space="0" w:color="ED7D31" w:themeColor="accent2"/>
            </w:tcBorders>
          </w:tcPr>
          <w:p w:rsidR="00637B28" w:rsidRPr="0049146E" w:rsidRDefault="005B215E" w:rsidP="00075C2B">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ED7D31" w:themeColor="accent2"/>
              <w:right w:val="single" w:sz="8" w:space="0" w:color="ED7D31" w:themeColor="accent2"/>
            </w:tcBorders>
          </w:tcPr>
          <w:p w:rsidR="00637B28" w:rsidRPr="0049146E" w:rsidRDefault="005B215E" w:rsidP="00075C2B">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5306" w:type="dxa"/>
            <w:tcBorders>
              <w:left w:val="single" w:sz="8" w:space="0" w:color="ED7D31" w:themeColor="accent2"/>
            </w:tcBorders>
          </w:tcPr>
          <w:p w:rsidR="00637B28" w:rsidRPr="0049146E" w:rsidRDefault="005B215E" w:rsidP="00075C2B">
            <w:pPr>
              <w:cnfStyle w:val="000000000000" w:firstRow="0" w:lastRow="0" w:firstColumn="0" w:lastColumn="0" w:oddVBand="0" w:evenVBand="0" w:oddHBand="0" w:evenHBand="0" w:firstRowFirstColumn="0" w:firstRowLastColumn="0" w:lastRowFirstColumn="0" w:lastRowLastColumn="0"/>
            </w:pPr>
            <w:r>
              <w:t>Updated to add further clarification</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95264" w:rsidRDefault="00B95264" w:rsidP="00B95264">
            <w:pPr>
              <w:rPr>
                <w:b w:val="0"/>
              </w:rPr>
            </w:pPr>
            <w:r w:rsidRPr="00B95264">
              <w:rPr>
                <w:b w:val="0"/>
              </w:rPr>
              <w:t>PeopleXD holds rules which determine whether or not a given appointment is eligible to be counted towards an employee’s Continuous Service. Those rules must be aligned with the University’s policy around Continuous Service and should be updated whenever this policy changes</w:t>
            </w:r>
            <w:r>
              <w:rPr>
                <w:b w:val="0"/>
              </w:rPr>
              <w:t xml:space="preserve"> or any aspect used within the configuration is added to</w:t>
            </w:r>
            <w:r w:rsidRPr="00B95264">
              <w:rPr>
                <w:b w:val="0"/>
              </w:rPr>
              <w:t xml:space="preserve">. </w:t>
            </w:r>
          </w:p>
          <w:p w:rsidR="00285DE2" w:rsidRDefault="00285DE2" w:rsidP="00285DE2">
            <w:pPr>
              <w:rPr>
                <w:b w:val="0"/>
              </w:rPr>
            </w:pPr>
            <w:r>
              <w:rPr>
                <w:b w:val="0"/>
              </w:rPr>
              <w:t xml:space="preserve">The configuration has been set up so that there shouldn’t need to be any </w:t>
            </w:r>
            <w:r w:rsidR="00B95264">
              <w:rPr>
                <w:b w:val="0"/>
              </w:rPr>
              <w:t>re</w:t>
            </w:r>
            <w:r>
              <w:rPr>
                <w:b w:val="0"/>
              </w:rPr>
              <w:t>configuration required when new departments are raised within the main University structure. However, a</w:t>
            </w:r>
            <w:r w:rsidRPr="00285DE2">
              <w:rPr>
                <w:b w:val="0"/>
              </w:rPr>
              <w:t>ny new "Societies" will need business change to consult on whether the department qualifies for continuous service</w:t>
            </w:r>
            <w:r>
              <w:rPr>
                <w:b w:val="0"/>
              </w:rPr>
              <w:t>. If the new department code qualifies this will require a change to the continuous service configuration.</w:t>
            </w:r>
          </w:p>
          <w:p w:rsidR="00637B28" w:rsidRDefault="00285DE2" w:rsidP="00075C2B">
            <w:pPr>
              <w:rPr>
                <w:b w:val="0"/>
              </w:rPr>
            </w:pPr>
            <w:r>
              <w:rPr>
                <w:b w:val="0"/>
              </w:rPr>
              <w:t>There may be a need to review the configuration if any of the related items have a new reference data added, such as Employee Status, Sub Division or the Marie Curie Student pay scale. These are covered within the relevant knowledge article / process document, so normally changes to continuous service will be a result of an upstream change.</w:t>
            </w:r>
          </w:p>
          <w:p w:rsidR="00285DE2" w:rsidRPr="00CA64F5" w:rsidRDefault="00285DE2" w:rsidP="00075C2B">
            <w:pPr>
              <w:rPr>
                <w:b w:val="0"/>
              </w:rPr>
            </w:pPr>
            <w:r>
              <w:rPr>
                <w:b w:val="0"/>
              </w:rPr>
              <w:t>There may be a policy change which redefines who is eligible for continuous service or the break in service rules. This would need to be raised by the HR Policy Team and confirmed by the Business Change team.</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3B22F5" w:rsidP="003B22F5">
            <w:pPr>
              <w:rPr>
                <w:b w:val="0"/>
              </w:rPr>
            </w:pPr>
            <w:r>
              <w:rPr>
                <w:b w:val="0"/>
              </w:rPr>
              <w:t>Any queries relating to continuous service eligibility and rules will need to be confirmed by the Business Change team</w:t>
            </w:r>
            <w:r w:rsidR="00B95264">
              <w:rPr>
                <w:b w:val="0"/>
              </w:rPr>
              <w:t xml:space="preserve"> before implementation</w:t>
            </w:r>
            <w:r>
              <w:rPr>
                <w:b w:val="0"/>
              </w:rPr>
              <w:t>. They may need to consult HR Business Partners or HR Policy as relevant.</w:t>
            </w:r>
          </w:p>
          <w:p w:rsidR="00B95264" w:rsidRPr="00CA64F5" w:rsidRDefault="00B95264" w:rsidP="003B22F5">
            <w:pPr>
              <w:rPr>
                <w:b w:val="0"/>
              </w:rPr>
            </w:pPr>
            <w:r>
              <w:rPr>
                <w:b w:val="0"/>
              </w:rPr>
              <w:t>The confirmation should be attached to the change request</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B95264" w:rsidP="00075C2B">
            <w:pPr>
              <w:rPr>
                <w:b w:val="0"/>
              </w:rPr>
            </w:pPr>
            <w:r>
              <w:rPr>
                <w:b w:val="0"/>
              </w:rPr>
              <w:t>Minor change request to be approved by the Head of HR Systems</w:t>
            </w:r>
          </w:p>
          <w:p w:rsidR="00637B28" w:rsidRPr="00CA64F5" w:rsidRDefault="00637B28" w:rsidP="00075C2B">
            <w:pPr>
              <w:rPr>
                <w:b w:val="0"/>
              </w:rPr>
            </w:pPr>
          </w:p>
          <w:p w:rsidR="00637B28" w:rsidRPr="00CA64F5" w:rsidRDefault="00637B28" w:rsidP="00075C2B">
            <w:pPr>
              <w:rPr>
                <w:b w:val="0"/>
              </w:rPr>
            </w:pP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8EAADB" w:themeFill="accent5" w:themeFillTint="99"/>
          </w:tcPr>
          <w:p w:rsidR="00637B28" w:rsidRPr="00096F68" w:rsidRDefault="00637B28" w:rsidP="00B95264">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w:t>
            </w:r>
            <w:r w:rsidR="00B95264">
              <w:rPr>
                <w:rFonts w:ascii="Calibri Light" w:hAnsi="Calibri Light"/>
                <w:b w:val="0"/>
                <w:color w:val="FFFFFF" w:themeColor="background1"/>
                <w:sz w:val="28"/>
                <w:szCs w:val="28"/>
              </w:rPr>
              <w:t>the Continuous Service configuration</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rsidR="00637B28" w:rsidRDefault="00B95264" w:rsidP="00075C2B">
            <w:pPr>
              <w:rPr>
                <w:b w:val="0"/>
              </w:rPr>
            </w:pPr>
            <w:r>
              <w:rPr>
                <w:b w:val="0"/>
              </w:rPr>
              <w:t>A how to guide on how to amend the continuous service configuration can be found here:</w:t>
            </w:r>
          </w:p>
          <w:p w:rsidR="00637B28" w:rsidRPr="00CA64F5" w:rsidRDefault="0049132B" w:rsidP="00075C2B">
            <w:pPr>
              <w:rPr>
                <w:b w:val="0"/>
              </w:rPr>
            </w:pPr>
            <w:hyperlink r:id="rId5" w:history="1">
              <w:r w:rsidR="00B95264" w:rsidRPr="00B95264">
                <w:rPr>
                  <w:rStyle w:val="Hyperlink"/>
                  <w:b w:val="0"/>
                  <w:bCs w:val="0"/>
                </w:rPr>
                <w:t>P:\PROJECTS\HRIS Programme\12. Support\Reference Data\How to guides\HOW TO - Maintain Continuous Service Eligibility Rules in the Portal.docx</w:t>
              </w:r>
            </w:hyperlink>
          </w:p>
        </w:tc>
      </w:tr>
    </w:tbl>
    <w:p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B9526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5" w:name="_Toc395012280"/>
            <w:r w:rsidRPr="00CA64F5">
              <w:t>Testing</w:t>
            </w:r>
            <w:bookmarkEnd w:id="5"/>
            <w:r w:rsidRPr="00CA64F5">
              <w:t xml:space="preserve"> </w:t>
            </w:r>
          </w:p>
        </w:tc>
      </w:tr>
      <w:tr w:rsidR="00637B28" w:rsidRPr="00CA64F5" w:rsidTr="00B952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B95264">
        <w:tc>
          <w:tcPr>
            <w:cnfStyle w:val="001000000000" w:firstRow="0" w:lastRow="0" w:firstColumn="1" w:lastColumn="0" w:oddVBand="0" w:evenVBand="0" w:oddHBand="0" w:evenHBand="0" w:firstRowFirstColumn="0" w:firstRowLastColumn="0" w:lastRowFirstColumn="0" w:lastRowLastColumn="0"/>
            <w:tcW w:w="9006" w:type="dxa"/>
          </w:tcPr>
          <w:p w:rsidR="00637B28" w:rsidRDefault="004C6C16" w:rsidP="00075C2B">
            <w:pPr>
              <w:rPr>
                <w:b w:val="0"/>
              </w:rPr>
            </w:pPr>
            <w:r>
              <w:rPr>
                <w:b w:val="0"/>
              </w:rPr>
              <w:t>Check continuous service for employees affected by the changes, employees transferring in and out of eligible appointments.</w:t>
            </w:r>
          </w:p>
          <w:p w:rsidR="00637B28" w:rsidRDefault="004C6C16" w:rsidP="004C6C16">
            <w:pPr>
              <w:rPr>
                <w:b w:val="0"/>
              </w:rPr>
            </w:pPr>
            <w:r>
              <w:rPr>
                <w:b w:val="0"/>
              </w:rPr>
              <w:t>Also check the impact on long service awards for additional annual leave within Core Time</w:t>
            </w:r>
            <w:r w:rsidR="002B444F">
              <w:rPr>
                <w:b w:val="0"/>
              </w:rPr>
              <w:t>, if the changes affect employees live with annual leave configuration</w:t>
            </w:r>
            <w:r>
              <w:rPr>
                <w:b w:val="0"/>
              </w:rPr>
              <w:t>.</w:t>
            </w:r>
          </w:p>
          <w:p w:rsidR="002B444F" w:rsidRPr="00CA64F5" w:rsidRDefault="002B444F" w:rsidP="002B444F">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D43594" w:rsidRDefault="00D43594" w:rsidP="00D43594">
            <w:pPr>
              <w:spacing w:after="0"/>
              <w:rPr>
                <w:b w:val="0"/>
              </w:rPr>
            </w:pPr>
            <w:r>
              <w:rPr>
                <w:b w:val="0"/>
              </w:rPr>
              <w:t>When making a change to the configuration of continuous service you must update the configuration document and record information within the final decisions and config document, stored here:</w:t>
            </w:r>
          </w:p>
          <w:p w:rsidR="00D43594" w:rsidRPr="00CA64F5" w:rsidRDefault="0049132B" w:rsidP="00075C2B">
            <w:pPr>
              <w:rPr>
                <w:b w:val="0"/>
              </w:rPr>
            </w:pPr>
            <w:hyperlink r:id="rId6" w:history="1">
              <w:r w:rsidR="00D43594" w:rsidRPr="00D43594">
                <w:rPr>
                  <w:rStyle w:val="Hyperlink"/>
                  <w:b w:val="0"/>
                  <w:bCs w:val="0"/>
                </w:rPr>
                <w:t>P:\PROJECTS\HRIS Programme\12. Support\Continuous Service</w:t>
              </w:r>
            </w:hyperlink>
          </w:p>
          <w:p w:rsidR="00637B28" w:rsidRDefault="00D43594" w:rsidP="00075C2B">
            <w:pPr>
              <w:rPr>
                <w:b w:val="0"/>
              </w:rPr>
            </w:pPr>
            <w:r>
              <w:rPr>
                <w:b w:val="0"/>
              </w:rPr>
              <w:t xml:space="preserve">Any business decisions around eligibility should also be recorded in the </w:t>
            </w:r>
            <w:r w:rsidR="00B95264">
              <w:rPr>
                <w:b w:val="0"/>
              </w:rPr>
              <w:t>‘</w:t>
            </w:r>
            <w:r w:rsidRPr="00D43594">
              <w:rPr>
                <w:b w:val="0"/>
              </w:rPr>
              <w:t>Staff Groups in Core</w:t>
            </w:r>
            <w:r w:rsidR="00B95264">
              <w:rPr>
                <w:b w:val="0"/>
              </w:rPr>
              <w:t>’</w:t>
            </w:r>
            <w:r w:rsidRPr="00D43594">
              <w:rPr>
                <w:b w:val="0"/>
              </w:rPr>
              <w:t xml:space="preserve"> document</w:t>
            </w:r>
            <w:r>
              <w:rPr>
                <w:b w:val="0"/>
              </w:rPr>
              <w:t xml:space="preserve"> managed by the Business Change team.</w:t>
            </w:r>
            <w:r w:rsidR="00B95264">
              <w:rPr>
                <w:b w:val="0"/>
              </w:rPr>
              <w:t xml:space="preserve"> This may then need to be published online in the ‘People Profile Matrix’.</w:t>
            </w:r>
          </w:p>
          <w:p w:rsidR="00637B28" w:rsidRPr="00CA64F5" w:rsidRDefault="00637B28" w:rsidP="00285DE2">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lastRenderedPageBreak/>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3B22F5" w:rsidP="00075C2B">
            <w:pPr>
              <w:rPr>
                <w:b w:val="0"/>
              </w:rPr>
            </w:pPr>
            <w:r>
              <w:rPr>
                <w:b w:val="0"/>
              </w:rPr>
              <w:t xml:space="preserve">It is worth noting that continuous service rules impact on </w:t>
            </w:r>
            <w:proofErr w:type="spellStart"/>
            <w:r>
              <w:rPr>
                <w:b w:val="0"/>
              </w:rPr>
              <w:t>CoreTime</w:t>
            </w:r>
            <w:proofErr w:type="spellEnd"/>
            <w:r>
              <w:rPr>
                <w:b w:val="0"/>
              </w:rPr>
              <w:t xml:space="preserve"> long service annual leave configuration, this is separate but any changes to rules here will impact long service for staff impacted by the change.</w:t>
            </w:r>
          </w:p>
          <w:p w:rsidR="00637B28" w:rsidRDefault="00A73047" w:rsidP="00075C2B">
            <w:pPr>
              <w:rPr>
                <w:b w:val="0"/>
              </w:rPr>
            </w:pPr>
            <w:r>
              <w:rPr>
                <w:b w:val="0"/>
              </w:rPr>
              <w:t>Notes from Access Group knowledge article indicate that the CS at employee level will only be re-calculated for employees where there has been an update to the appointment, updates to rules themselves won’t cause a re-calculation:</w:t>
            </w:r>
          </w:p>
          <w:p w:rsidR="00A73047" w:rsidRPr="005B215E" w:rsidRDefault="00A73047" w:rsidP="00A73047">
            <w:pPr>
              <w:spacing w:after="0" w:line="240" w:lineRule="auto"/>
              <w:rPr>
                <w:rFonts w:ascii="Times New Roman" w:eastAsia="Times New Roman" w:hAnsi="Times New Roman" w:cs="Times New Roman"/>
                <w:sz w:val="20"/>
                <w:szCs w:val="24"/>
                <w:lang w:eastAsia="en-GB"/>
              </w:rPr>
            </w:pPr>
            <w:r w:rsidRPr="005B215E">
              <w:rPr>
                <w:rFonts w:ascii="Open Sans" w:eastAsia="Times New Roman" w:hAnsi="Open Sans" w:cs="Open Sans"/>
                <w:color w:val="555555"/>
                <w:sz w:val="21"/>
                <w:szCs w:val="25"/>
                <w:shd w:val="clear" w:color="auto" w:fill="FBFBFB"/>
                <w:lang w:eastAsia="en-GB"/>
              </w:rPr>
              <w:t>Continuous Service (CS) will be calculated by a nightly database job for employees, based on the Service Rules configured.</w:t>
            </w:r>
            <w:r w:rsidRPr="005B215E">
              <w:rPr>
                <w:rFonts w:ascii="Open Sans" w:eastAsia="Times New Roman" w:hAnsi="Open Sans" w:cs="Open Sans"/>
                <w:color w:val="555555"/>
                <w:sz w:val="21"/>
                <w:szCs w:val="25"/>
                <w:lang w:eastAsia="en-GB"/>
              </w:rPr>
              <w:br/>
            </w:r>
            <w:r w:rsidRPr="005B215E">
              <w:rPr>
                <w:rFonts w:ascii="Open Sans" w:eastAsia="Times New Roman" w:hAnsi="Open Sans" w:cs="Open Sans"/>
                <w:color w:val="555555"/>
                <w:sz w:val="21"/>
                <w:szCs w:val="25"/>
                <w:shd w:val="clear" w:color="auto" w:fill="FBFBFB"/>
                <w:lang w:eastAsia="en-GB"/>
              </w:rPr>
              <w:t>This will review all employee records on HR and compare them to the service rules defined.</w:t>
            </w:r>
            <w:r w:rsidRPr="005B215E">
              <w:rPr>
                <w:rFonts w:ascii="Open Sans" w:eastAsia="Times New Roman" w:hAnsi="Open Sans" w:cs="Open Sans"/>
                <w:color w:val="555555"/>
                <w:sz w:val="21"/>
                <w:szCs w:val="25"/>
                <w:lang w:eastAsia="en-GB"/>
              </w:rPr>
              <w:br/>
            </w:r>
            <w:r w:rsidRPr="005B215E">
              <w:rPr>
                <w:rFonts w:ascii="Open Sans" w:eastAsia="Times New Roman" w:hAnsi="Open Sans" w:cs="Open Sans"/>
                <w:color w:val="555555"/>
                <w:sz w:val="21"/>
                <w:szCs w:val="25"/>
                <w:shd w:val="clear" w:color="auto" w:fill="FBFBFB"/>
                <w:lang w:eastAsia="en-GB"/>
              </w:rPr>
              <w:t>If an employee meets the eligible service rule criteria, a CS Start Date will be stored for that employee.</w:t>
            </w:r>
            <w:r w:rsidRPr="005B215E">
              <w:rPr>
                <w:rFonts w:ascii="Open Sans" w:eastAsia="Times New Roman" w:hAnsi="Open Sans" w:cs="Open Sans"/>
                <w:color w:val="555555"/>
                <w:sz w:val="21"/>
                <w:szCs w:val="25"/>
                <w:lang w:eastAsia="en-GB"/>
              </w:rPr>
              <w:br/>
            </w:r>
            <w:r w:rsidRPr="005B215E">
              <w:rPr>
                <w:rFonts w:ascii="Open Sans" w:eastAsia="Times New Roman" w:hAnsi="Open Sans" w:cs="Open Sans"/>
                <w:color w:val="555555"/>
                <w:sz w:val="21"/>
                <w:szCs w:val="25"/>
                <w:lang w:eastAsia="en-GB"/>
              </w:rPr>
              <w:br/>
            </w:r>
            <w:r w:rsidRPr="005B215E">
              <w:rPr>
                <w:rFonts w:ascii="Open Sans" w:eastAsia="Times New Roman" w:hAnsi="Open Sans" w:cs="Open Sans"/>
                <w:color w:val="555555"/>
                <w:sz w:val="21"/>
                <w:szCs w:val="25"/>
                <w:shd w:val="clear" w:color="auto" w:fill="FBFBFB"/>
                <w:lang w:eastAsia="en-GB"/>
              </w:rPr>
              <w:t>To see the rules that are defined:</w:t>
            </w:r>
          </w:p>
          <w:p w:rsidR="00A73047" w:rsidRPr="005B215E" w:rsidRDefault="00A73047" w:rsidP="00A7304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1"/>
                <w:szCs w:val="25"/>
                <w:lang w:eastAsia="en-GB"/>
              </w:rPr>
            </w:pPr>
            <w:r w:rsidRPr="005B215E">
              <w:rPr>
                <w:rFonts w:ascii="Open Sans" w:eastAsia="Times New Roman" w:hAnsi="Open Sans" w:cs="Open Sans"/>
                <w:color w:val="555555"/>
                <w:sz w:val="21"/>
                <w:szCs w:val="25"/>
                <w:lang w:eastAsia="en-GB"/>
              </w:rPr>
              <w:t>Click </w:t>
            </w:r>
            <w:proofErr w:type="spellStart"/>
            <w:r w:rsidRPr="005B215E">
              <w:rPr>
                <w:rFonts w:ascii="Open Sans" w:eastAsia="Times New Roman" w:hAnsi="Open Sans" w:cs="Open Sans"/>
                <w:color w:val="555555"/>
                <w:sz w:val="21"/>
                <w:szCs w:val="25"/>
                <w:lang w:eastAsia="en-GB"/>
              </w:rPr>
              <w:t>CorePersonnel</w:t>
            </w:r>
            <w:proofErr w:type="spellEnd"/>
            <w:r w:rsidRPr="005B215E">
              <w:rPr>
                <w:rFonts w:ascii="Open Sans" w:eastAsia="Times New Roman" w:hAnsi="Open Sans" w:cs="Open Sans"/>
                <w:color w:val="555555"/>
                <w:sz w:val="21"/>
                <w:szCs w:val="25"/>
                <w:lang w:eastAsia="en-GB"/>
              </w:rPr>
              <w:t>, Reference, Reference Q-Z, Service Rules, Eligible Service Rules.</w:t>
            </w:r>
          </w:p>
          <w:p w:rsidR="00A73047" w:rsidRPr="005B215E" w:rsidRDefault="00A73047" w:rsidP="00A7304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1"/>
                <w:szCs w:val="25"/>
                <w:lang w:eastAsia="en-GB"/>
              </w:rPr>
            </w:pPr>
            <w:r w:rsidRPr="005B215E">
              <w:rPr>
                <w:rFonts w:ascii="Open Sans" w:eastAsia="Times New Roman" w:hAnsi="Open Sans" w:cs="Open Sans"/>
                <w:color w:val="555555"/>
                <w:sz w:val="21"/>
                <w:szCs w:val="25"/>
                <w:lang w:eastAsia="en-GB"/>
              </w:rPr>
              <w:t>Use the drop-down and select Continuous Service</w:t>
            </w:r>
          </w:p>
          <w:p w:rsidR="00A73047" w:rsidRPr="005B215E" w:rsidRDefault="00A73047" w:rsidP="00A73047">
            <w:pPr>
              <w:numPr>
                <w:ilvl w:val="0"/>
                <w:numId w:val="1"/>
              </w:numPr>
              <w:shd w:val="clear" w:color="auto" w:fill="FBFBFB"/>
              <w:spacing w:before="100" w:beforeAutospacing="1" w:after="100" w:afterAutospacing="1" w:line="240" w:lineRule="auto"/>
              <w:rPr>
                <w:rFonts w:ascii="Open Sans" w:eastAsia="Times New Roman" w:hAnsi="Open Sans" w:cs="Open Sans"/>
                <w:color w:val="555555"/>
                <w:sz w:val="21"/>
                <w:szCs w:val="25"/>
                <w:highlight w:val="yellow"/>
                <w:lang w:eastAsia="en-GB"/>
              </w:rPr>
            </w:pPr>
            <w:r w:rsidRPr="005B215E">
              <w:rPr>
                <w:rFonts w:ascii="Open Sans" w:eastAsia="Times New Roman" w:hAnsi="Open Sans" w:cs="Open Sans"/>
                <w:color w:val="555555"/>
                <w:sz w:val="21"/>
                <w:szCs w:val="25"/>
                <w:highlight w:val="yellow"/>
                <w:lang w:eastAsia="en-GB"/>
              </w:rPr>
              <w:t>The calculation of continuous service dates will be triggered on:</w:t>
            </w:r>
          </w:p>
          <w:p w:rsidR="00A73047" w:rsidRPr="005B215E" w:rsidRDefault="00A73047" w:rsidP="00A73047">
            <w:pPr>
              <w:numPr>
                <w:ilvl w:val="1"/>
                <w:numId w:val="1"/>
              </w:numPr>
              <w:shd w:val="clear" w:color="auto" w:fill="FBFBFB"/>
              <w:spacing w:before="100" w:beforeAutospacing="1" w:after="100" w:afterAutospacing="1" w:line="240" w:lineRule="auto"/>
              <w:rPr>
                <w:rFonts w:ascii="Open Sans" w:eastAsia="Times New Roman" w:hAnsi="Open Sans" w:cs="Open Sans"/>
                <w:color w:val="555555"/>
                <w:sz w:val="21"/>
                <w:szCs w:val="25"/>
                <w:highlight w:val="yellow"/>
                <w:lang w:eastAsia="en-GB"/>
              </w:rPr>
            </w:pPr>
            <w:r w:rsidRPr="005B215E">
              <w:rPr>
                <w:rFonts w:ascii="Open Sans" w:eastAsia="Times New Roman" w:hAnsi="Open Sans" w:cs="Open Sans"/>
                <w:color w:val="555555"/>
                <w:sz w:val="21"/>
                <w:szCs w:val="25"/>
                <w:highlight w:val="yellow"/>
                <w:lang w:eastAsia="en-GB"/>
              </w:rPr>
              <w:t>Commencement of a Post Appointment</w:t>
            </w:r>
          </w:p>
          <w:p w:rsidR="00A73047" w:rsidRPr="005B215E" w:rsidRDefault="00A73047" w:rsidP="00A73047">
            <w:pPr>
              <w:numPr>
                <w:ilvl w:val="1"/>
                <w:numId w:val="1"/>
              </w:numPr>
              <w:shd w:val="clear" w:color="auto" w:fill="FBFBFB"/>
              <w:spacing w:before="100" w:beforeAutospacing="1" w:after="100" w:afterAutospacing="1" w:line="240" w:lineRule="auto"/>
              <w:rPr>
                <w:rFonts w:ascii="Open Sans" w:eastAsia="Times New Roman" w:hAnsi="Open Sans" w:cs="Open Sans"/>
                <w:color w:val="555555"/>
                <w:sz w:val="21"/>
                <w:szCs w:val="25"/>
                <w:highlight w:val="yellow"/>
                <w:lang w:eastAsia="en-GB"/>
              </w:rPr>
            </w:pPr>
            <w:r w:rsidRPr="005B215E">
              <w:rPr>
                <w:rFonts w:ascii="Open Sans" w:eastAsia="Times New Roman" w:hAnsi="Open Sans" w:cs="Open Sans"/>
                <w:color w:val="555555"/>
                <w:sz w:val="21"/>
                <w:szCs w:val="25"/>
                <w:highlight w:val="yellow"/>
                <w:lang w:eastAsia="en-GB"/>
              </w:rPr>
              <w:t>Update of Commenced or Ended Post Appointment</w:t>
            </w:r>
          </w:p>
          <w:p w:rsidR="00A73047" w:rsidRPr="005B215E" w:rsidRDefault="00A73047" w:rsidP="00A73047">
            <w:pPr>
              <w:numPr>
                <w:ilvl w:val="1"/>
                <w:numId w:val="1"/>
              </w:numPr>
              <w:shd w:val="clear" w:color="auto" w:fill="FBFBFB"/>
              <w:spacing w:before="100" w:beforeAutospacing="1" w:after="100" w:afterAutospacing="1" w:line="240" w:lineRule="auto"/>
              <w:rPr>
                <w:rFonts w:ascii="Open Sans" w:eastAsia="Times New Roman" w:hAnsi="Open Sans" w:cs="Open Sans"/>
                <w:color w:val="555555"/>
                <w:sz w:val="21"/>
                <w:szCs w:val="25"/>
                <w:highlight w:val="yellow"/>
                <w:lang w:eastAsia="en-GB"/>
              </w:rPr>
            </w:pPr>
            <w:r w:rsidRPr="005B215E">
              <w:rPr>
                <w:rFonts w:ascii="Open Sans" w:eastAsia="Times New Roman" w:hAnsi="Open Sans" w:cs="Open Sans"/>
                <w:color w:val="555555"/>
                <w:sz w:val="21"/>
                <w:szCs w:val="25"/>
                <w:highlight w:val="yellow"/>
                <w:lang w:eastAsia="en-GB"/>
              </w:rPr>
              <w:t>End of Post Appointment</w:t>
            </w:r>
          </w:p>
          <w:p w:rsidR="00A73047" w:rsidRPr="00CA64F5" w:rsidRDefault="00A73047" w:rsidP="00A73047">
            <w:pPr>
              <w:rPr>
                <w:b w:val="0"/>
              </w:rPr>
            </w:pPr>
            <w:r w:rsidRPr="005B215E">
              <w:rPr>
                <w:rFonts w:ascii="Open Sans" w:eastAsia="Times New Roman" w:hAnsi="Open Sans" w:cs="Open Sans"/>
                <w:b w:val="0"/>
                <w:bCs w:val="0"/>
                <w:color w:val="555555"/>
                <w:sz w:val="21"/>
                <w:szCs w:val="25"/>
                <w:shd w:val="clear" w:color="auto" w:fill="FBFBFB"/>
                <w:lang w:eastAsia="en-GB"/>
              </w:rPr>
              <w:t>Confirmed Future Appointment will not impact CS dates. Once the Appointment is Commenced it will.</w:t>
            </w:r>
            <w:r w:rsidRPr="005B215E">
              <w:rPr>
                <w:rFonts w:ascii="Open Sans" w:eastAsia="Times New Roman" w:hAnsi="Open Sans" w:cs="Open Sans"/>
                <w:b w:val="0"/>
                <w:bCs w:val="0"/>
                <w:color w:val="555555"/>
                <w:sz w:val="21"/>
                <w:szCs w:val="25"/>
                <w:lang w:eastAsia="en-GB"/>
              </w:rPr>
              <w:br/>
            </w:r>
            <w:r w:rsidRPr="005B215E">
              <w:rPr>
                <w:rFonts w:ascii="Open Sans" w:eastAsia="Times New Roman" w:hAnsi="Open Sans" w:cs="Open Sans"/>
                <w:b w:val="0"/>
                <w:bCs w:val="0"/>
                <w:color w:val="555555"/>
                <w:sz w:val="21"/>
                <w:szCs w:val="25"/>
                <w:lang w:eastAsia="en-GB"/>
              </w:rPr>
              <w:br/>
            </w:r>
            <w:r w:rsidRPr="005B215E">
              <w:rPr>
                <w:rFonts w:ascii="Open Sans" w:eastAsia="Times New Roman" w:hAnsi="Open Sans" w:cs="Open Sans"/>
                <w:b w:val="0"/>
                <w:bCs w:val="0"/>
                <w:color w:val="555555"/>
                <w:sz w:val="21"/>
                <w:szCs w:val="25"/>
                <w:shd w:val="clear" w:color="auto" w:fill="FBFBFB"/>
                <w:lang w:eastAsia="en-GB"/>
              </w:rPr>
              <w:t>It will allow for Override dates &amp; TUPE dates to be entered manually, which can override the overall Continuous Service Duration calculation.</w:t>
            </w:r>
          </w:p>
          <w:p w:rsidR="00637B28" w:rsidRPr="0049132B" w:rsidRDefault="005B215E" w:rsidP="0049132B">
            <w:pPr>
              <w:pStyle w:val="ListParagraph"/>
              <w:numPr>
                <w:ilvl w:val="0"/>
                <w:numId w:val="2"/>
              </w:numPr>
              <w:rPr>
                <w:bCs w:val="0"/>
                <w:color w:val="2F5496" w:themeColor="accent5" w:themeShade="BF"/>
              </w:rPr>
            </w:pPr>
            <w:r w:rsidRPr="0049132B">
              <w:rPr>
                <w:color w:val="2F5496" w:themeColor="accent5" w:themeShade="BF"/>
              </w:rPr>
              <w:t xml:space="preserve">Notes from an Access Group knowledge article explaining the fields included in the Continuous Service screen </w:t>
            </w:r>
          </w:p>
          <w:p w:rsidR="005B215E" w:rsidRDefault="005B215E" w:rsidP="005B215E">
            <w:pPr>
              <w:jc w:val="center"/>
              <w:rPr>
                <w:bCs w:val="0"/>
              </w:rPr>
            </w:pPr>
            <w:r>
              <w:rPr>
                <w:noProof/>
              </w:rPr>
              <w:lastRenderedPageBreak/>
              <w:drawing>
                <wp:inline distT="0" distB="0" distL="0" distR="0" wp14:anchorId="7F594678" wp14:editId="0C787764">
                  <wp:extent cx="5040000" cy="5010964"/>
                  <wp:effectExtent l="19050" t="19050" r="2730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0000" cy="5010964"/>
                          </a:xfrm>
                          <a:prstGeom prst="rect">
                            <a:avLst/>
                          </a:prstGeom>
                          <a:ln>
                            <a:solidFill>
                              <a:schemeClr val="accent1"/>
                            </a:solidFill>
                          </a:ln>
                        </pic:spPr>
                      </pic:pic>
                    </a:graphicData>
                  </a:graphic>
                </wp:inline>
              </w:drawing>
            </w:r>
          </w:p>
          <w:p w:rsidR="0049132B" w:rsidRPr="0049132B" w:rsidRDefault="0049132B" w:rsidP="0049132B">
            <w:pPr>
              <w:pStyle w:val="ListParagraph"/>
              <w:ind w:left="360"/>
              <w:rPr>
                <w:color w:val="2F5496" w:themeColor="accent5" w:themeShade="BF"/>
              </w:rPr>
            </w:pPr>
          </w:p>
          <w:p w:rsidR="0049132B" w:rsidRPr="0049132B" w:rsidRDefault="0049132B" w:rsidP="0049132B">
            <w:pPr>
              <w:pStyle w:val="ListParagraph"/>
              <w:numPr>
                <w:ilvl w:val="0"/>
                <w:numId w:val="2"/>
              </w:numPr>
              <w:rPr>
                <w:color w:val="2F5496" w:themeColor="accent5" w:themeShade="BF"/>
              </w:rPr>
            </w:pPr>
            <w:r w:rsidRPr="0049132B">
              <w:rPr>
                <w:color w:val="2F5496" w:themeColor="accent5" w:themeShade="BF"/>
              </w:rPr>
              <w:t>Continuous service dates matrix</w:t>
            </w:r>
          </w:p>
          <w:p w:rsidR="0049132B" w:rsidRPr="0049132B" w:rsidRDefault="0049132B" w:rsidP="0049132B">
            <w:pPr>
              <w:rPr>
                <w:b w:val="0"/>
                <w:bCs w:val="0"/>
              </w:rPr>
            </w:pPr>
            <w:r w:rsidRPr="0049132B">
              <w:rPr>
                <w:b w:val="0"/>
                <w:bCs w:val="0"/>
              </w:rPr>
              <w:t>A matrix showing all of the continuous service fields plus service dates and length of service and where they ap</w:t>
            </w:r>
            <w:bookmarkStart w:id="10" w:name="_GoBack"/>
            <w:bookmarkEnd w:id="10"/>
            <w:r w:rsidRPr="0049132B">
              <w:rPr>
                <w:b w:val="0"/>
                <w:bCs w:val="0"/>
              </w:rPr>
              <w:t xml:space="preserve">pear in the system can found </w:t>
            </w:r>
            <w:hyperlink r:id="rId8" w:history="1">
              <w:r w:rsidRPr="0049132B">
                <w:rPr>
                  <w:rStyle w:val="Hyperlink"/>
                  <w:b w:val="0"/>
                  <w:bCs w:val="0"/>
                </w:rPr>
                <w:t>here</w:t>
              </w:r>
            </w:hyperlink>
            <w:r w:rsidRPr="0049132B">
              <w:rPr>
                <w:b w:val="0"/>
                <w:bCs w:val="0"/>
              </w:rPr>
              <w:t>.</w:t>
            </w:r>
          </w:p>
          <w:p w:rsidR="0049132B" w:rsidRPr="00CA64F5" w:rsidRDefault="0049132B" w:rsidP="004913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411C41"/>
    <w:multiLevelType w:val="multilevel"/>
    <w:tmpl w:val="2A764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6B01DB"/>
    <w:multiLevelType w:val="hybridMultilevel"/>
    <w:tmpl w:val="342609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BEB"/>
    <w:rsid w:val="00064BEB"/>
    <w:rsid w:val="00285DE2"/>
    <w:rsid w:val="002B444F"/>
    <w:rsid w:val="003B22F5"/>
    <w:rsid w:val="0049132B"/>
    <w:rsid w:val="004C6C16"/>
    <w:rsid w:val="005B215E"/>
    <w:rsid w:val="00637B28"/>
    <w:rsid w:val="007225E8"/>
    <w:rsid w:val="00A73047"/>
    <w:rsid w:val="00B65A04"/>
    <w:rsid w:val="00B95264"/>
    <w:rsid w:val="00CB37D3"/>
    <w:rsid w:val="00D40296"/>
    <w:rsid w:val="00D43594"/>
    <w:rsid w:val="00F548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A266"/>
  <w15:chartTrackingRefBased/>
  <w15:docId w15:val="{06DACAA9-EDD8-4E39-9AC6-8815123F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49132B"/>
    <w:pPr>
      <w:ind w:left="720"/>
      <w:contextualSpacing/>
    </w:pPr>
  </w:style>
  <w:style w:type="character" w:styleId="UnresolvedMention">
    <w:name w:val="Unresolved Mention"/>
    <w:basedOn w:val="DefaultParagraphFont"/>
    <w:uiPriority w:val="99"/>
    <w:semiHidden/>
    <w:unhideWhenUsed/>
    <w:rsid w:val="00491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13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Continuous%20Service\Service%20dates%20and%20continuous%20service%20field%20matrix.docx"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P:\PROJECTS\HRIS%20Programme\12.%20Support\Continuous%20Service" TargetMode="External"/><Relationship Id="rId11" Type="http://schemas.openxmlformats.org/officeDocument/2006/relationships/customXml" Target="../customXml/item1.xml"/><Relationship Id="rId5" Type="http://schemas.openxmlformats.org/officeDocument/2006/relationships/hyperlink" Target="file:///P:\PROJECTS\HRIS%20Programme\12.%20Support\Reference%20Data\How%20to%20guides\HOW%20TO%20-%20Maintain%20Continuous%20Service%20Eligibility%20Rules%20in%20the%20Portal.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64021AF2-F4EC-4A35-81D5-BC9AB1C5785A}"/>
</file>

<file path=customXml/itemProps2.xml><?xml version="1.0" encoding="utf-8"?>
<ds:datastoreItem xmlns:ds="http://schemas.openxmlformats.org/officeDocument/2006/customXml" ds:itemID="{B782BBB7-DC0C-4669-8073-D899A7262590}"/>
</file>

<file path=customXml/itemProps3.xml><?xml version="1.0" encoding="utf-8"?>
<ds:datastoreItem xmlns:ds="http://schemas.openxmlformats.org/officeDocument/2006/customXml" ds:itemID="{7952DB7D-9495-45A3-8CA1-292FB1B8143F}"/>
</file>

<file path=docProps/app.xml><?xml version="1.0" encoding="utf-8"?>
<Properties xmlns="http://schemas.openxmlformats.org/officeDocument/2006/extended-properties" xmlns:vt="http://schemas.openxmlformats.org/officeDocument/2006/docPropsVTypes">
  <Template>0_Knowledge Article Template.dotx</Template>
  <TotalTime>9</TotalTime>
  <Pages>5</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Burford</dc:creator>
  <cp:keywords/>
  <dc:description/>
  <cp:lastModifiedBy>Helen Child</cp:lastModifiedBy>
  <cp:revision>4</cp:revision>
  <dcterms:created xsi:type="dcterms:W3CDTF">2023-04-05T08:01:00Z</dcterms:created>
  <dcterms:modified xsi:type="dcterms:W3CDTF">2023-04-05T08:39:00Z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