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147"/>
          <w:sz w:val="40"/>
        </w:rPr>
        <w:t>HOW TO: Create a Non-Payroll Company</w:t>
        <w:br/>
        <w:t>&amp; Link the Org Hierarchy</w:t>
      </w:r>
    </w:p>
    <w:p>
      <w:pPr>
        <w:jc w:val="center"/>
      </w:pPr>
      <w:r>
        <w:rPr>
          <w:color w:val="505050"/>
          <w:sz w:val="26"/>
        </w:rPr>
        <w:t>Colleges &amp; Halls — PeopleXD UOXU (Company 90)</w:t>
      </w:r>
    </w:p>
    <w:p/>
    <w:tbl>
      <w:tblPr>
        <w:tblStyle w:val="TableGrid"/>
        <w:tblW w:type="auto" w:w="0"/>
        <w:tblLook w:firstColumn="1" w:firstRow="1" w:lastColumn="0" w:lastRow="0" w:noHBand="0" w:noVBand="1" w:val="04A0"/>
      </w:tblPr>
      <w:tblGrid>
        <w:gridCol w:w="4703"/>
        <w:gridCol w:w="4703"/>
      </w:tblGrid>
      <w:tr>
        <w:tc>
          <w:tcPr>
            <w:tcW w:type="dxa" w:w="2268"/>
          </w:tcPr>
          <w:p>
            <w:r>
              <w:rPr>
                <w:b/>
              </w:rPr>
              <w:t>System</w:t>
            </w:r>
          </w:p>
        </w:tc>
        <w:tc>
          <w:tcPr>
            <w:tcW w:type="dxa" w:w="6803"/>
          </w:tcPr>
          <w:p>
            <w:r>
              <w:t>PeopleXD (UOXU)</w:t>
            </w:r>
          </w:p>
        </w:tc>
      </w:tr>
      <w:tr>
        <w:tc>
          <w:tcPr>
            <w:tcW w:type="dxa" w:w="2268"/>
          </w:tcPr>
          <w:p>
            <w:r>
              <w:rPr>
                <w:b/>
              </w:rPr>
              <w:t>Topic</w:t>
            </w:r>
          </w:p>
        </w:tc>
        <w:tc>
          <w:tcPr>
            <w:tcW w:type="dxa" w:w="6803"/>
          </w:tcPr>
          <w:p>
            <w:r>
              <w:t>System Admin</w:t>
            </w:r>
          </w:p>
        </w:tc>
      </w:tr>
      <w:tr>
        <w:tc>
          <w:tcPr>
            <w:tcW w:type="dxa" w:w="2268"/>
          </w:tcPr>
          <w:p>
            <w:r>
              <w:rPr>
                <w:b/>
              </w:rPr>
              <w:t>Status</w:t>
            </w:r>
          </w:p>
        </w:tc>
        <w:tc>
          <w:tcPr>
            <w:tcW w:type="dxa" w:w="6803"/>
          </w:tcPr>
          <w:p>
            <w:r>
              <w:t>DRAFT — live UOXU screenshots embedded; pending screenshots noted</w:t>
            </w:r>
          </w:p>
        </w:tc>
      </w:tr>
      <w:tr>
        <w:tc>
          <w:tcPr>
            <w:tcW w:type="dxa" w:w="2268"/>
          </w:tcPr>
          <w:p>
            <w:r>
              <w:rPr>
                <w:b/>
              </w:rPr>
              <w:t>Version</w:t>
            </w:r>
          </w:p>
        </w:tc>
        <w:tc>
          <w:tcPr>
            <w:tcW w:type="dxa" w:w="6803"/>
          </w:tcPr>
          <w:p>
            <w:r>
              <w:t>1.0 — 15 June 2026</w:t>
            </w:r>
          </w:p>
        </w:tc>
      </w:tr>
      <w:tr>
        <w:tc>
          <w:tcPr>
            <w:tcW w:type="dxa" w:w="2268"/>
          </w:tcPr>
          <w:p>
            <w:r>
              <w:rPr>
                <w:b/>
              </w:rPr>
              <w:t>Source</w:t>
            </w:r>
          </w:p>
        </w:tc>
        <w:tc>
          <w:tcPr>
            <w:tcW w:type="dxa" w:w="6803"/>
          </w:tcPr>
          <w:p>
            <w:r>
              <w:t>PeopleXD configuration session, 12 June 2026 (Conor, The Access Group)</w:t>
            </w:r>
          </w:p>
        </w:tc>
      </w:tr>
      <w:tr>
        <w:tc>
          <w:tcPr>
            <w:tcW w:type="dxa" w:w="2268"/>
          </w:tcPr>
          <w:p>
            <w:r>
              <w:rPr>
                <w:b/>
              </w:rPr>
              <w:t>Business Owner</w:t>
            </w:r>
          </w:p>
        </w:tc>
        <w:tc>
          <w:tcPr>
            <w:tcW w:type="dxa" w:w="6803"/>
          </w:tcPr>
          <w:p>
            <w:r>
              <w:t>Marie Cooksey, Head of HR Systems</w:t>
            </w:r>
          </w:p>
        </w:tc>
      </w:tr>
    </w:tbl>
    <w:p/>
    <w:p>
      <w:pPr>
        <w:pStyle w:val="Heading2"/>
      </w:pPr>
      <w:r>
        <w:rPr>
          <w:color w:val="002147"/>
          <w:sz w:val="26"/>
        </w:rPr>
        <w:t>Purpose</w:t>
      </w:r>
    </w:p>
    <w:p>
      <w:r>
        <w:t>This guide explains how to set up a new non-payroll organisation structure in PeopleXD for a population that needs HR management (posts, appointments, hierarchy) but is not processed through payroll. Written for Colleges &amp; Halls (Company 90) — steps apply to any non-payroll company.</w:t>
      </w:r>
    </w:p>
    <w:p>
      <w:pPr>
        <w:pStyle w:val="Heading2"/>
      </w:pPr>
      <w:r>
        <w:rPr>
          <w:color w:val="002147"/>
          <w:sz w:val="26"/>
        </w:rPr>
        <w:t>Prerequisites</w:t>
      </w:r>
    </w:p>
    <w:p>
      <w:pPr>
        <w:pStyle w:val="ListBullet"/>
      </w:pPr>
      <w:r>
        <w:t>Payroll Administration access in PeopleXD</w:t>
      </w:r>
    </w:p>
    <w:p>
      <w:pPr>
        <w:pStyle w:val="ListBullet"/>
      </w:pPr>
      <w:r>
        <w:t>HR Administration access in PeopleXD</w:t>
      </w:r>
    </w:p>
    <w:p>
      <w:pPr>
        <w:pStyle w:val="ListBullet"/>
      </w:pPr>
      <w:r>
        <w:t>Agreed company code, hierarchy codes and naming conventions confirmed</w:t>
      </w:r>
    </w:p>
    <w:p>
      <w:pPr>
        <w:pStyle w:val="ListBullet"/>
      </w:pPr>
      <w:r>
        <w:t>Department records already exist in the system</w:t>
      </w:r>
    </w:p>
    <w:p/>
    <w:p>
      <w:pPr>
        <w:pStyle w:val="Heading2"/>
      </w:pPr>
      <w:r>
        <w:rPr>
          <w:color w:val="002147"/>
          <w:sz w:val="26"/>
        </w:rPr>
        <w:t>Step 1 — Create the Non-Payroll Company</w:t>
      </w:r>
    </w:p>
    <w:p>
      <w:r>
        <w:rPr>
          <w:b/>
        </w:rPr>
        <w:t xml:space="preserve">Navigation: </w:t>
      </w:r>
      <w:r>
        <w:t>Payroll Dashboard → Settings → Organisations</w:t>
      </w:r>
    </w:p>
    <w:p/>
    <w:p>
      <w:pPr>
        <w:jc w:val="center"/>
      </w:pPr>
      <w:r>
        <w:drawing>
          <wp:inline xmlns:a="http://schemas.openxmlformats.org/drawingml/2006/main" xmlns:pic="http://schemas.openxmlformats.org/drawingml/2006/picture">
            <wp:extent cx="5303520" cy="3553227"/>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303520" cy="3553227"/>
                    </a:xfrm>
                    <a:prstGeom prst="rect"/>
                  </pic:spPr>
                </pic:pic>
              </a:graphicData>
            </a:graphic>
          </wp:inline>
        </w:drawing>
      </w:r>
    </w:p>
    <w:p>
      <w:pPr>
        <w:jc w:val="center"/>
      </w:pPr>
      <w:r>
        <w:rPr>
          <w:i/>
          <w:color w:val="646464"/>
          <w:sz w:val="18"/>
        </w:rPr>
        <w:t>Organisations screen — Payroll Dashboard → Settings → Organisations</w:t>
      </w:r>
    </w:p>
    <w:p>
      <w:pPr>
        <w:pStyle w:val="ListBullet"/>
      </w:pPr>
      <w:r>
        <w:t xml:space="preserve">Select </w:t>
      </w:r>
      <w:r>
        <w:rPr>
          <w:b/>
        </w:rPr>
        <w:t>Copy Company</w:t>
      </w:r>
      <w:r/>
    </w:p>
    <w:p>
      <w:pPr>
        <w:pStyle w:val="ListBullet"/>
      </w:pPr>
      <w:r>
        <w:t xml:space="preserve">Choose the source company — </w:t>
      </w:r>
      <w:r>
        <w:rPr>
          <w:b/>
        </w:rPr>
        <w:t>Colleges and Halls</w:t>
      </w:r>
      <w:r/>
    </w:p>
    <w:p>
      <w:pPr>
        <w:jc w:val="center"/>
      </w:pPr>
      <w:r>
        <w:drawing>
          <wp:inline xmlns:a="http://schemas.openxmlformats.org/drawingml/2006/main" xmlns:pic="http://schemas.openxmlformats.org/drawingml/2006/picture">
            <wp:extent cx="5303520" cy="3553227"/>
            <wp:docPr id="2" name="Picture 2"/>
            <wp:cNvGraphicFramePr>
              <a:graphicFrameLocks noChangeAspect="1"/>
            </wp:cNvGraphicFramePr>
            <a:graphic>
              <a:graphicData uri="http://schemas.openxmlformats.org/drawingml/2006/picture">
                <pic:pic>
                  <pic:nvPicPr>
                    <pic:cNvPr id="0" name="03.png"/>
                    <pic:cNvPicPr/>
                  </pic:nvPicPr>
                  <pic:blipFill>
                    <a:blip r:embed="rId10"/>
                    <a:stretch>
                      <a:fillRect/>
                    </a:stretch>
                  </pic:blipFill>
                  <pic:spPr>
                    <a:xfrm>
                      <a:off x="0" y="0"/>
                      <a:ext cx="5303520" cy="3553227"/>
                    </a:xfrm>
                    <a:prstGeom prst="rect"/>
                  </pic:spPr>
                </pic:pic>
              </a:graphicData>
            </a:graphic>
          </wp:inline>
        </w:drawing>
      </w:r>
    </w:p>
    <w:p>
      <w:pPr>
        <w:jc w:val="center"/>
      </w:pPr>
      <w:r>
        <w:rPr>
          <w:i/>
          <w:color w:val="646464"/>
          <w:sz w:val="18"/>
        </w:rPr>
        <w:t>Source company — Colleges and Halls selected as the template to copy from</w:t>
      </w:r>
    </w:p>
    <w:p>
      <w:pPr>
        <w:pStyle w:val="ListBullet"/>
      </w:pPr>
      <w:r>
        <w:t xml:space="preserve">Enter new company code: </w:t>
      </w:r>
      <w:r>
        <w:rPr>
          <w:b/>
        </w:rPr>
        <w:t>90</w:t>
      </w:r>
      <w:r/>
    </w:p>
    <w:p>
      <w:pPr>
        <w:pStyle w:val="ListBullet"/>
      </w:pPr>
      <w:r>
        <w:t xml:space="preserve">Rename the organisation: </w:t>
      </w:r>
      <w:r>
        <w:rPr>
          <w:b/>
        </w:rPr>
        <w:t>Non Payroll COLLEGES AND HALLS</w:t>
      </w:r>
      <w:r/>
    </w:p>
    <w:p>
      <w:pPr>
        <w:jc w:val="center"/>
      </w:pPr>
      <w:r>
        <w:drawing>
          <wp:inline xmlns:a="http://schemas.openxmlformats.org/drawingml/2006/main" xmlns:pic="http://schemas.openxmlformats.org/drawingml/2006/picture">
            <wp:extent cx="5303520" cy="3553227"/>
            <wp:docPr id="3" name="Picture 3"/>
            <wp:cNvGraphicFramePr>
              <a:graphicFrameLocks noChangeAspect="1"/>
            </wp:cNvGraphicFramePr>
            <a:graphic>
              <a:graphicData uri="http://schemas.openxmlformats.org/drawingml/2006/picture">
                <pic:pic>
                  <pic:nvPicPr>
                    <pic:cNvPr id="0" name="04.png"/>
                    <pic:cNvPicPr/>
                  </pic:nvPicPr>
                  <pic:blipFill>
                    <a:blip r:embed="rId11"/>
                    <a:stretch>
                      <a:fillRect/>
                    </a:stretch>
                  </pic:blipFill>
                  <pic:spPr>
                    <a:xfrm>
                      <a:off x="0" y="0"/>
                      <a:ext cx="5303520" cy="3553227"/>
                    </a:xfrm>
                    <a:prstGeom prst="rect"/>
                  </pic:spPr>
                </pic:pic>
              </a:graphicData>
            </a:graphic>
          </wp:inline>
        </w:drawing>
      </w:r>
    </w:p>
    <w:p>
      <w:pPr>
        <w:jc w:val="center"/>
      </w:pPr>
      <w:r>
        <w:rPr>
          <w:i/>
          <w:color w:val="646464"/>
          <w:sz w:val="18"/>
        </w:rPr>
        <w:t>Company 90 — code and name entered before saving</w:t>
      </w:r>
    </w:p>
    <w:p>
      <w:pPr>
        <w:pStyle w:val="ListBullet"/>
      </w:pPr>
      <w:r>
        <w:t xml:space="preserve">In the </w:t>
      </w:r>
      <w:r>
        <w:rPr>
          <w:b/>
        </w:rPr>
        <w:t>Contact</w:t>
      </w:r>
      <w:r>
        <w:t xml:space="preserve"> field enter: </w:t>
      </w:r>
      <w:r>
        <w:rPr>
          <w:b/>
        </w:rPr>
        <w:t>REF2029</w:t>
      </w:r>
      <w:r>
        <w:t xml:space="preserve"> (internal reference)</w:t>
      </w:r>
    </w:p>
    <w:p>
      <w:pPr>
        <w:jc w:val="center"/>
      </w:pPr>
      <w:r>
        <w:drawing>
          <wp:inline xmlns:a="http://schemas.openxmlformats.org/drawingml/2006/main" xmlns:pic="http://schemas.openxmlformats.org/drawingml/2006/picture">
            <wp:extent cx="5303520" cy="3553227"/>
            <wp:docPr id="4" name="Picture 4"/>
            <wp:cNvGraphicFramePr>
              <a:graphicFrameLocks noChangeAspect="1"/>
            </wp:cNvGraphicFramePr>
            <a:graphic>
              <a:graphicData uri="http://schemas.openxmlformats.org/drawingml/2006/picture">
                <pic:pic>
                  <pic:nvPicPr>
                    <pic:cNvPr id="0" name="12.png"/>
                    <pic:cNvPicPr/>
                  </pic:nvPicPr>
                  <pic:blipFill>
                    <a:blip r:embed="rId12"/>
                    <a:stretch>
                      <a:fillRect/>
                    </a:stretch>
                  </pic:blipFill>
                  <pic:spPr>
                    <a:xfrm>
                      <a:off x="0" y="0"/>
                      <a:ext cx="5303520" cy="3553227"/>
                    </a:xfrm>
                    <a:prstGeom prst="rect"/>
                  </pic:spPr>
                </pic:pic>
              </a:graphicData>
            </a:graphic>
          </wp:inline>
        </w:drawing>
      </w:r>
    </w:p>
    <w:p>
      <w:pPr>
        <w:jc w:val="center"/>
      </w:pPr>
      <w:r>
        <w:rPr>
          <w:i/>
          <w:color w:val="646464"/>
          <w:sz w:val="18"/>
        </w:rPr>
        <w:t>Company 90 completed — Contact = REF2029, ready to review sections</w:t>
      </w:r>
    </w:p>
    <w:p>
      <w:pPr>
        <w:pStyle w:val="ListBullet"/>
      </w:pPr>
      <w:r>
        <w:t>Select Detail → review each section tab (Payroll Parameters, Payroll Calendar, Miscellaneous Parameters, Bonus Parameters)</w:t>
      </w:r>
    </w:p>
    <w:p>
      <w:pPr>
        <w:jc w:val="center"/>
      </w:pPr>
      <w:r>
        <w:drawing>
          <wp:inline xmlns:a="http://schemas.openxmlformats.org/drawingml/2006/main" xmlns:pic="http://schemas.openxmlformats.org/drawingml/2006/picture">
            <wp:extent cx="5303520" cy="3553227"/>
            <wp:docPr id="5" name="Picture 5"/>
            <wp:cNvGraphicFramePr>
              <a:graphicFrameLocks noChangeAspect="1"/>
            </wp:cNvGraphicFramePr>
            <a:graphic>
              <a:graphicData uri="http://schemas.openxmlformats.org/drawingml/2006/picture">
                <pic:pic>
                  <pic:nvPicPr>
                    <pic:cNvPr id="0" name="02.png"/>
                    <pic:cNvPicPr/>
                  </pic:nvPicPr>
                  <pic:blipFill>
                    <a:blip r:embed="rId13"/>
                    <a:stretch>
                      <a:fillRect/>
                    </a:stretch>
                  </pic:blipFill>
                  <pic:spPr>
                    <a:xfrm>
                      <a:off x="0" y="0"/>
                      <a:ext cx="5303520" cy="3553227"/>
                    </a:xfrm>
                    <a:prstGeom prst="rect"/>
                  </pic:spPr>
                </pic:pic>
              </a:graphicData>
            </a:graphic>
          </wp:inline>
        </w:drawing>
      </w:r>
    </w:p>
    <w:p>
      <w:pPr>
        <w:jc w:val="center"/>
      </w:pPr>
      <w:r>
        <w:rPr>
          <w:i/>
          <w:color w:val="646464"/>
          <w:sz w:val="18"/>
        </w:rPr>
        <w:t>Reviewing copied sections — Payroll Calendar highlighted; remove or clear any payroll-specific values not applicable to a non-payroll company</w:t>
      </w:r>
    </w:p>
    <w:p>
      <w:pPr>
        <w:pStyle w:val="ListBullet"/>
      </w:pPr>
      <w:r>
        <w:t>Remove all payroll-specific fields — revenue details, tax registration fields (Revenue Details section)</w:t>
      </w:r>
    </w:p>
    <w:p>
      <w:pPr>
        <w:pStyle w:val="ListBullet"/>
      </w:pPr>
      <w:r>
        <w:t>Leave payroll registration fields blank — this company will not run payroll; no calendar link needed. System may warn about missing calendar — expected and acceptable</w:t>
      </w:r>
    </w:p>
    <w:p>
      <w:pPr>
        <w:pStyle w:val="ListBullet"/>
      </w:pPr>
      <w:r>
        <w:t>Save</w:t>
      </w:r>
    </w:p>
    <w:p>
      <w:pPr>
        <w:ind w:left="283"/>
      </w:pPr>
      <w:r>
        <w:rPr>
          <w:b/>
          <w:color w:val="780000"/>
        </w:rPr>
        <w:t xml:space="preserve">Note: </w:t>
      </w:r>
      <w:r>
        <w:rPr>
          <w:i/>
        </w:rPr>
        <w:t>If this company needs to become a registered payroll company in future, return and populate the tax, calendar and revenue fields at that point.</w:t>
      </w:r>
    </w:p>
    <w:p>
      <w:r>
        <w:rPr>
          <w:b/>
          <w:color w:val="007800"/>
        </w:rPr>
        <w:t xml:space="preserve">✓ Validate: </w:t>
      </w:r>
      <w:r>
        <w:t>Code 90 · Name = Non Payroll COLLEGES AND HALLS · Contact = REF2029 · No payroll registration details · Saves successfully</w:t>
      </w:r>
    </w:p>
    <w:p/>
    <w:p>
      <w:pPr>
        <w:pStyle w:val="Heading2"/>
      </w:pPr>
      <w:r>
        <w:rPr>
          <w:color w:val="002147"/>
          <w:sz w:val="26"/>
        </w:rPr>
        <w:t>Step 2 — Create the Non-Payroll Pay Group</w:t>
      </w:r>
    </w:p>
    <w:p>
      <w:r>
        <w:rPr>
          <w:b/>
        </w:rPr>
        <w:t xml:space="preserve">Navigation: </w:t>
      </w:r>
      <w:r>
        <w:t>Payroll Dashboard → Settings → Pay Groups</w:t>
      </w:r>
    </w:p>
    <w:p/>
    <w:p>
      <w:pPr>
        <w:jc w:val="center"/>
      </w:pPr>
      <w:r>
        <w:drawing>
          <wp:inline xmlns:a="http://schemas.openxmlformats.org/drawingml/2006/main" xmlns:pic="http://schemas.openxmlformats.org/drawingml/2006/picture">
            <wp:extent cx="5303520" cy="3553227"/>
            <wp:docPr id="6" name="Picture 6"/>
            <wp:cNvGraphicFramePr>
              <a:graphicFrameLocks noChangeAspect="1"/>
            </wp:cNvGraphicFramePr>
            <a:graphic>
              <a:graphicData uri="http://schemas.openxmlformats.org/drawingml/2006/picture">
                <pic:pic>
                  <pic:nvPicPr>
                    <pic:cNvPr id="0" name="05.png"/>
                    <pic:cNvPicPr/>
                  </pic:nvPicPr>
                  <pic:blipFill>
                    <a:blip r:embed="rId14"/>
                    <a:stretch>
                      <a:fillRect/>
                    </a:stretch>
                  </pic:blipFill>
                  <pic:spPr>
                    <a:xfrm>
                      <a:off x="0" y="0"/>
                      <a:ext cx="5303520" cy="3553227"/>
                    </a:xfrm>
                    <a:prstGeom prst="rect"/>
                  </pic:spPr>
                </pic:pic>
              </a:graphicData>
            </a:graphic>
          </wp:inline>
        </w:drawing>
      </w:r>
    </w:p>
    <w:p>
      <w:pPr>
        <w:jc w:val="center"/>
      </w:pPr>
      <w:r>
        <w:rPr>
          <w:i/>
          <w:color w:val="646464"/>
          <w:sz w:val="18"/>
        </w:rPr>
        <w:t>Pay Groups list — existing pay groups shown in dropdown; Non Employees is the source to duplicate</w:t>
      </w:r>
    </w:p>
    <w:p>
      <w:pPr>
        <w:pStyle w:val="ListBullet"/>
      </w:pPr>
      <w:r>
        <w:t xml:space="preserve">Locate the existing </w:t>
      </w:r>
      <w:r>
        <w:rPr>
          <w:b/>
        </w:rPr>
        <w:t>Non Employees</w:t>
      </w:r>
      <w:r>
        <w:t xml:space="preserve"> pay group</w:t>
      </w:r>
    </w:p>
    <w:p>
      <w:pPr>
        <w:jc w:val="center"/>
      </w:pPr>
      <w:r>
        <w:drawing>
          <wp:inline xmlns:a="http://schemas.openxmlformats.org/drawingml/2006/main" xmlns:pic="http://schemas.openxmlformats.org/drawingml/2006/picture">
            <wp:extent cx="5303520" cy="3553227"/>
            <wp:docPr id="7" name="Picture 7"/>
            <wp:cNvGraphicFramePr>
              <a:graphicFrameLocks noChangeAspect="1"/>
            </wp:cNvGraphicFramePr>
            <a:graphic>
              <a:graphicData uri="http://schemas.openxmlformats.org/drawingml/2006/picture">
                <pic:pic>
                  <pic:nvPicPr>
                    <pic:cNvPr id="0" name="06.png"/>
                    <pic:cNvPicPr/>
                  </pic:nvPicPr>
                  <pic:blipFill>
                    <a:blip r:embed="rId15"/>
                    <a:stretch>
                      <a:fillRect/>
                    </a:stretch>
                  </pic:blipFill>
                  <pic:spPr>
                    <a:xfrm>
                      <a:off x="0" y="0"/>
                      <a:ext cx="5303520" cy="3553227"/>
                    </a:xfrm>
                    <a:prstGeom prst="rect"/>
                  </pic:spPr>
                </pic:pic>
              </a:graphicData>
            </a:graphic>
          </wp:inline>
        </w:drawing>
      </w:r>
    </w:p>
    <w:p>
      <w:pPr>
        <w:jc w:val="center"/>
      </w:pPr>
      <w:r>
        <w:rPr>
          <w:i/>
          <w:color w:val="646464"/>
          <w:sz w:val="18"/>
        </w:rPr>
        <w:t>Non Employees pay group (code 00) selected — note the University of Oxford company reference</w:t>
      </w:r>
    </w:p>
    <w:p>
      <w:pPr>
        <w:jc w:val="center"/>
      </w:pPr>
      <w:r>
        <w:drawing>
          <wp:inline xmlns:a="http://schemas.openxmlformats.org/drawingml/2006/main" xmlns:pic="http://schemas.openxmlformats.org/drawingml/2006/picture">
            <wp:extent cx="5303520" cy="3553227"/>
            <wp:docPr id="8" name="Picture 8"/>
            <wp:cNvGraphicFramePr>
              <a:graphicFrameLocks noChangeAspect="1"/>
            </wp:cNvGraphicFramePr>
            <a:graphic>
              <a:graphicData uri="http://schemas.openxmlformats.org/drawingml/2006/picture">
                <pic:pic>
                  <pic:nvPicPr>
                    <pic:cNvPr id="0" name="07.png"/>
                    <pic:cNvPicPr/>
                  </pic:nvPicPr>
                  <pic:blipFill>
                    <a:blip r:embed="rId16"/>
                    <a:stretch>
                      <a:fillRect/>
                    </a:stretch>
                  </pic:blipFill>
                  <pic:spPr>
                    <a:xfrm>
                      <a:off x="0" y="0"/>
                      <a:ext cx="5303520" cy="3553227"/>
                    </a:xfrm>
                    <a:prstGeom prst="rect"/>
                  </pic:spPr>
                </pic:pic>
              </a:graphicData>
            </a:graphic>
          </wp:inline>
        </w:drawing>
      </w:r>
    </w:p>
    <w:p>
      <w:pPr>
        <w:jc w:val="center"/>
      </w:pPr>
      <w:r>
        <w:rPr>
          <w:i/>
          <w:color w:val="646464"/>
          <w:sz w:val="18"/>
        </w:rPr>
        <w:t>Selecting Non Employees from the dropdown as the source for duplication</w:t>
      </w:r>
    </w:p>
    <w:p>
      <w:pPr>
        <w:pStyle w:val="ListBullet"/>
      </w:pPr>
      <w:r>
        <w:t xml:space="preserve">Select </w:t>
      </w:r>
      <w:r>
        <w:rPr>
          <w:b/>
        </w:rPr>
        <w:t>Duplicate</w:t>
      </w:r>
      <w:r/>
    </w:p>
    <w:p>
      <w:pPr>
        <w:pStyle w:val="ListBullet"/>
      </w:pPr>
      <w:r>
        <w:t xml:space="preserve">Change Pay Group Code to: </w:t>
      </w:r>
      <w:r>
        <w:rPr>
          <w:b/>
        </w:rPr>
        <w:t>90</w:t>
      </w:r>
      <w:r/>
    </w:p>
    <w:p>
      <w:pPr>
        <w:pStyle w:val="ListBullet"/>
      </w:pPr>
      <w:r>
        <w:t xml:space="preserve">Change Pay Group Name to: </w:t>
      </w:r>
      <w:r>
        <w:rPr>
          <w:b/>
        </w:rPr>
        <w:t>ZZ Do Not Use College Non-Pay</w:t>
      </w:r>
      <w:r>
        <w:t xml:space="preserve"> (ZZ prefix keeps it at the bottom of all lists — reduces risk of accidental assignment to a real employee)</w:t>
      </w:r>
    </w:p>
    <w:p>
      <w:pPr>
        <w:pStyle w:val="ListBullet"/>
      </w:pPr>
      <w:r>
        <w:t xml:space="preserve">Link to Company </w:t>
      </w:r>
      <w:r>
        <w:rPr>
          <w:b/>
        </w:rPr>
        <w:t>90</w:t>
      </w:r>
      <w:r>
        <w:t xml:space="preserve"> in the Company Reference field</w:t>
      </w:r>
    </w:p>
    <w:p>
      <w:pPr>
        <w:jc w:val="center"/>
      </w:pPr>
      <w:r>
        <w:drawing>
          <wp:inline xmlns:a="http://schemas.openxmlformats.org/drawingml/2006/main" xmlns:pic="http://schemas.openxmlformats.org/drawingml/2006/picture">
            <wp:extent cx="5303520" cy="3553227"/>
            <wp:docPr id="9" name="Picture 9"/>
            <wp:cNvGraphicFramePr>
              <a:graphicFrameLocks noChangeAspect="1"/>
            </wp:cNvGraphicFramePr>
            <a:graphic>
              <a:graphicData uri="http://schemas.openxmlformats.org/drawingml/2006/picture">
                <pic:pic>
                  <pic:nvPicPr>
                    <pic:cNvPr id="0" name="08.png"/>
                    <pic:cNvPicPr/>
                  </pic:nvPicPr>
                  <pic:blipFill>
                    <a:blip r:embed="rId17"/>
                    <a:stretch>
                      <a:fillRect/>
                    </a:stretch>
                  </pic:blipFill>
                  <pic:spPr>
                    <a:xfrm>
                      <a:off x="0" y="0"/>
                      <a:ext cx="5303520" cy="3553227"/>
                    </a:xfrm>
                    <a:prstGeom prst="rect"/>
                  </pic:spPr>
                </pic:pic>
              </a:graphicData>
            </a:graphic>
          </wp:inline>
        </w:drawing>
      </w:r>
    </w:p>
    <w:p>
      <w:pPr>
        <w:jc w:val="center"/>
      </w:pPr>
      <w:r>
        <w:rPr>
          <w:i/>
          <w:color w:val="646464"/>
          <w:sz w:val="18"/>
        </w:rPr>
        <w:t>Duplicate pay group form — Pay Group 90 being configured with University Monthly copied settings; update code, name and company reference</w:t>
      </w:r>
    </w:p>
    <w:p>
      <w:pPr>
        <w:jc w:val="center"/>
      </w:pPr>
      <w:r>
        <w:drawing>
          <wp:inline xmlns:a="http://schemas.openxmlformats.org/drawingml/2006/main" xmlns:pic="http://schemas.openxmlformats.org/drawingml/2006/picture">
            <wp:extent cx="5303520" cy="3553227"/>
            <wp:docPr id="10" name="Picture 10"/>
            <wp:cNvGraphicFramePr>
              <a:graphicFrameLocks noChangeAspect="1"/>
            </wp:cNvGraphicFramePr>
            <a:graphic>
              <a:graphicData uri="http://schemas.openxmlformats.org/drawingml/2006/picture">
                <pic:pic>
                  <pic:nvPicPr>
                    <pic:cNvPr id="0" name="09.png"/>
                    <pic:cNvPicPr/>
                  </pic:nvPicPr>
                  <pic:blipFill>
                    <a:blip r:embed="rId18"/>
                    <a:stretch>
                      <a:fillRect/>
                    </a:stretch>
                  </pic:blipFill>
                  <pic:spPr>
                    <a:xfrm>
                      <a:off x="0" y="0"/>
                      <a:ext cx="5303520" cy="3553227"/>
                    </a:xfrm>
                    <a:prstGeom prst="rect"/>
                  </pic:spPr>
                </pic:pic>
              </a:graphicData>
            </a:graphic>
          </wp:inline>
        </w:drawing>
      </w:r>
    </w:p>
    <w:p>
      <w:pPr>
        <w:jc w:val="center"/>
      </w:pPr>
      <w:r>
        <w:rPr>
          <w:i/>
          <w:color w:val="646464"/>
          <w:sz w:val="18"/>
        </w:rPr>
        <w:t>Bottom of the pay group form — review fields and Save</w:t>
      </w:r>
    </w:p>
    <w:p>
      <w:pPr>
        <w:pStyle w:val="ListBullet"/>
      </w:pPr>
      <w:r>
        <w:t>Save</w:t>
      </w:r>
    </w:p>
    <w:p>
      <w:pPr>
        <w:ind w:left="283"/>
      </w:pPr>
      <w:r>
        <w:rPr>
          <w:b/>
          <w:color w:val="780000"/>
        </w:rPr>
        <w:t xml:space="preserve">Known issue: </w:t>
      </w:r>
      <w:r>
        <w:rPr>
          <w:i/>
        </w:rPr>
        <w:t>Pay Group 90 failed to appear after creation during the 12 June session. This is a system issue — contact The Access Group via PXD Portal. Do not attempt to diagnose yourself. Do not delete the pay group if any staff have already been assigned to it.</w:t>
      </w:r>
    </w:p>
    <w:p>
      <w:r>
        <w:rPr>
          <w:b/>
          <w:color w:val="007800"/>
        </w:rPr>
        <w:t xml:space="preserve">✓ Validate: </w:t>
      </w:r>
      <w:r>
        <w:t>Pay Group Code = 90 · Linked to Company 90 · Appears in managed payroll list</w:t>
      </w:r>
    </w:p>
    <w:p/>
    <w:p>
      <w:pPr>
        <w:pStyle w:val="Heading2"/>
      </w:pPr>
      <w:r>
        <w:rPr>
          <w:color w:val="002147"/>
          <w:sz w:val="26"/>
        </w:rPr>
        <w:t>Step 3 — Grant Pay Group Access</w:t>
      </w:r>
    </w:p>
    <w:p>
      <w:r>
        <w:rPr>
          <w:b/>
        </w:rPr>
        <w:t xml:space="preserve">Navigation: </w:t>
      </w:r>
      <w:r>
        <w:t>Payroll Dashboard → Pay Group Access</w:t>
      </w:r>
    </w:p>
    <w:p/>
    <w:p>
      <w:pPr>
        <w:jc w:val="center"/>
      </w:pPr>
      <w:r>
        <w:drawing>
          <wp:inline xmlns:a="http://schemas.openxmlformats.org/drawingml/2006/main" xmlns:pic="http://schemas.openxmlformats.org/drawingml/2006/picture">
            <wp:extent cx="5303520" cy="3553227"/>
            <wp:docPr id="11" name="Picture 11"/>
            <wp:cNvGraphicFramePr>
              <a:graphicFrameLocks noChangeAspect="1"/>
            </wp:cNvGraphicFramePr>
            <a:graphic>
              <a:graphicData uri="http://schemas.openxmlformats.org/drawingml/2006/picture">
                <pic:pic>
                  <pic:nvPicPr>
                    <pic:cNvPr id="0" name="10.png"/>
                    <pic:cNvPicPr/>
                  </pic:nvPicPr>
                  <pic:blipFill>
                    <a:blip r:embed="rId19"/>
                    <a:stretch>
                      <a:fillRect/>
                    </a:stretch>
                  </pic:blipFill>
                  <pic:spPr>
                    <a:xfrm>
                      <a:off x="0" y="0"/>
                      <a:ext cx="5303520" cy="3553227"/>
                    </a:xfrm>
                    <a:prstGeom prst="rect"/>
                  </pic:spPr>
                </pic:pic>
              </a:graphicData>
            </a:graphic>
          </wp:inline>
        </w:drawing>
      </w:r>
    </w:p>
    <w:p>
      <w:pPr>
        <w:jc w:val="center"/>
      </w:pPr>
      <w:r>
        <w:rPr>
          <w:i/>
          <w:color w:val="646464"/>
          <w:sz w:val="18"/>
        </w:rPr>
        <w:t>Pay Group Access — existing user/pay group access list; use Add Pay Group to grant access to Pay Group 90</w:t>
      </w:r>
    </w:p>
    <w:p>
      <w:pPr>
        <w:pStyle w:val="ListBullet"/>
      </w:pPr>
      <w:r>
        <w:t xml:space="preserve">Select </w:t>
      </w:r>
      <w:r>
        <w:rPr>
          <w:b/>
        </w:rPr>
        <w:t>Add Pay Group</w:t>
      </w:r>
      <w:r>
        <w:t xml:space="preserve"> (top right)</w:t>
      </w:r>
    </w:p>
    <w:p>
      <w:pPr>
        <w:jc w:val="center"/>
      </w:pPr>
      <w:r>
        <w:drawing>
          <wp:inline xmlns:a="http://schemas.openxmlformats.org/drawingml/2006/main" xmlns:pic="http://schemas.openxmlformats.org/drawingml/2006/picture">
            <wp:extent cx="5303520" cy="3553227"/>
            <wp:docPr id="12" name="Picture 12"/>
            <wp:cNvGraphicFramePr>
              <a:graphicFrameLocks noChangeAspect="1"/>
            </wp:cNvGraphicFramePr>
            <a:graphic>
              <a:graphicData uri="http://schemas.openxmlformats.org/drawingml/2006/picture">
                <pic:pic>
                  <pic:nvPicPr>
                    <pic:cNvPr id="0" name="13.png"/>
                    <pic:cNvPicPr/>
                  </pic:nvPicPr>
                  <pic:blipFill>
                    <a:blip r:embed="rId20"/>
                    <a:stretch>
                      <a:fillRect/>
                    </a:stretch>
                  </pic:blipFill>
                  <pic:spPr>
                    <a:xfrm>
                      <a:off x="0" y="0"/>
                      <a:ext cx="5303520" cy="3553227"/>
                    </a:xfrm>
                    <a:prstGeom prst="rect"/>
                  </pic:spPr>
                </pic:pic>
              </a:graphicData>
            </a:graphic>
          </wp:inline>
        </w:drawing>
      </w:r>
    </w:p>
    <w:p>
      <w:pPr>
        <w:jc w:val="center"/>
      </w:pPr>
      <w:r>
        <w:rPr>
          <w:i/>
          <w:color w:val="646464"/>
          <w:sz w:val="18"/>
        </w:rPr>
        <w:t>Add Pay Group Access dialog — enter username, select Pay Group 90, set All Input Locations</w:t>
      </w:r>
    </w:p>
    <w:p>
      <w:pPr>
        <w:pStyle w:val="ListBullet"/>
      </w:pPr>
      <w:r>
        <w:t>Enter the username of each user who needs visibility of Colleges &amp; Halls salary data</w:t>
      </w:r>
    </w:p>
    <w:p>
      <w:pPr>
        <w:pStyle w:val="ListBullet"/>
      </w:pPr>
      <w:r>
        <w:t xml:space="preserve">Select Pay Group: </w:t>
      </w:r>
      <w:r>
        <w:rPr>
          <w:b/>
        </w:rPr>
        <w:t>90 — ZZ Do Not Use College Non-Pay</w:t>
      </w:r>
      <w:r/>
    </w:p>
    <w:p>
      <w:pPr>
        <w:pStyle w:val="ListBullet"/>
      </w:pPr>
      <w:r>
        <w:t xml:space="preserve">Input Location: </w:t>
      </w:r>
      <w:r>
        <w:rPr>
          <w:b/>
        </w:rPr>
        <w:t>All Input Locations</w:t>
      </w:r>
      <w:r/>
    </w:p>
    <w:p>
      <w:pPr>
        <w:pStyle w:val="ListBullet"/>
      </w:pPr>
      <w:r>
        <w:t>Click OK</w:t>
      </w:r>
    </w:p>
    <w:p>
      <w:pPr>
        <w:pStyle w:val="ListBullet"/>
      </w:pPr>
      <w:r>
        <w:t>Repeat for all relevant users</w:t>
      </w:r>
    </w:p>
    <w:p>
      <w:pPr>
        <w:jc w:val="center"/>
      </w:pPr>
      <w:r>
        <w:drawing>
          <wp:inline xmlns:a="http://schemas.openxmlformats.org/drawingml/2006/main" xmlns:pic="http://schemas.openxmlformats.org/drawingml/2006/picture">
            <wp:extent cx="5303520" cy="3553227"/>
            <wp:docPr id="13" name="Picture 13"/>
            <wp:cNvGraphicFramePr>
              <a:graphicFrameLocks noChangeAspect="1"/>
            </wp:cNvGraphicFramePr>
            <a:graphic>
              <a:graphicData uri="http://schemas.openxmlformats.org/drawingml/2006/picture">
                <pic:pic>
                  <pic:nvPicPr>
                    <pic:cNvPr id="0" name="14.png"/>
                    <pic:cNvPicPr/>
                  </pic:nvPicPr>
                  <pic:blipFill>
                    <a:blip r:embed="rId21"/>
                    <a:stretch>
                      <a:fillRect/>
                    </a:stretch>
                  </pic:blipFill>
                  <pic:spPr>
                    <a:xfrm>
                      <a:off x="0" y="0"/>
                      <a:ext cx="5303520" cy="3553227"/>
                    </a:xfrm>
                    <a:prstGeom prst="rect"/>
                  </pic:spPr>
                </pic:pic>
              </a:graphicData>
            </a:graphic>
          </wp:inline>
        </w:drawing>
      </w:r>
    </w:p>
    <w:p>
      <w:pPr>
        <w:jc w:val="center"/>
      </w:pPr>
      <w:r>
        <w:rPr>
          <w:i/>
          <w:color w:val="646464"/>
          <w:sz w:val="18"/>
        </w:rPr>
        <w:t>Pay Group Access list filtered to confirm — ZZ Do Not Use College Non-Pay (Pay Group 90) showing for Portal Admin</w:t>
      </w:r>
    </w:p>
    <w:p>
      <w:pPr>
        <w:ind w:left="283"/>
      </w:pPr>
      <w:r>
        <w:rPr>
          <w:b/>
          <w:color w:val="780000"/>
        </w:rPr>
        <w:t xml:space="preserve">Critical: </w:t>
      </w:r>
      <w:r>
        <w:rPr>
          <w:i/>
        </w:rPr>
        <w:t>Without Pay Group 90 access a user CANNOT see the salary tab for any Colleges &amp; Halls staff — even with full company-level HR access. Company access alone is not sufficient.</w:t>
      </w:r>
    </w:p>
    <w:p>
      <w:r>
        <w:rPr>
          <w:b/>
          <w:color w:val="007800"/>
        </w:rPr>
        <w:t xml:space="preserve">✓ Validate: </w:t>
      </w:r>
      <w:r>
        <w:t>Pay Group 90 in each relevant user's access list · Salary tab visible on a test Colleges &amp; Halls staff record</w:t>
      </w:r>
    </w:p>
    <w:p/>
    <w:p>
      <w:pPr>
        <w:pStyle w:val="Heading2"/>
      </w:pPr>
      <w:r>
        <w:rPr>
          <w:color w:val="002147"/>
          <w:sz w:val="26"/>
        </w:rPr>
        <w:t>Step 4 — Add Company to Data Centre</w:t>
      </w:r>
    </w:p>
    <w:p>
      <w:r>
        <w:rPr>
          <w:b/>
        </w:rPr>
        <w:t xml:space="preserve">Navigation: </w:t>
      </w:r>
      <w:r>
        <w:t>Data Centre → search Company → Company Settings</w:t>
      </w:r>
    </w:p>
    <w:p/>
    <w:p>
      <w:pPr>
        <w:pStyle w:val="ListBullet"/>
      </w:pPr>
      <w:r>
        <w:t xml:space="preserve">Add </w:t>
      </w:r>
      <w:r>
        <w:rPr>
          <w:b/>
        </w:rPr>
        <w:t>Company 90</w:t>
      </w:r>
      <w:r>
        <w:t xml:space="preserve"> to the company list</w:t>
      </w:r>
    </w:p>
    <w:p>
      <w:pPr>
        <w:pStyle w:val="ListBullet"/>
      </w:pPr>
      <w:r>
        <w:t>Complete fields (name, RSI title) consistent with existing companies</w:t>
      </w:r>
    </w:p>
    <w:p>
      <w:pPr>
        <w:pStyle w:val="ListBullet"/>
      </w:pPr>
      <w:r>
        <w:t>Save</w:t>
      </w:r>
    </w:p>
    <w:p>
      <w:pPr>
        <w:ind w:left="283"/>
      </w:pPr>
      <w:r>
        <w:rPr>
          <w:b/>
          <w:color w:val="780000"/>
        </w:rPr>
        <w:t xml:space="preserve">Critical: </w:t>
      </w:r>
      <w:r>
        <w:rPr>
          <w:i/>
        </w:rPr>
        <w:t>Without this step users lose visibility of posts and appointments under Company 90 even after Pay Group access is granted. Both steps 3 and 4 are required.</w:t>
      </w:r>
    </w:p>
    <w:p>
      <w:r>
        <w:rPr>
          <w:b/>
          <w:color w:val="007800"/>
        </w:rPr>
        <w:t xml:space="preserve">✓ Validate: </w:t>
      </w:r>
      <w:r>
        <w:t>Company 90 appears in Company Settings list · Relevant users can see posts and appointments</w:t>
      </w:r>
    </w:p>
    <w:p/>
    <w:p>
      <w:pPr>
        <w:pStyle w:val="Heading2"/>
      </w:pPr>
      <w:r>
        <w:rPr>
          <w:color w:val="002147"/>
          <w:sz w:val="26"/>
        </w:rPr>
        <w:t>Step 5 — Create the Hierarchy Reference Data</w:t>
      </w:r>
    </w:p>
    <w:p>
      <w:r>
        <w:t>All navigation is via Reference Data in system settings. Create each level in order before moving to the next.</w:t>
      </w:r>
    </w:p>
    <w:p>
      <w:pPr>
        <w:pStyle w:val="Heading3"/>
      </w:pPr>
      <w:r>
        <w:rPr>
          <w:color w:val="002147"/>
          <w:sz w:val="22"/>
        </w:rPr>
        <w:t>5.1 Division</w:t>
      </w:r>
    </w:p>
    <w:tbl>
      <w:tblPr>
        <w:tblStyle w:val="TableGrid"/>
        <w:tblW w:type="auto" w:w="0"/>
        <w:tblLook w:firstColumn="1" w:firstRow="1" w:lastColumn="0" w:lastRow="0" w:noHBand="0" w:noVBand="1" w:val="04A0"/>
      </w:tblPr>
      <w:tblGrid>
        <w:gridCol w:w="4703"/>
        <w:gridCol w:w="4703"/>
      </w:tblGrid>
      <w:tr>
        <w:tc>
          <w:tcPr>
            <w:tcW w:type="dxa" w:w="2268"/>
          </w:tcPr>
          <w:p>
            <w:r>
              <w:rPr>
                <w:b/>
              </w:rPr>
              <w:t>Field</w:t>
            </w:r>
          </w:p>
        </w:tc>
        <w:tc>
          <w:tcPr>
            <w:tcW w:type="dxa" w:w="5669"/>
          </w:tcPr>
          <w:p>
            <w:r>
              <w:rPr>
                <w:b/>
              </w:rPr>
              <w:t>Value</w:t>
            </w:r>
          </w:p>
        </w:tc>
      </w:tr>
      <w:tr>
        <w:tc>
          <w:tcPr>
            <w:tcW w:type="dxa" w:w="2268"/>
          </w:tcPr>
          <w:p>
            <w:r>
              <w:t>Code</w:t>
            </w:r>
          </w:p>
        </w:tc>
        <w:tc>
          <w:tcPr>
            <w:tcW w:type="dxa" w:w="5669"/>
          </w:tcPr>
          <w:p>
            <w:r>
              <w:t>901</w:t>
            </w:r>
          </w:p>
        </w:tc>
      </w:tr>
      <w:tr>
        <w:tc>
          <w:tcPr>
            <w:tcW w:type="dxa" w:w="2268"/>
          </w:tcPr>
          <w:p>
            <w:r>
              <w:t>Description</w:t>
            </w:r>
          </w:p>
        </w:tc>
        <w:tc>
          <w:tcPr>
            <w:tcW w:type="dxa" w:w="5669"/>
          </w:tcPr>
          <w:p>
            <w:r>
              <w:t>Colleges and Halls</w:t>
            </w:r>
          </w:p>
        </w:tc>
      </w:tr>
      <w:tr>
        <w:tc>
          <w:tcPr>
            <w:tcW w:type="dxa" w:w="2268"/>
          </w:tcPr>
          <w:p>
            <w:r>
              <w:t>Company</w:t>
            </w:r>
          </w:p>
        </w:tc>
        <w:tc>
          <w:tcPr>
            <w:tcW w:type="dxa" w:w="5669"/>
          </w:tcPr>
          <w:p>
            <w:r>
              <w:t>90</w:t>
            </w:r>
          </w:p>
        </w:tc>
      </w:tr>
      <w:tr>
        <w:tc>
          <w:tcPr>
            <w:tcW w:type="dxa" w:w="2268"/>
          </w:tcPr>
          <w:p>
            <w:r>
              <w:t>Staff Requests</w:t>
            </w:r>
          </w:p>
        </w:tc>
        <w:tc>
          <w:tcPr>
            <w:tcW w:type="dxa" w:w="5669"/>
          </w:tcPr>
          <w:p>
            <w:r>
              <w:t>Leave inactive — not required for this company</w:t>
            </w:r>
          </w:p>
        </w:tc>
      </w:tr>
    </w:tbl>
    <w:p/>
    <w:p>
      <w:pPr>
        <w:jc w:val="center"/>
      </w:pPr>
      <w:r>
        <w:drawing>
          <wp:inline xmlns:a="http://schemas.openxmlformats.org/drawingml/2006/main" xmlns:pic="http://schemas.openxmlformats.org/drawingml/2006/picture">
            <wp:extent cx="5303520" cy="3553227"/>
            <wp:docPr id="14" name="Picture 14"/>
            <wp:cNvGraphicFramePr>
              <a:graphicFrameLocks noChangeAspect="1"/>
            </wp:cNvGraphicFramePr>
            <a:graphic>
              <a:graphicData uri="http://schemas.openxmlformats.org/drawingml/2006/picture">
                <pic:pic>
                  <pic:nvPicPr>
                    <pic:cNvPr id="0" name="15.png"/>
                    <pic:cNvPicPr/>
                  </pic:nvPicPr>
                  <pic:blipFill>
                    <a:blip r:embed="rId22"/>
                    <a:stretch>
                      <a:fillRect/>
                    </a:stretch>
                  </pic:blipFill>
                  <pic:spPr>
                    <a:xfrm>
                      <a:off x="0" y="0"/>
                      <a:ext cx="5303520" cy="3553227"/>
                    </a:xfrm>
                    <a:prstGeom prst="rect"/>
                  </pic:spPr>
                </pic:pic>
              </a:graphicData>
            </a:graphic>
          </wp:inline>
        </w:drawing>
      </w:r>
    </w:p>
    <w:p>
      <w:pPr>
        <w:jc w:val="center"/>
      </w:pPr>
      <w:r>
        <w:rPr>
          <w:i/>
          <w:color w:val="646464"/>
          <w:sz w:val="18"/>
        </w:rPr>
        <w:t>Reference Data → User Field 1 Types — Division codes. S011 = Colleges and Halls shown as an example of how Division codes appear in the system</w:t>
      </w:r>
    </w:p>
    <w:p>
      <w:r>
        <w:rPr>
          <w:b/>
          <w:color w:val="007800"/>
        </w:rPr>
        <w:t xml:space="preserve">✓ Validate: </w:t>
      </w:r>
      <w:r>
        <w:t>Division 901 appears against Company 90</w:t>
      </w:r>
    </w:p>
    <w:p>
      <w:pPr>
        <w:pStyle w:val="Heading3"/>
      </w:pPr>
      <w:r>
        <w:rPr>
          <w:color w:val="002147"/>
          <w:sz w:val="22"/>
        </w:rPr>
        <w:t>5.2 Subdivision (USER_CODE1)</w:t>
      </w:r>
    </w:p>
    <w:tbl>
      <w:tblPr>
        <w:tblStyle w:val="TableGrid"/>
        <w:tblW w:type="auto" w:w="0"/>
        <w:tblLook w:firstColumn="1" w:firstRow="1" w:lastColumn="0" w:lastRow="0" w:noHBand="0" w:noVBand="1" w:val="04A0"/>
      </w:tblPr>
      <w:tblGrid>
        <w:gridCol w:w="4703"/>
        <w:gridCol w:w="4703"/>
      </w:tblGrid>
      <w:tr>
        <w:tc>
          <w:tcPr>
            <w:tcW w:type="dxa" w:w="2268"/>
          </w:tcPr>
          <w:p>
            <w:r>
              <w:rPr>
                <w:b/>
              </w:rPr>
              <w:t>Field</w:t>
            </w:r>
          </w:p>
        </w:tc>
        <w:tc>
          <w:tcPr>
            <w:tcW w:type="dxa" w:w="5669"/>
          </w:tcPr>
          <w:p>
            <w:r>
              <w:rPr>
                <w:b/>
              </w:rPr>
              <w:t>Value</w:t>
            </w:r>
          </w:p>
        </w:tc>
      </w:tr>
      <w:tr>
        <w:tc>
          <w:tcPr>
            <w:tcW w:type="dxa" w:w="2268"/>
          </w:tcPr>
          <w:p>
            <w:r>
              <w:t>Code</w:t>
            </w:r>
          </w:p>
        </w:tc>
        <w:tc>
          <w:tcPr>
            <w:tcW w:type="dxa" w:w="5669"/>
          </w:tcPr>
          <w:p>
            <w:r>
              <w:t>ZSD901</w:t>
            </w:r>
          </w:p>
        </w:tc>
      </w:tr>
      <w:tr>
        <w:tc>
          <w:tcPr>
            <w:tcW w:type="dxa" w:w="2268"/>
          </w:tcPr>
          <w:p>
            <w:r>
              <w:t>Description</w:t>
            </w:r>
          </w:p>
        </w:tc>
        <w:tc>
          <w:tcPr>
            <w:tcW w:type="dxa" w:w="5669"/>
          </w:tcPr>
          <w:p>
            <w:r>
              <w:t>Colleges and Halls</w:t>
            </w:r>
          </w:p>
        </w:tc>
      </w:tr>
      <w:tr>
        <w:tc>
          <w:tcPr>
            <w:tcW w:type="dxa" w:w="2268"/>
          </w:tcPr>
          <w:p>
            <w:r>
              <w:t>Active</w:t>
            </w:r>
          </w:p>
        </w:tc>
        <w:tc>
          <w:tcPr>
            <w:tcW w:type="dxa" w:w="5669"/>
          </w:tcPr>
          <w:p>
            <w:r>
              <w:t>Yes</w:t>
            </w:r>
          </w:p>
        </w:tc>
      </w:tr>
    </w:tbl>
    <w:p/>
    <w:p>
      <w:pPr>
        <w:ind w:left="283"/>
      </w:pPr>
      <w:r>
        <w:rPr>
          <w:b/>
          <w:color w:val="780000"/>
        </w:rPr>
        <w:t xml:space="preserve">Screenshot pending: </w:t>
      </w:r>
      <w:r>
        <w:rPr>
          <w:i/>
        </w:rPr>
        <w:t>Subdivision ZSD901 in PeopleXD reference data — capture during live UOXU configuration</w:t>
      </w:r>
    </w:p>
    <w:p>
      <w:pPr>
        <w:pStyle w:val="Heading3"/>
      </w:pPr>
      <w:r>
        <w:rPr>
          <w:color w:val="002147"/>
          <w:sz w:val="22"/>
        </w:rPr>
        <w:t>5.3 Level 4 (USER_CODE2)</w:t>
      </w:r>
    </w:p>
    <w:tbl>
      <w:tblPr>
        <w:tblStyle w:val="TableGrid"/>
        <w:tblW w:type="auto" w:w="0"/>
        <w:tblLook w:firstColumn="1" w:firstRow="1" w:lastColumn="0" w:lastRow="0" w:noHBand="0" w:noVBand="1" w:val="04A0"/>
      </w:tblPr>
      <w:tblGrid>
        <w:gridCol w:w="4703"/>
        <w:gridCol w:w="4703"/>
      </w:tblGrid>
      <w:tr>
        <w:tc>
          <w:tcPr>
            <w:tcW w:type="dxa" w:w="2268"/>
          </w:tcPr>
          <w:p>
            <w:r>
              <w:rPr>
                <w:b/>
              </w:rPr>
              <w:t>Field</w:t>
            </w:r>
          </w:p>
        </w:tc>
        <w:tc>
          <w:tcPr>
            <w:tcW w:type="dxa" w:w="5669"/>
          </w:tcPr>
          <w:p>
            <w:r>
              <w:rPr>
                <w:b/>
              </w:rPr>
              <w:t>Value</w:t>
            </w:r>
          </w:p>
        </w:tc>
      </w:tr>
      <w:tr>
        <w:tc>
          <w:tcPr>
            <w:tcW w:type="dxa" w:w="2268"/>
          </w:tcPr>
          <w:p>
            <w:r>
              <w:t>Code</w:t>
            </w:r>
          </w:p>
        </w:tc>
        <w:tc>
          <w:tcPr>
            <w:tcW w:type="dxa" w:w="5669"/>
          </w:tcPr>
          <w:p>
            <w:r>
              <w:t>Z90101</w:t>
            </w:r>
          </w:p>
        </w:tc>
      </w:tr>
      <w:tr>
        <w:tc>
          <w:tcPr>
            <w:tcW w:type="dxa" w:w="2268"/>
          </w:tcPr>
          <w:p>
            <w:r>
              <w:t>Description</w:t>
            </w:r>
          </w:p>
        </w:tc>
        <w:tc>
          <w:tcPr>
            <w:tcW w:type="dxa" w:w="5669"/>
          </w:tcPr>
          <w:p>
            <w:r>
              <w:t>Colleges and Halls</w:t>
            </w:r>
          </w:p>
        </w:tc>
      </w:tr>
      <w:tr>
        <w:tc>
          <w:tcPr>
            <w:tcW w:type="dxa" w:w="2268"/>
          </w:tcPr>
          <w:p>
            <w:r>
              <w:t>Active</w:t>
            </w:r>
          </w:p>
        </w:tc>
        <w:tc>
          <w:tcPr>
            <w:tcW w:type="dxa" w:w="5669"/>
          </w:tcPr>
          <w:p>
            <w:r>
              <w:t>Yes</w:t>
            </w:r>
          </w:p>
        </w:tc>
      </w:tr>
    </w:tbl>
    <w:p/>
    <w:p>
      <w:pPr>
        <w:ind w:left="283"/>
      </w:pPr>
      <w:r>
        <w:rPr>
          <w:b/>
          <w:color w:val="780000"/>
        </w:rPr>
        <w:t xml:space="preserve">Screenshot pending: </w:t>
      </w:r>
      <w:r>
        <w:rPr>
          <w:i/>
        </w:rPr>
        <w:t>Level 4 Z90101 in PeopleXD reference data — capture during live UOXU configuration</w:t>
      </w:r>
    </w:p>
    <w:p>
      <w:pPr>
        <w:pStyle w:val="Heading3"/>
      </w:pPr>
      <w:r>
        <w:rPr>
          <w:color w:val="002147"/>
          <w:sz w:val="22"/>
        </w:rPr>
        <w:t>5.4 Management Units</w:t>
      </w:r>
    </w:p>
    <w:p>
      <w:r>
        <w:t>Create two entries:</w:t>
      </w:r>
    </w:p>
    <w:tbl>
      <w:tblPr>
        <w:tblStyle w:val="TableGrid"/>
        <w:tblW w:type="auto" w:w="0"/>
        <w:tblLook w:firstColumn="1" w:firstRow="1" w:lastColumn="0" w:lastRow="0" w:noHBand="0" w:noVBand="1" w:val="04A0"/>
      </w:tblPr>
      <w:tblGrid>
        <w:gridCol w:w="3135"/>
        <w:gridCol w:w="3135"/>
        <w:gridCol w:w="3135"/>
      </w:tblGrid>
      <w:tr>
        <w:tc>
          <w:tcPr>
            <w:tcW w:type="dxa" w:w="1701"/>
          </w:tcPr>
          <w:p>
            <w:r>
              <w:rPr>
                <w:b/>
              </w:rPr>
              <w:t>Code</w:t>
            </w:r>
          </w:p>
        </w:tc>
        <w:tc>
          <w:tcPr>
            <w:tcW w:type="dxa" w:w="4535"/>
          </w:tcPr>
          <w:p>
            <w:r>
              <w:rPr>
                <w:b/>
              </w:rPr>
              <w:t>Description</w:t>
            </w:r>
          </w:p>
        </w:tc>
        <w:tc>
          <w:tcPr>
            <w:tcW w:type="dxa" w:w="1701"/>
          </w:tcPr>
          <w:p>
            <w:r>
              <w:rPr>
                <w:b/>
              </w:rPr>
              <w:t>Active</w:t>
            </w:r>
          </w:p>
        </w:tc>
      </w:tr>
      <w:tr>
        <w:tc>
          <w:tcPr>
            <w:tcW w:type="dxa" w:w="1701"/>
          </w:tcPr>
          <w:p>
            <w:r>
              <w:t>Z901</w:t>
            </w:r>
          </w:p>
        </w:tc>
        <w:tc>
          <w:tcPr>
            <w:tcW w:type="dxa" w:w="4535"/>
          </w:tcPr>
          <w:p>
            <w:r>
              <w:t>Colleges &amp; Halls</w:t>
            </w:r>
          </w:p>
        </w:tc>
        <w:tc>
          <w:tcPr>
            <w:tcW w:type="dxa" w:w="1701"/>
          </w:tcPr>
          <w:p>
            <w:r>
              <w:t>Yes</w:t>
            </w:r>
          </w:p>
        </w:tc>
      </w:tr>
      <w:tr>
        <w:tc>
          <w:tcPr>
            <w:tcW w:type="dxa" w:w="1701"/>
          </w:tcPr>
          <w:p>
            <w:r>
              <w:t>Z902</w:t>
            </w:r>
          </w:p>
        </w:tc>
        <w:tc>
          <w:tcPr>
            <w:tcW w:type="dxa" w:w="4535"/>
          </w:tcPr>
          <w:p>
            <w:r>
              <w:t>Permanent Private Halls</w:t>
            </w:r>
          </w:p>
        </w:tc>
        <w:tc>
          <w:tcPr>
            <w:tcW w:type="dxa" w:w="1701"/>
          </w:tcPr>
          <w:p>
            <w:r>
              <w:t>Yes</w:t>
            </w:r>
          </w:p>
        </w:tc>
      </w:tr>
    </w:tbl>
    <w:p/>
    <w:p>
      <w:pPr>
        <w:ind w:left="283"/>
      </w:pPr>
      <w:r>
        <w:rPr>
          <w:b/>
          <w:color w:val="780000"/>
        </w:rPr>
        <w:t xml:space="preserve">Screenshot pending: </w:t>
      </w:r>
      <w:r>
        <w:rPr>
          <w:i/>
        </w:rPr>
        <w:t>Management Units Z901 and Z902 in PeopleXD reference data — capture during live UOXU configuration</w:t>
      </w:r>
    </w:p>
    <w:p/>
    <w:p>
      <w:pPr>
        <w:pStyle w:val="Heading2"/>
      </w:pPr>
      <w:r>
        <w:rPr>
          <w:color w:val="002147"/>
          <w:sz w:val="26"/>
        </w:rPr>
        <w:t>Step 6 — Load Pay Administered By Reference Data</w:t>
      </w:r>
    </w:p>
    <w:p>
      <w:r>
        <w:t>Use the Data Migration tool to load all 40 college codes at once rather than entering them individually.</w:t>
      </w:r>
    </w:p>
    <w:p>
      <w:r>
        <w:rPr>
          <w:b/>
        </w:rPr>
        <w:t xml:space="preserve">Navigation: </w:t>
      </w:r>
      <w:r>
        <w:t>Data Migration → Templates</w:t>
      </w:r>
    </w:p>
    <w:p/>
    <w:p>
      <w:pPr>
        <w:jc w:val="center"/>
      </w:pPr>
      <w:r>
        <w:drawing>
          <wp:inline xmlns:a="http://schemas.openxmlformats.org/drawingml/2006/main" xmlns:pic="http://schemas.openxmlformats.org/drawingml/2006/picture">
            <wp:extent cx="5303520" cy="3553227"/>
            <wp:docPr id="15" name="Picture 15"/>
            <wp:cNvGraphicFramePr>
              <a:graphicFrameLocks noChangeAspect="1"/>
            </wp:cNvGraphicFramePr>
            <a:graphic>
              <a:graphicData uri="http://schemas.openxmlformats.org/drawingml/2006/picture">
                <pic:pic>
                  <pic:nvPicPr>
                    <pic:cNvPr id="0" name="16.png"/>
                    <pic:cNvPicPr/>
                  </pic:nvPicPr>
                  <pic:blipFill>
                    <a:blip r:embed="rId23"/>
                    <a:stretch>
                      <a:fillRect/>
                    </a:stretch>
                  </pic:blipFill>
                  <pic:spPr>
                    <a:xfrm>
                      <a:off x="0" y="0"/>
                      <a:ext cx="5303520" cy="3553227"/>
                    </a:xfrm>
                    <a:prstGeom prst="rect"/>
                  </pic:spPr>
                </pic:pic>
              </a:graphicData>
            </a:graphic>
          </wp:inline>
        </w:drawing>
      </w:r>
    </w:p>
    <w:p>
      <w:pPr>
        <w:jc w:val="center"/>
      </w:pPr>
      <w:r>
        <w:rPr>
          <w:i/>
          <w:color w:val="646464"/>
          <w:sz w:val="18"/>
        </w:rPr>
        <w:t>The hierarchy mapping spreadsheet — shows all levels (Subdivision, Level 4, Management Unit, Department, Pay Administered By). Use this as your reference when building the structure in Step 7B</w:t>
      </w:r>
    </w:p>
    <w:p>
      <w:pPr>
        <w:pStyle w:val="ListBullet"/>
      </w:pPr>
      <w:r>
        <w:t xml:space="preserve">Download the </w:t>
      </w:r>
      <w:r>
        <w:rPr>
          <w:b/>
        </w:rPr>
        <w:t>HR Reference</w:t>
      </w:r>
      <w:r>
        <w:t xml:space="preserve"> template and the </w:t>
      </w:r>
      <w:r>
        <w:rPr>
          <w:b/>
        </w:rPr>
        <w:t>Helper</w:t>
      </w:r>
      <w:r>
        <w:t xml:space="preserve"> file from Data Migration → Templates</w:t>
      </w:r>
    </w:p>
    <w:p>
      <w:pPr>
        <w:pStyle w:val="ListBullet"/>
      </w:pPr>
      <w:r>
        <w:t>Open the HR Reference template</w:t>
      </w:r>
    </w:p>
    <w:p>
      <w:pPr>
        <w:jc w:val="center"/>
      </w:pPr>
      <w:r>
        <w:drawing>
          <wp:inline xmlns:a="http://schemas.openxmlformats.org/drawingml/2006/main" xmlns:pic="http://schemas.openxmlformats.org/drawingml/2006/picture">
            <wp:extent cx="5303520" cy="3553227"/>
            <wp:docPr id="16" name="Picture 16"/>
            <wp:cNvGraphicFramePr>
              <a:graphicFrameLocks noChangeAspect="1"/>
            </wp:cNvGraphicFramePr>
            <a:graphic>
              <a:graphicData uri="http://schemas.openxmlformats.org/drawingml/2006/picture">
                <pic:pic>
                  <pic:nvPicPr>
                    <pic:cNvPr id="0" name="17.png"/>
                    <pic:cNvPicPr/>
                  </pic:nvPicPr>
                  <pic:blipFill>
                    <a:blip r:embed="rId24"/>
                    <a:stretch>
                      <a:fillRect/>
                    </a:stretch>
                  </pic:blipFill>
                  <pic:spPr>
                    <a:xfrm>
                      <a:off x="0" y="0"/>
                      <a:ext cx="5303520" cy="3553227"/>
                    </a:xfrm>
                    <a:prstGeom prst="rect"/>
                  </pic:spPr>
                </pic:pic>
              </a:graphicData>
            </a:graphic>
          </wp:inline>
        </w:drawing>
      </w:r>
    </w:p>
    <w:p>
      <w:pPr>
        <w:jc w:val="center"/>
      </w:pPr>
      <w:r>
        <w:rPr>
          <w:i/>
          <w:color w:val="646464"/>
          <w:sz w:val="18"/>
        </w:rPr>
        <w:t>HR Reference File — blank template. Four columns required: Reference Type | Reference Code | Description | Active Indicator</w:t>
      </w:r>
    </w:p>
    <w:p>
      <w:pPr>
        <w:pStyle w:val="ListBullet"/>
      </w:pPr>
      <w:r>
        <w:t>Prepare your file in pipe-delimited format with these four columns: Reference Type | Reference Code | Description | Active Indicator</w:t>
      </w:r>
    </w:p>
    <w:p>
      <w:pPr>
        <w:pStyle w:val="ListBullet"/>
      </w:pPr>
      <w:r>
        <w:t xml:space="preserve">Reference Type must be: </w:t>
      </w:r>
      <w:r>
        <w:rPr>
          <w:b/>
        </w:rPr>
        <w:t>USER5</w:t>
      </w:r>
      <w:r>
        <w:t xml:space="preserve"> (this is the code for Pay Administered By — must be exact)</w:t>
      </w:r>
    </w:p>
    <w:p>
      <w:pPr>
        <w:pStyle w:val="ListBullet"/>
      </w:pPr>
      <w:r>
        <w:t>Populate all 40 college codes (see table below)</w:t>
      </w:r>
    </w:p>
    <w:p>
      <w:pPr>
        <w:jc w:val="center"/>
      </w:pPr>
      <w:r>
        <w:drawing>
          <wp:inline xmlns:a="http://schemas.openxmlformats.org/drawingml/2006/main" xmlns:pic="http://schemas.openxmlformats.org/drawingml/2006/picture">
            <wp:extent cx="5303520" cy="3553227"/>
            <wp:docPr id="17" name="Picture 17"/>
            <wp:cNvGraphicFramePr>
              <a:graphicFrameLocks noChangeAspect="1"/>
            </wp:cNvGraphicFramePr>
            <a:graphic>
              <a:graphicData uri="http://schemas.openxmlformats.org/drawingml/2006/picture">
                <pic:pic>
                  <pic:nvPicPr>
                    <pic:cNvPr id="0" name="18.png"/>
                    <pic:cNvPicPr/>
                  </pic:nvPicPr>
                  <pic:blipFill>
                    <a:blip r:embed="rId25"/>
                    <a:stretch>
                      <a:fillRect/>
                    </a:stretch>
                  </pic:blipFill>
                  <pic:spPr>
                    <a:xfrm>
                      <a:off x="0" y="0"/>
                      <a:ext cx="5303520" cy="3553227"/>
                    </a:xfrm>
                    <a:prstGeom prst="rect"/>
                  </pic:spPr>
                </pic:pic>
              </a:graphicData>
            </a:graphic>
          </wp:inline>
        </w:drawing>
      </w:r>
    </w:p>
    <w:p>
      <w:pPr>
        <w:jc w:val="center"/>
      </w:pPr>
      <w:r>
        <w:rPr>
          <w:i/>
          <w:color w:val="646464"/>
          <w:sz w:val="18"/>
        </w:rPr>
        <w:t>Populated upload file — all 40 college codes entered in pipe-delimited format with USER5 reference type and REF2029 suffix in description</w:t>
      </w:r>
    </w:p>
    <w:p>
      <w:pPr>
        <w:ind w:left="283"/>
      </w:pPr>
      <w:r>
        <w:rPr>
          <w:b/>
          <w:color w:val="780000"/>
        </w:rPr>
        <w:t xml:space="preserve">Header row warning: </w:t>
      </w:r>
      <w:r>
        <w:rPr>
          <w:i/>
        </w:rPr>
        <w:t>Keep the header row at the top of the file. PeopleXD recently changed to require this — removing the header causes the load to fail.</w:t>
      </w:r>
    </w:p>
    <w:p>
      <w:pPr>
        <w:ind w:left="283"/>
      </w:pPr>
      <w:r>
        <w:rPr>
          <w:b/>
          <w:color w:val="780000"/>
        </w:rPr>
        <w:t xml:space="preserve">Hyphen warning: </w:t>
      </w:r>
      <w:r>
        <w:rPr>
          <w:i/>
        </w:rPr>
        <w:t>If the upload fails with an invalid character error, re-type all hyphens manually (do not paste). Pasted hyphens from some sources are rejected.</w:t>
      </w:r>
    </w:p>
    <w:p>
      <w:pPr>
        <w:pStyle w:val="ListBullet"/>
      </w:pPr>
      <w:r>
        <w:t xml:space="preserve">Upload via Data Migration tool → select </w:t>
      </w:r>
      <w:r>
        <w:rPr>
          <w:b/>
        </w:rPr>
        <w:t>Process All Records</w:t>
      </w:r>
      <w:r/>
    </w:p>
    <w:p>
      <w:pPr>
        <w:pStyle w:val="ListBullet"/>
      </w:pPr>
      <w:r>
        <w:t>Verify all 40 entries appear as Active in User Code 5 reference data</w:t>
      </w:r>
    </w:p>
    <w:p>
      <w:pPr>
        <w:jc w:val="center"/>
      </w:pPr>
      <w:r>
        <w:drawing>
          <wp:inline xmlns:a="http://schemas.openxmlformats.org/drawingml/2006/main" xmlns:pic="http://schemas.openxmlformats.org/drawingml/2006/picture">
            <wp:extent cx="5303520" cy="3553227"/>
            <wp:docPr id="18" name="Picture 18"/>
            <wp:cNvGraphicFramePr>
              <a:graphicFrameLocks noChangeAspect="1"/>
            </wp:cNvGraphicFramePr>
            <a:graphic>
              <a:graphicData uri="http://schemas.openxmlformats.org/drawingml/2006/picture">
                <pic:pic>
                  <pic:nvPicPr>
                    <pic:cNvPr id="0" name="19.png"/>
                    <pic:cNvPicPr/>
                  </pic:nvPicPr>
                  <pic:blipFill>
                    <a:blip r:embed="rId26"/>
                    <a:stretch>
                      <a:fillRect/>
                    </a:stretch>
                  </pic:blipFill>
                  <pic:spPr>
                    <a:xfrm>
                      <a:off x="0" y="0"/>
                      <a:ext cx="5303520" cy="3553227"/>
                    </a:xfrm>
                    <a:prstGeom prst="rect"/>
                  </pic:spPr>
                </pic:pic>
              </a:graphicData>
            </a:graphic>
          </wp:inline>
        </w:drawing>
      </w:r>
    </w:p>
    <w:p>
      <w:pPr>
        <w:jc w:val="center"/>
      </w:pPr>
      <w:r>
        <w:rPr>
          <w:i/>
          <w:color w:val="646464"/>
          <w:sz w:val="18"/>
        </w:rPr>
        <w:t>Completed hierarchy mapping showing departments linked to Pay Administered By codes — this is the target state after completing Steps 6 and 7B</w:t>
      </w:r>
    </w:p>
    <w:p>
      <w:r>
        <w:t>Full Pay Administered By code list — 40 entries (Reference Type: USER5):</w:t>
      </w:r>
    </w:p>
    <w:tbl>
      <w:tblPr>
        <w:tblStyle w:val="TableGrid"/>
        <w:tblW w:type="auto" w:w="0"/>
        <w:tblLook w:firstColumn="1" w:firstRow="1" w:lastColumn="0" w:lastRow="0" w:noHBand="0" w:noVBand="1" w:val="04A0"/>
      </w:tblPr>
      <w:tblGrid>
        <w:gridCol w:w="4703"/>
        <w:gridCol w:w="4703"/>
      </w:tblGrid>
      <w:tr>
        <w:tc>
          <w:tcPr>
            <w:tcW w:type="dxa" w:w="1701"/>
          </w:tcPr>
          <w:p>
            <w:r>
              <w:rPr>
                <w:b/>
              </w:rPr>
              <w:t>Code</w:t>
            </w:r>
          </w:p>
        </w:tc>
        <w:tc>
          <w:tcPr>
            <w:tcW w:type="dxa" w:w="6236"/>
          </w:tcPr>
          <w:p>
            <w:r>
              <w:rPr>
                <w:b/>
              </w:rPr>
              <w:t>College / Hall</w:t>
            </w:r>
          </w:p>
        </w:tc>
      </w:tr>
      <w:tr>
        <w:tc>
          <w:tcPr>
            <w:tcW w:type="dxa" w:w="1701"/>
          </w:tcPr>
          <w:p>
            <w:r>
              <w:t>JNREF</w:t>
            </w:r>
          </w:p>
        </w:tc>
        <w:tc>
          <w:tcPr>
            <w:tcW w:type="dxa" w:w="6236"/>
          </w:tcPr>
          <w:p>
            <w:r>
              <w:t>Wolfson College</w:t>
            </w:r>
          </w:p>
        </w:tc>
      </w:tr>
      <w:tr>
        <w:tc>
          <w:tcPr>
            <w:tcW w:type="dxa" w:w="1701"/>
          </w:tcPr>
          <w:p>
            <w:r>
              <w:t>LNACRE</w:t>
            </w:r>
          </w:p>
        </w:tc>
        <w:tc>
          <w:tcPr>
            <w:tcW w:type="dxa" w:w="6236"/>
          </w:tcPr>
          <w:p>
            <w:r>
              <w:t>Linacre College</w:t>
            </w:r>
          </w:p>
        </w:tc>
      </w:tr>
      <w:tr>
        <w:tc>
          <w:tcPr>
            <w:tcW w:type="dxa" w:w="1701"/>
          </w:tcPr>
          <w:p>
            <w:r>
              <w:t>RAREF</w:t>
            </w:r>
          </w:p>
        </w:tc>
        <w:tc>
          <w:tcPr>
            <w:tcW w:type="dxa" w:w="6236"/>
          </w:tcPr>
          <w:p>
            <w:r>
              <w:t>All Souls College</w:t>
            </w:r>
          </w:p>
        </w:tc>
      </w:tr>
      <w:tr>
        <w:tc>
          <w:tcPr>
            <w:tcW w:type="dxa" w:w="1701"/>
          </w:tcPr>
          <w:p>
            <w:r>
              <w:t>RBREF</w:t>
            </w:r>
          </w:p>
        </w:tc>
        <w:tc>
          <w:tcPr>
            <w:tcW w:type="dxa" w:w="6236"/>
          </w:tcPr>
          <w:p>
            <w:r>
              <w:t>Balliol College</w:t>
            </w:r>
          </w:p>
        </w:tc>
      </w:tr>
      <w:tr>
        <w:tc>
          <w:tcPr>
            <w:tcW w:type="dxa" w:w="1701"/>
          </w:tcPr>
          <w:p>
            <w:r>
              <w:t>RCREF</w:t>
            </w:r>
          </w:p>
        </w:tc>
        <w:tc>
          <w:tcPr>
            <w:tcW w:type="dxa" w:w="6236"/>
          </w:tcPr>
          <w:p>
            <w:r>
              <w:t>Brasenose College</w:t>
            </w:r>
          </w:p>
        </w:tc>
      </w:tr>
      <w:tr>
        <w:tc>
          <w:tcPr>
            <w:tcW w:type="dxa" w:w="1701"/>
          </w:tcPr>
          <w:p>
            <w:r>
              <w:t>RDREF</w:t>
            </w:r>
          </w:p>
        </w:tc>
        <w:tc>
          <w:tcPr>
            <w:tcW w:type="dxa" w:w="6236"/>
          </w:tcPr>
          <w:p>
            <w:r>
              <w:t>Christ Church</w:t>
            </w:r>
          </w:p>
        </w:tc>
      </w:tr>
      <w:tr>
        <w:tc>
          <w:tcPr>
            <w:tcW w:type="dxa" w:w="1701"/>
          </w:tcPr>
          <w:p>
            <w:r>
              <w:t>REREF</w:t>
            </w:r>
          </w:p>
        </w:tc>
        <w:tc>
          <w:tcPr>
            <w:tcW w:type="dxa" w:w="6236"/>
          </w:tcPr>
          <w:p>
            <w:r>
              <w:t>Corpus Christi College</w:t>
            </w:r>
          </w:p>
        </w:tc>
      </w:tr>
      <w:tr>
        <w:tc>
          <w:tcPr>
            <w:tcW w:type="dxa" w:w="1701"/>
          </w:tcPr>
          <w:p>
            <w:r>
              <w:t>RFREF</w:t>
            </w:r>
          </w:p>
        </w:tc>
        <w:tc>
          <w:tcPr>
            <w:tcW w:type="dxa" w:w="6236"/>
          </w:tcPr>
          <w:p>
            <w:r>
              <w:t>Exeter College</w:t>
            </w:r>
          </w:p>
        </w:tc>
      </w:tr>
      <w:tr>
        <w:tc>
          <w:tcPr>
            <w:tcW w:type="dxa" w:w="1701"/>
          </w:tcPr>
          <w:p>
            <w:r>
              <w:t>RGREF</w:t>
            </w:r>
          </w:p>
        </w:tc>
        <w:tc>
          <w:tcPr>
            <w:tcW w:type="dxa" w:w="6236"/>
          </w:tcPr>
          <w:p>
            <w:r>
              <w:t>Hertford College</w:t>
            </w:r>
          </w:p>
        </w:tc>
      </w:tr>
      <w:tr>
        <w:tc>
          <w:tcPr>
            <w:tcW w:type="dxa" w:w="1701"/>
          </w:tcPr>
          <w:p>
            <w:r>
              <w:t>RHREF</w:t>
            </w:r>
          </w:p>
        </w:tc>
        <w:tc>
          <w:tcPr>
            <w:tcW w:type="dxa" w:w="6236"/>
          </w:tcPr>
          <w:p>
            <w:r>
              <w:t>Jesus College</w:t>
            </w:r>
          </w:p>
        </w:tc>
      </w:tr>
      <w:tr>
        <w:tc>
          <w:tcPr>
            <w:tcW w:type="dxa" w:w="1701"/>
          </w:tcPr>
          <w:p>
            <w:r>
              <w:t>RJREF</w:t>
            </w:r>
          </w:p>
        </w:tc>
        <w:tc>
          <w:tcPr>
            <w:tcW w:type="dxa" w:w="6236"/>
          </w:tcPr>
          <w:p>
            <w:r>
              <w:t>Keble College</w:t>
            </w:r>
          </w:p>
        </w:tc>
      </w:tr>
      <w:tr>
        <w:tc>
          <w:tcPr>
            <w:tcW w:type="dxa" w:w="1701"/>
          </w:tcPr>
          <w:p>
            <w:r>
              <w:t>RKREF</w:t>
            </w:r>
          </w:p>
        </w:tc>
        <w:tc>
          <w:tcPr>
            <w:tcW w:type="dxa" w:w="6236"/>
          </w:tcPr>
          <w:p>
            <w:r>
              <w:t>Lady Margaret Hall</w:t>
            </w:r>
          </w:p>
        </w:tc>
      </w:tr>
      <w:tr>
        <w:tc>
          <w:tcPr>
            <w:tcW w:type="dxa" w:w="1701"/>
          </w:tcPr>
          <w:p>
            <w:r>
              <w:t>RMREF</w:t>
            </w:r>
          </w:p>
        </w:tc>
        <w:tc>
          <w:tcPr>
            <w:tcW w:type="dxa" w:w="6236"/>
          </w:tcPr>
          <w:p>
            <w:r>
              <w:t>Lincoln College</w:t>
            </w:r>
          </w:p>
        </w:tc>
      </w:tr>
      <w:tr>
        <w:tc>
          <w:tcPr>
            <w:tcW w:type="dxa" w:w="1701"/>
          </w:tcPr>
          <w:p>
            <w:r>
              <w:t>RNREF</w:t>
            </w:r>
          </w:p>
        </w:tc>
        <w:tc>
          <w:tcPr>
            <w:tcW w:type="dxa" w:w="6236"/>
          </w:tcPr>
          <w:p>
            <w:r>
              <w:t>Magdalen College</w:t>
            </w:r>
          </w:p>
        </w:tc>
      </w:tr>
      <w:tr>
        <w:tc>
          <w:tcPr>
            <w:tcW w:type="dxa" w:w="1701"/>
          </w:tcPr>
          <w:p>
            <w:r>
              <w:t>RPREF</w:t>
            </w:r>
          </w:p>
        </w:tc>
        <w:tc>
          <w:tcPr>
            <w:tcW w:type="dxa" w:w="6236"/>
          </w:tcPr>
          <w:p>
            <w:r>
              <w:t>Merton College</w:t>
            </w:r>
          </w:p>
        </w:tc>
      </w:tr>
      <w:tr>
        <w:tc>
          <w:tcPr>
            <w:tcW w:type="dxa" w:w="1701"/>
          </w:tcPr>
          <w:p>
            <w:r>
              <w:t>RQREF</w:t>
            </w:r>
          </w:p>
        </w:tc>
        <w:tc>
          <w:tcPr>
            <w:tcW w:type="dxa" w:w="6236"/>
          </w:tcPr>
          <w:p>
            <w:r>
              <w:t>New College</w:t>
            </w:r>
          </w:p>
        </w:tc>
      </w:tr>
      <w:tr>
        <w:tc>
          <w:tcPr>
            <w:tcW w:type="dxa" w:w="1701"/>
          </w:tcPr>
          <w:p>
            <w:r>
              <w:t>RRREF</w:t>
            </w:r>
          </w:p>
        </w:tc>
        <w:tc>
          <w:tcPr>
            <w:tcW w:type="dxa" w:w="6236"/>
          </w:tcPr>
          <w:p>
            <w:r>
              <w:t>Nuffield College</w:t>
            </w:r>
          </w:p>
        </w:tc>
      </w:tr>
      <w:tr>
        <w:tc>
          <w:tcPr>
            <w:tcW w:type="dxa" w:w="1701"/>
          </w:tcPr>
          <w:p>
            <w:r>
              <w:t>RSREF</w:t>
            </w:r>
          </w:p>
        </w:tc>
        <w:tc>
          <w:tcPr>
            <w:tcW w:type="dxa" w:w="6236"/>
          </w:tcPr>
          <w:p>
            <w:r>
              <w:t>Oriel College</w:t>
            </w:r>
          </w:p>
        </w:tc>
      </w:tr>
      <w:tr>
        <w:tc>
          <w:tcPr>
            <w:tcW w:type="dxa" w:w="1701"/>
          </w:tcPr>
          <w:p>
            <w:r>
              <w:t>RTREF</w:t>
            </w:r>
          </w:p>
        </w:tc>
        <w:tc>
          <w:tcPr>
            <w:tcW w:type="dxa" w:w="6236"/>
          </w:tcPr>
          <w:p>
            <w:r>
              <w:t>Pembroke College</w:t>
            </w:r>
          </w:p>
        </w:tc>
      </w:tr>
      <w:tr>
        <w:tc>
          <w:tcPr>
            <w:tcW w:type="dxa" w:w="1701"/>
          </w:tcPr>
          <w:p>
            <w:r>
              <w:t>RVREF</w:t>
            </w:r>
          </w:p>
        </w:tc>
        <w:tc>
          <w:tcPr>
            <w:tcW w:type="dxa" w:w="6236"/>
          </w:tcPr>
          <w:p>
            <w:r>
              <w:t>Queen's College</w:t>
            </w:r>
          </w:p>
        </w:tc>
      </w:tr>
      <w:tr>
        <w:tc>
          <w:tcPr>
            <w:tcW w:type="dxa" w:w="1701"/>
          </w:tcPr>
          <w:p>
            <w:r>
              <w:t>RWREF</w:t>
            </w:r>
          </w:p>
        </w:tc>
        <w:tc>
          <w:tcPr>
            <w:tcW w:type="dxa" w:w="6236"/>
          </w:tcPr>
          <w:p>
            <w:r>
              <w:t>St Anne's College</w:t>
            </w:r>
          </w:p>
        </w:tc>
      </w:tr>
      <w:tr>
        <w:tc>
          <w:tcPr>
            <w:tcW w:type="dxa" w:w="1701"/>
          </w:tcPr>
          <w:p>
            <w:r>
              <w:t>RXREF</w:t>
            </w:r>
          </w:p>
        </w:tc>
        <w:tc>
          <w:tcPr>
            <w:tcW w:type="dxa" w:w="6236"/>
          </w:tcPr>
          <w:p>
            <w:r>
              <w:t>St Antony's College</w:t>
            </w:r>
          </w:p>
        </w:tc>
      </w:tr>
      <w:tr>
        <w:tc>
          <w:tcPr>
            <w:tcW w:type="dxa" w:w="1701"/>
          </w:tcPr>
          <w:p>
            <w:r>
              <w:t>RYREF</w:t>
            </w:r>
          </w:p>
        </w:tc>
        <w:tc>
          <w:tcPr>
            <w:tcW w:type="dxa" w:w="6236"/>
          </w:tcPr>
          <w:p>
            <w:r>
              <w:t>St Catherine's College</w:t>
            </w:r>
          </w:p>
        </w:tc>
      </w:tr>
      <w:tr>
        <w:tc>
          <w:tcPr>
            <w:tcW w:type="dxa" w:w="1701"/>
          </w:tcPr>
          <w:p>
            <w:r>
              <w:t>SAREF</w:t>
            </w:r>
          </w:p>
        </w:tc>
        <w:tc>
          <w:tcPr>
            <w:tcW w:type="dxa" w:w="6236"/>
          </w:tcPr>
          <w:p>
            <w:r>
              <w:t>St Edmund Hall</w:t>
            </w:r>
          </w:p>
        </w:tc>
      </w:tr>
      <w:tr>
        <w:tc>
          <w:tcPr>
            <w:tcW w:type="dxa" w:w="1701"/>
          </w:tcPr>
          <w:p>
            <w:r>
              <w:t>SBREF</w:t>
            </w:r>
          </w:p>
        </w:tc>
        <w:tc>
          <w:tcPr>
            <w:tcW w:type="dxa" w:w="6236"/>
          </w:tcPr>
          <w:p>
            <w:r>
              <w:t>St Hilda's College</w:t>
            </w:r>
          </w:p>
        </w:tc>
      </w:tr>
      <w:tr>
        <w:tc>
          <w:tcPr>
            <w:tcW w:type="dxa" w:w="1701"/>
          </w:tcPr>
          <w:p>
            <w:r>
              <w:t>SCREF</w:t>
            </w:r>
          </w:p>
        </w:tc>
        <w:tc>
          <w:tcPr>
            <w:tcW w:type="dxa" w:w="6236"/>
          </w:tcPr>
          <w:p>
            <w:r>
              <w:t>St Hugh's College</w:t>
            </w:r>
          </w:p>
        </w:tc>
      </w:tr>
      <w:tr>
        <w:tc>
          <w:tcPr>
            <w:tcW w:type="dxa" w:w="1701"/>
          </w:tcPr>
          <w:p>
            <w:r>
              <w:t>SDREF</w:t>
            </w:r>
          </w:p>
        </w:tc>
        <w:tc>
          <w:tcPr>
            <w:tcW w:type="dxa" w:w="6236"/>
          </w:tcPr>
          <w:p>
            <w:r>
              <w:t>St John's College</w:t>
            </w:r>
          </w:p>
        </w:tc>
      </w:tr>
      <w:tr>
        <w:tc>
          <w:tcPr>
            <w:tcW w:type="dxa" w:w="1701"/>
          </w:tcPr>
          <w:p>
            <w:r>
              <w:t>SEREF</w:t>
            </w:r>
          </w:p>
        </w:tc>
        <w:tc>
          <w:tcPr>
            <w:tcW w:type="dxa" w:w="6236"/>
          </w:tcPr>
          <w:p>
            <w:r>
              <w:t>St Peter's College</w:t>
            </w:r>
          </w:p>
        </w:tc>
      </w:tr>
      <w:tr>
        <w:tc>
          <w:tcPr>
            <w:tcW w:type="dxa" w:w="1701"/>
          </w:tcPr>
          <w:p>
            <w:r>
              <w:t>SFREF</w:t>
            </w:r>
          </w:p>
        </w:tc>
        <w:tc>
          <w:tcPr>
            <w:tcW w:type="dxa" w:w="6236"/>
          </w:tcPr>
          <w:p>
            <w:r>
              <w:t>Somerville College</w:t>
            </w:r>
          </w:p>
        </w:tc>
      </w:tr>
      <w:tr>
        <w:tc>
          <w:tcPr>
            <w:tcW w:type="dxa" w:w="1701"/>
          </w:tcPr>
          <w:p>
            <w:r>
              <w:t>SGREF</w:t>
            </w:r>
          </w:p>
        </w:tc>
        <w:tc>
          <w:tcPr>
            <w:tcW w:type="dxa" w:w="6236"/>
          </w:tcPr>
          <w:p>
            <w:r>
              <w:t>Trinity College</w:t>
            </w:r>
          </w:p>
        </w:tc>
      </w:tr>
      <w:tr>
        <w:tc>
          <w:tcPr>
            <w:tcW w:type="dxa" w:w="1701"/>
          </w:tcPr>
          <w:p>
            <w:r>
              <w:t>SHREF</w:t>
            </w:r>
          </w:p>
        </w:tc>
        <w:tc>
          <w:tcPr>
            <w:tcW w:type="dxa" w:w="6236"/>
          </w:tcPr>
          <w:p>
            <w:r>
              <w:t>University College</w:t>
            </w:r>
          </w:p>
        </w:tc>
      </w:tr>
      <w:tr>
        <w:tc>
          <w:tcPr>
            <w:tcW w:type="dxa" w:w="1701"/>
          </w:tcPr>
          <w:p>
            <w:r>
              <w:t>SIREF</w:t>
            </w:r>
          </w:p>
        </w:tc>
        <w:tc>
          <w:tcPr>
            <w:tcW w:type="dxa" w:w="6236"/>
          </w:tcPr>
          <w:p>
            <w:r>
              <w:t>Wadham College</w:t>
            </w:r>
          </w:p>
        </w:tc>
      </w:tr>
      <w:tr>
        <w:tc>
          <w:tcPr>
            <w:tcW w:type="dxa" w:w="1701"/>
          </w:tcPr>
          <w:p>
            <w:r>
              <w:t>SKREF</w:t>
            </w:r>
          </w:p>
        </w:tc>
        <w:tc>
          <w:tcPr>
            <w:tcW w:type="dxa" w:w="6236"/>
          </w:tcPr>
          <w:p>
            <w:r>
              <w:t>Green Templeton College</w:t>
            </w:r>
          </w:p>
        </w:tc>
      </w:tr>
      <w:tr>
        <w:tc>
          <w:tcPr>
            <w:tcW w:type="dxa" w:w="1701"/>
          </w:tcPr>
          <w:p>
            <w:r>
              <w:t>SLREF</w:t>
            </w:r>
          </w:p>
        </w:tc>
        <w:tc>
          <w:tcPr>
            <w:tcW w:type="dxa" w:w="6236"/>
          </w:tcPr>
          <w:p>
            <w:r>
              <w:t>Worcester College</w:t>
            </w:r>
          </w:p>
        </w:tc>
      </w:tr>
      <w:tr>
        <w:tc>
          <w:tcPr>
            <w:tcW w:type="dxa" w:w="1701"/>
          </w:tcPr>
          <w:p>
            <w:r>
              <w:t>SPREF</w:t>
            </w:r>
          </w:p>
        </w:tc>
        <w:tc>
          <w:tcPr>
            <w:tcW w:type="dxa" w:w="6236"/>
          </w:tcPr>
          <w:p>
            <w:r>
              <w:t>Mansfield College</w:t>
            </w:r>
          </w:p>
        </w:tc>
      </w:tr>
      <w:tr>
        <w:tc>
          <w:tcPr>
            <w:tcW w:type="dxa" w:w="1701"/>
          </w:tcPr>
          <w:p>
            <w:r>
              <w:t>SXREF</w:t>
            </w:r>
          </w:p>
        </w:tc>
        <w:tc>
          <w:tcPr>
            <w:tcW w:type="dxa" w:w="6236"/>
          </w:tcPr>
          <w:p>
            <w:r>
              <w:t>Harris Manchester College</w:t>
            </w:r>
          </w:p>
        </w:tc>
      </w:tr>
      <w:tr>
        <w:tc>
          <w:tcPr>
            <w:tcW w:type="dxa" w:w="1701"/>
          </w:tcPr>
          <w:p>
            <w:r>
              <w:t>SMREF</w:t>
            </w:r>
          </w:p>
        </w:tc>
        <w:tc>
          <w:tcPr>
            <w:tcW w:type="dxa" w:w="6236"/>
          </w:tcPr>
          <w:p>
            <w:r>
              <w:t>Campion Hall</w:t>
            </w:r>
          </w:p>
        </w:tc>
      </w:tr>
      <w:tr>
        <w:tc>
          <w:tcPr>
            <w:tcW w:type="dxa" w:w="1701"/>
          </w:tcPr>
          <w:p>
            <w:r>
              <w:t>SQREF</w:t>
            </w:r>
          </w:p>
        </w:tc>
        <w:tc>
          <w:tcPr>
            <w:tcW w:type="dxa" w:w="6236"/>
          </w:tcPr>
          <w:p>
            <w:r>
              <w:t>Regent's Park College</w:t>
            </w:r>
          </w:p>
        </w:tc>
      </w:tr>
      <w:tr>
        <w:tc>
          <w:tcPr>
            <w:tcW w:type="dxa" w:w="1701"/>
          </w:tcPr>
          <w:p>
            <w:r>
              <w:t>SVREF</w:t>
            </w:r>
          </w:p>
        </w:tc>
        <w:tc>
          <w:tcPr>
            <w:tcW w:type="dxa" w:w="6236"/>
          </w:tcPr>
          <w:p>
            <w:r>
              <w:t>Wycliffe Hall</w:t>
            </w:r>
          </w:p>
        </w:tc>
      </w:tr>
      <w:tr>
        <w:tc>
          <w:tcPr>
            <w:tcW w:type="dxa" w:w="1701"/>
          </w:tcPr>
          <w:p>
            <w:r>
              <w:t>SYREF</w:t>
            </w:r>
          </w:p>
        </w:tc>
        <w:tc>
          <w:tcPr>
            <w:tcW w:type="dxa" w:w="6236"/>
          </w:tcPr>
          <w:p>
            <w:r>
              <w:t>Blackfriars</w:t>
            </w:r>
          </w:p>
        </w:tc>
      </w:tr>
    </w:tbl>
    <w:p/>
    <w:p/>
    <w:p>
      <w:pPr>
        <w:pStyle w:val="Heading2"/>
      </w:pPr>
      <w:r>
        <w:rPr>
          <w:color w:val="002147"/>
          <w:sz w:val="26"/>
        </w:rPr>
        <w:t>Step 7 — Link the Hierarchy in Structure Setup</w:t>
      </w:r>
    </w:p>
    <w:p>
      <w:r>
        <w:rPr>
          <w:b/>
        </w:rPr>
        <w:t xml:space="preserve">Navigation: </w:t>
      </w:r>
      <w:r>
        <w:t>People Management → View All → Structure Setup → University of Oxford Structure</w:t>
      </w:r>
    </w:p>
    <w:p/>
    <w:p>
      <w:pPr>
        <w:jc w:val="center"/>
      </w:pPr>
      <w:r>
        <w:drawing>
          <wp:inline xmlns:a="http://schemas.openxmlformats.org/drawingml/2006/main" xmlns:pic="http://schemas.openxmlformats.org/drawingml/2006/picture">
            <wp:extent cx="5303520" cy="3553227"/>
            <wp:docPr id="19" name="Picture 19"/>
            <wp:cNvGraphicFramePr>
              <a:graphicFrameLocks noChangeAspect="1"/>
            </wp:cNvGraphicFramePr>
            <a:graphic>
              <a:graphicData uri="http://schemas.openxmlformats.org/drawingml/2006/picture">
                <pic:pic>
                  <pic:nvPicPr>
                    <pic:cNvPr id="0" name="11.png"/>
                    <pic:cNvPicPr/>
                  </pic:nvPicPr>
                  <pic:blipFill>
                    <a:blip r:embed="rId27"/>
                    <a:stretch>
                      <a:fillRect/>
                    </a:stretch>
                  </pic:blipFill>
                  <pic:spPr>
                    <a:xfrm>
                      <a:off x="0" y="0"/>
                      <a:ext cx="5303520" cy="3553227"/>
                    </a:xfrm>
                    <a:prstGeom prst="rect"/>
                  </pic:spPr>
                </pic:pic>
              </a:graphicData>
            </a:graphic>
          </wp:inline>
        </w:drawing>
      </w:r>
    </w:p>
    <w:p>
      <w:pPr>
        <w:jc w:val="center"/>
      </w:pPr>
      <w:r>
        <w:rPr>
          <w:i/>
          <w:color w:val="646464"/>
          <w:sz w:val="18"/>
        </w:rPr>
        <w:t>People Management → View All — navigate to Structure Setup from this screen</w:t>
      </w:r>
    </w:p>
    <w:p>
      <w:pPr>
        <w:ind w:left="283"/>
      </w:pPr>
      <w:r>
        <w:rPr>
          <w:b/>
          <w:color w:val="780000"/>
        </w:rPr>
        <w:t xml:space="preserve">Critical: </w:t>
      </w:r>
      <w:r>
        <w:rPr>
          <w:i/>
        </w:rPr>
        <w:t>Always use Portal for hierarchy linking — not Back Office. Back Office causes sync issues where relationships do not appear correctly.</w:t>
      </w:r>
    </w:p>
    <w:p>
      <w:pPr>
        <w:jc w:val="center"/>
      </w:pPr>
      <w:r>
        <w:drawing>
          <wp:inline xmlns:a="http://schemas.openxmlformats.org/drawingml/2006/main" xmlns:pic="http://schemas.openxmlformats.org/drawingml/2006/picture">
            <wp:extent cx="5303520" cy="3553227"/>
            <wp:docPr id="20" name="Picture 20"/>
            <wp:cNvGraphicFramePr>
              <a:graphicFrameLocks noChangeAspect="1"/>
            </wp:cNvGraphicFramePr>
            <a:graphic>
              <a:graphicData uri="http://schemas.openxmlformats.org/drawingml/2006/picture">
                <pic:pic>
                  <pic:nvPicPr>
                    <pic:cNvPr id="0" name="20.png"/>
                    <pic:cNvPicPr/>
                  </pic:nvPicPr>
                  <pic:blipFill>
                    <a:blip r:embed="rId28"/>
                    <a:stretch>
                      <a:fillRect/>
                    </a:stretch>
                  </pic:blipFill>
                  <pic:spPr>
                    <a:xfrm>
                      <a:off x="0" y="0"/>
                      <a:ext cx="5303520" cy="3553227"/>
                    </a:xfrm>
                    <a:prstGeom prst="rect"/>
                  </pic:spPr>
                </pic:pic>
              </a:graphicData>
            </a:graphic>
          </wp:inline>
        </w:drawing>
      </w:r>
    </w:p>
    <w:p>
      <w:pPr>
        <w:jc w:val="center"/>
      </w:pPr>
      <w:r>
        <w:rPr>
          <w:i/>
          <w:color w:val="646464"/>
          <w:sz w:val="18"/>
        </w:rPr>
        <w:t>University of Oxford Structure — Company 90 should appear here once created. Open it to start linking the hierarchy levels.</w:t>
      </w:r>
    </w:p>
    <w:p>
      <w:pPr>
        <w:pStyle w:val="ListBullet"/>
      </w:pPr>
      <w:r>
        <w:t xml:space="preserve">Locate </w:t>
      </w:r>
      <w:r>
        <w:rPr>
          <w:b/>
        </w:rPr>
        <w:t>Company 90</w:t>
      </w:r>
      <w:r>
        <w:t xml:space="preserve"> in the University of Oxford Structure</w:t>
      </w:r>
    </w:p>
    <w:p>
      <w:pPr>
        <w:pStyle w:val="ListBullet"/>
      </w:pPr>
      <w:r>
        <w:t>Link in order: Division (901) → Subdivision (ZSD901) → Level 4 (Z90101) → Management Units (Z901 and Z902)</w:t>
      </w:r>
    </w:p>
    <w:p>
      <w:pPr>
        <w:pStyle w:val="ListBullet"/>
      </w:pPr>
      <w:r>
        <w:t>Save after each addition</w:t>
      </w:r>
    </w:p>
    <w:p>
      <w:pPr>
        <w:ind w:left="283"/>
      </w:pPr>
      <w:r>
        <w:rPr>
          <w:b/>
          <w:color w:val="780000"/>
        </w:rPr>
        <w:t xml:space="preserve">Screenshot pending: </w:t>
      </w:r>
      <w:r>
        <w:rPr>
          <w:i/>
        </w:rPr>
        <w:t>Completed hierarchy with Company 90 fully linked through to Management Units — capture during live UOXU configuration</w:t>
      </w:r>
    </w:p>
    <w:p>
      <w:r>
        <w:rPr>
          <w:b/>
          <w:color w:val="007800"/>
        </w:rPr>
        <w:t xml:space="preserve">✓ Validate: </w:t>
      </w:r>
      <w:r>
        <w:t>Company 90 visible · Division 901 → Subdivision ZSD901 → Level 4 Z90101 → Management Units Z901 and Z902 all linked</w:t>
      </w:r>
    </w:p>
    <w:p/>
    <w:p>
      <w:pPr>
        <w:pStyle w:val="Heading2"/>
      </w:pPr>
      <w:r>
        <w:rPr>
          <w:color w:val="002147"/>
          <w:sz w:val="26"/>
        </w:rPr>
        <w:t>Step 7B — Link Pay Administered By to Each Department</w:t>
      </w:r>
    </w:p>
    <w:p>
      <w:r>
        <w:rPr>
          <w:b/>
        </w:rPr>
        <w:t xml:space="preserve">This is the final and most important step. </w:t>
      </w:r>
      <w:r>
        <w:t>For each college department under each management unit, you must manually link its Pay Administered By code. Without this link the salary tab will not work correctly for staff in that college.</w:t>
      </w:r>
    </w:p>
    <w:p>
      <w:r>
        <w:rPr>
          <w:b/>
        </w:rPr>
        <w:t xml:space="preserve">Navigation: </w:t>
      </w:r>
      <w:r>
        <w:t>People Management → View All → Structure Setup → University of Oxford Structure</w:t>
      </w:r>
    </w:p>
    <w:p/>
    <w:p>
      <w:r>
        <w:t>For each department under Z901 (Colleges &amp; Halls) and Z902 (Permanent Private Halls):</w:t>
      </w:r>
    </w:p>
    <w:p>
      <w:pPr>
        <w:pStyle w:val="ListBullet"/>
      </w:pPr>
      <w:r>
        <w:t>Expand Company 90 → Division 901 → Subdivision ZSD901 → Level 4 Z90101 → Management Unit (Z901 or Z902)</w:t>
      </w:r>
    </w:p>
    <w:p>
      <w:pPr>
        <w:pStyle w:val="ListBullet"/>
      </w:pPr>
      <w:r>
        <w:t>Locate the college/department</w:t>
      </w:r>
    </w:p>
    <w:p>
      <w:pPr>
        <w:pStyle w:val="ListBullet"/>
      </w:pPr>
      <w:r>
        <w:t xml:space="preserve">Click </w:t>
      </w:r>
      <w:r>
        <w:rPr>
          <w:b/>
        </w:rPr>
        <w:t>Add</w:t>
      </w:r>
      <w:r>
        <w:t xml:space="preserve"> at department level</w:t>
      </w:r>
    </w:p>
    <w:p>
      <w:pPr>
        <w:pStyle w:val="ListBullet"/>
      </w:pPr>
      <w:r>
        <w:t>Select the Pay Administered By code for that college from the table below (e.g. All Souls College = RAREF)</w:t>
      </w:r>
    </w:p>
    <w:p>
      <w:pPr>
        <w:pStyle w:val="ListBullet"/>
      </w:pPr>
      <w:r>
        <w:t xml:space="preserve">Click </w:t>
      </w:r>
      <w:r>
        <w:rPr>
          <w:b/>
        </w:rPr>
        <w:t>Add to hierarchy</w:t>
      </w:r>
      <w:r/>
    </w:p>
    <w:p>
      <w:pPr>
        <w:pStyle w:val="ListBullet"/>
      </w:pPr>
      <w:r>
        <w:t>Save</w:t>
      </w:r>
    </w:p>
    <w:p>
      <w:pPr>
        <w:pStyle w:val="ListBullet"/>
      </w:pPr>
      <w:r>
        <w:t>Repeat for every department under both Z901 and Z902</w:t>
      </w:r>
    </w:p>
    <w:p>
      <w:pPr>
        <w:ind w:left="283"/>
      </w:pPr>
      <w:r>
        <w:rPr>
          <w:b/>
          <w:color w:val="780000"/>
        </w:rPr>
        <w:t xml:space="preserve">Critical — do not delete at a high level: </w:t>
      </w:r>
      <w:r>
        <w:rPr>
          <w:i/>
        </w:rPr>
        <w:t>Deleting a Division, Subdivision or Level 4 entry wipes everything linked beneath it and requires a full rebuild. Only delete at Pay Administered By level — that only removes the link, not the reference data.</w:t>
      </w:r>
    </w:p>
    <w:p>
      <w:pPr>
        <w:ind w:left="283"/>
      </w:pPr>
      <w:r>
        <w:rPr>
          <w:b/>
          <w:color w:val="780000"/>
        </w:rPr>
        <w:t xml:space="preserve">Note: </w:t>
      </w:r>
      <w:r>
        <w:rPr>
          <w:i/>
        </w:rPr>
        <w:t>Conor demonstrated this step on the 12 June call and completed some entries. Check Structure Setup first to see which departments already have Pay Administered By linked before starting, to avoid duplicating work.</w:t>
      </w:r>
    </w:p>
    <w:p>
      <w:pPr>
        <w:ind w:left="283"/>
      </w:pPr>
      <w:r>
        <w:rPr>
          <w:b/>
          <w:color w:val="780000"/>
        </w:rPr>
        <w:t xml:space="preserve">Screenshot pending: </w:t>
      </w:r>
      <w:r>
        <w:rPr>
          <w:i/>
        </w:rPr>
        <w:t>Structure Setup — Pay Administered By being linked to a department (e.g. All Souls College → RAREF) — capture during live UOXU configuration</w:t>
      </w:r>
    </w:p>
    <w:p>
      <w:pPr>
        <w:ind w:left="283"/>
      </w:pPr>
      <w:r>
        <w:rPr>
          <w:b/>
          <w:color w:val="780000"/>
        </w:rPr>
        <w:t xml:space="preserve">Screenshot pending: </w:t>
      </w:r>
      <w:r>
        <w:rPr>
          <w:i/>
        </w:rPr>
        <w:t>Completed hierarchy showing all departments with Pay Administered By linked — capture when complete</w:t>
      </w:r>
    </w:p>
    <w:p>
      <w:r>
        <w:rPr>
          <w:b/>
          <w:color w:val="007800"/>
        </w:rPr>
        <w:t xml:space="preserve">✓ Validate: </w:t>
      </w:r>
      <w:r>
        <w:t>Every department under Z901 and Z902 has a Pay Administered By code linked · Salary tab visible on a test staff record · Hierarchy fully built</w:t>
      </w:r>
    </w:p>
    <w:p/>
    <w:p>
      <w:pPr>
        <w:pStyle w:val="Heading2"/>
      </w:pPr>
      <w:r>
        <w:rPr>
          <w:color w:val="002147"/>
          <w:sz w:val="26"/>
        </w:rPr>
        <w:t>Final Checklist</w:t>
      </w:r>
    </w:p>
    <w:p>
      <w:pPr>
        <w:pStyle w:val="Heading3"/>
      </w:pPr>
      <w:r>
        <w:rPr>
          <w:color w:val="002147"/>
          <w:sz w:val="22"/>
        </w:rPr>
        <w:t>Company</w:t>
      </w:r>
    </w:p>
    <w:p>
      <w:pPr>
        <w:pStyle w:val="ListBullet"/>
      </w:pPr>
      <w:r>
        <w:t>☐  Company 90 created — Code 90 · Name: Non Payroll COLLEGES AND HALLS · Contact: REF2029</w:t>
      </w:r>
    </w:p>
    <w:p>
      <w:pPr>
        <w:pStyle w:val="ListBullet"/>
      </w:pPr>
      <w:r>
        <w:t>☐  Company 90 added to Data Centre → Company Settings</w:t>
      </w:r>
    </w:p>
    <w:p>
      <w:pPr>
        <w:pStyle w:val="ListBullet"/>
      </w:pPr>
      <w:r>
        <w:t>☐  HR access to Company 90 granted to relevant users</w:t>
      </w:r>
    </w:p>
    <w:p>
      <w:pPr>
        <w:pStyle w:val="Heading3"/>
      </w:pPr>
      <w:r>
        <w:rPr>
          <w:color w:val="002147"/>
          <w:sz w:val="22"/>
        </w:rPr>
        <w:t>Pay Group</w:t>
      </w:r>
    </w:p>
    <w:p>
      <w:pPr>
        <w:pStyle w:val="ListBullet"/>
      </w:pPr>
      <w:r>
        <w:t>☐  Pay Group 90 created — ZZ Do Not Use College Non-Pay</w:t>
      </w:r>
    </w:p>
    <w:p>
      <w:pPr>
        <w:pStyle w:val="ListBullet"/>
      </w:pPr>
      <w:r>
        <w:t>☐  Pay Group 90 linked to Company 90</w:t>
      </w:r>
    </w:p>
    <w:p>
      <w:pPr>
        <w:pStyle w:val="ListBullet"/>
      </w:pPr>
      <w:r>
        <w:t>☐  Pay Group 90 access granted to all relevant users</w:t>
      </w:r>
    </w:p>
    <w:p>
      <w:pPr>
        <w:pStyle w:val="Heading3"/>
      </w:pPr>
      <w:r>
        <w:rPr>
          <w:color w:val="002147"/>
          <w:sz w:val="22"/>
        </w:rPr>
        <w:t>Hierarchy Reference Data</w:t>
      </w:r>
    </w:p>
    <w:p>
      <w:pPr>
        <w:pStyle w:val="ListBullet"/>
      </w:pPr>
      <w:r>
        <w:t>☐  Division 901 created (Staff Requests: inactive)</w:t>
      </w:r>
    </w:p>
    <w:p>
      <w:pPr>
        <w:pStyle w:val="ListBullet"/>
      </w:pPr>
      <w:r>
        <w:t>☐  Subdivision ZSD901 created and active</w:t>
      </w:r>
    </w:p>
    <w:p>
      <w:pPr>
        <w:pStyle w:val="ListBullet"/>
      </w:pPr>
      <w:r>
        <w:t>☐  Level 4 Z90101 created and active</w:t>
      </w:r>
    </w:p>
    <w:p>
      <w:pPr>
        <w:pStyle w:val="ListBullet"/>
      </w:pPr>
      <w:r>
        <w:t>☐  Management Unit Z901 (Colleges &amp; Halls) created and active</w:t>
      </w:r>
    </w:p>
    <w:p>
      <w:pPr>
        <w:pStyle w:val="ListBullet"/>
      </w:pPr>
      <w:r>
        <w:t>☐  Management Unit Z902 (Permanent Private Halls) created and active</w:t>
      </w:r>
    </w:p>
    <w:p>
      <w:pPr>
        <w:pStyle w:val="Heading3"/>
      </w:pPr>
      <w:r>
        <w:rPr>
          <w:color w:val="002147"/>
          <w:sz w:val="22"/>
        </w:rPr>
        <w:t>Pay Administered By</w:t>
      </w:r>
    </w:p>
    <w:p>
      <w:pPr>
        <w:pStyle w:val="ListBullet"/>
      </w:pPr>
      <w:r>
        <w:t>☐  All 40 college codes loaded via Data Migration (Reference Type: USER5)</w:t>
      </w:r>
    </w:p>
    <w:p>
      <w:pPr>
        <w:pStyle w:val="ListBullet"/>
      </w:pPr>
      <w:r>
        <w:t>☐  Header row retained in upload file</w:t>
      </w:r>
    </w:p>
    <w:p>
      <w:pPr>
        <w:pStyle w:val="ListBullet"/>
      </w:pPr>
      <w:r>
        <w:t>☐  All 40 entries active — verified via User Code 5 filter</w:t>
      </w:r>
    </w:p>
    <w:p>
      <w:pPr>
        <w:pStyle w:val="Heading3"/>
      </w:pPr>
      <w:r>
        <w:rPr>
          <w:color w:val="002147"/>
          <w:sz w:val="22"/>
        </w:rPr>
        <w:t>Hierarchy Linking</w:t>
      </w:r>
    </w:p>
    <w:p>
      <w:pPr>
        <w:pStyle w:val="ListBullet"/>
      </w:pPr>
      <w:r>
        <w:t>☐  All hierarchy levels linked in Portal (not Back Office)</w:t>
      </w:r>
    </w:p>
    <w:p>
      <w:pPr>
        <w:pStyle w:val="ListBullet"/>
      </w:pPr>
      <w:r>
        <w:t>☐  Pay Administered By code linked to every department under Z901 and Z902</w:t>
      </w:r>
    </w:p>
    <w:p>
      <w:pPr>
        <w:pStyle w:val="Heading3"/>
      </w:pPr>
      <w:r>
        <w:rPr>
          <w:color w:val="002147"/>
          <w:sz w:val="22"/>
        </w:rPr>
        <w:t>Testing</w:t>
      </w:r>
    </w:p>
    <w:p>
      <w:pPr>
        <w:pStyle w:val="ListBullet"/>
      </w:pPr>
      <w:r>
        <w:t>☐  Hierarchy visible in Portal</w:t>
      </w:r>
    </w:p>
    <w:p>
      <w:pPr>
        <w:pStyle w:val="ListBullet"/>
      </w:pPr>
      <w:r>
        <w:t>☐  New post can be created under Company 90</w:t>
      </w:r>
    </w:p>
    <w:p>
      <w:pPr>
        <w:pStyle w:val="ListBullet"/>
      </w:pPr>
      <w:r>
        <w:t>☐  Salary tab visible and correctly controlled by Pay Group 90 access</w:t>
      </w:r>
    </w:p>
    <w:p>
      <w:pPr>
        <w:pStyle w:val="ListBullet"/>
      </w:pPr>
      <w:r>
        <w:t>☐  Reporting structure correct</w:t>
      </w:r>
    </w:p>
    <w:p/>
    <w:p>
      <w:pPr>
        <w:pStyle w:val="Heading2"/>
      </w:pPr>
      <w:r>
        <w:rPr>
          <w:color w:val="002147"/>
          <w:sz w:val="26"/>
        </w:rPr>
        <w:t>Support</w:t>
      </w:r>
    </w:p>
    <w:tbl>
      <w:tblPr>
        <w:tblStyle w:val="TableGrid"/>
        <w:tblW w:type="auto" w:w="0"/>
        <w:tblLook w:firstColumn="1" w:firstRow="1" w:lastColumn="0" w:lastRow="0" w:noHBand="0" w:noVBand="1" w:val="04A0"/>
      </w:tblPr>
      <w:tblGrid>
        <w:gridCol w:w="4703"/>
        <w:gridCol w:w="4703"/>
      </w:tblGrid>
      <w:tr>
        <w:tc>
          <w:tcPr>
            <w:tcW w:type="dxa" w:w="3969"/>
          </w:tcPr>
          <w:p>
            <w:r>
              <w:rPr>
                <w:b/>
              </w:rPr>
              <w:t>Need</w:t>
            </w:r>
          </w:p>
        </w:tc>
        <w:tc>
          <w:tcPr>
            <w:tcW w:type="dxa" w:w="3969"/>
          </w:tcPr>
          <w:p>
            <w:r>
              <w:rPr>
                <w:b/>
              </w:rPr>
              <w:t>Contact</w:t>
            </w:r>
          </w:p>
        </w:tc>
      </w:tr>
      <w:tr>
        <w:tc>
          <w:tcPr>
            <w:tcW w:type="dxa" w:w="3969"/>
          </w:tcPr>
          <w:p>
            <w:r>
              <w:t>System issues, bugs, configuration problems</w:t>
            </w:r>
          </w:p>
        </w:tc>
        <w:tc>
          <w:tcPr>
            <w:tcW w:type="dxa" w:w="3969"/>
          </w:tcPr>
          <w:p>
            <w:r>
              <w:t>The Access Group — support via PXD Portal</w:t>
            </w:r>
          </w:p>
        </w:tc>
      </w:tr>
      <w:tr>
        <w:tc>
          <w:tcPr>
            <w:tcW w:type="dxa" w:w="3969"/>
          </w:tcPr>
          <w:p>
            <w:r>
              <w:t>Raising a formal change request</w:t>
            </w:r>
          </w:p>
        </w:tc>
        <w:tc>
          <w:tcPr>
            <w:tcW w:type="dxa" w:w="3969"/>
          </w:tcPr>
          <w:p>
            <w:r>
              <w:t>PeopleXD (change request process only)</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