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0E4" w:rsidRDefault="00C8458C">
      <w:pPr>
        <w:ind w:left="-15"/>
        <w:rPr>
          <w:rFonts w:ascii="Times New Roman" w:eastAsia="Times New Roman" w:hAnsi="Times New Roman" w:cs="Times New Roman"/>
          <w:color w:val="666666"/>
          <w:sz w:val="28"/>
          <w:szCs w:val="28"/>
        </w:rPr>
      </w:pPr>
      <w:r>
        <w:rPr>
          <w:rFonts w:ascii="Times New Roman" w:eastAsia="Times New Roman" w:hAnsi="Times New Roman" w:cs="Times New Roman"/>
          <w:color w:val="666666"/>
          <w:sz w:val="28"/>
          <w:szCs w:val="28"/>
        </w:rPr>
        <w:t>Security Analysis and Portfolio Management</w:t>
      </w:r>
    </w:p>
    <w:p w:rsidR="003A30E4" w:rsidRDefault="00C8458C">
      <w:pPr>
        <w:pStyle w:val="Subtitle"/>
        <w:keepNext w:val="0"/>
        <w:keepLines w:val="0"/>
        <w:spacing w:after="0"/>
        <w:ind w:left="-15"/>
        <w:rPr>
          <w:rFonts w:ascii="Times New Roman" w:eastAsia="Times New Roman" w:hAnsi="Times New Roman" w:cs="Times New Roman"/>
          <w:color w:val="000000"/>
          <w:sz w:val="60"/>
          <w:szCs w:val="60"/>
        </w:rPr>
      </w:pPr>
      <w:bookmarkStart w:id="0" w:name="_vb8p0lepu9vn" w:colFirst="0" w:colLast="0"/>
      <w:bookmarkEnd w:id="0"/>
      <w:r>
        <w:rPr>
          <w:rFonts w:ascii="Times New Roman" w:eastAsia="Times New Roman" w:hAnsi="Times New Roman" w:cs="Times New Roman"/>
          <w:color w:val="000000"/>
          <w:sz w:val="60"/>
          <w:szCs w:val="60"/>
        </w:rPr>
        <w:t>Assignment - I</w:t>
      </w:r>
    </w:p>
    <w:p w:rsidR="003A30E4" w:rsidRDefault="00C8458C">
      <w:pPr>
        <w:spacing w:before="200"/>
        <w:ind w:left="-15"/>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Data source: </w:t>
      </w:r>
      <w:hyperlink r:id="rId8">
        <w:r>
          <w:rPr>
            <w:rFonts w:ascii="Times New Roman" w:eastAsia="Times New Roman" w:hAnsi="Times New Roman" w:cs="Times New Roman"/>
            <w:color w:val="1155CC"/>
            <w:sz w:val="34"/>
            <w:szCs w:val="34"/>
            <w:u w:val="single"/>
          </w:rPr>
          <w:t>https://www.nseindia.com/index_nse.htm</w:t>
        </w:r>
      </w:hyperlink>
      <w:bookmarkStart w:id="1" w:name="_GoBack"/>
      <w:bookmarkEnd w:id="1"/>
    </w:p>
    <w:p w:rsidR="003A30E4" w:rsidRDefault="00C8458C">
      <w:pPr>
        <w:spacing w:before="60"/>
        <w:ind w:left="-15"/>
        <w:rPr>
          <w:rFonts w:ascii="Times New Roman" w:eastAsia="Times New Roman" w:hAnsi="Times New Roman" w:cs="Times New Roman"/>
        </w:rPr>
      </w:pPr>
      <w:r>
        <w:rPr>
          <w:rFonts w:ascii="Times New Roman" w:eastAsia="Times New Roman" w:hAnsi="Times New Roman" w:cs="Times New Roman"/>
          <w:noProof/>
          <w:sz w:val="24"/>
          <w:szCs w:val="24"/>
          <w:lang w:val="en-US"/>
        </w:rPr>
        <w:drawing>
          <wp:inline distT="114300" distB="114300" distL="114300" distR="114300">
            <wp:extent cx="5829300" cy="381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9"/>
                    <a:srcRect/>
                    <a:stretch>
                      <a:fillRect/>
                    </a:stretch>
                  </pic:blipFill>
                  <pic:spPr>
                    <a:xfrm>
                      <a:off x="0" y="0"/>
                      <a:ext cx="5829300" cy="38100"/>
                    </a:xfrm>
                    <a:prstGeom prst="rect">
                      <a:avLst/>
                    </a:prstGeom>
                    <a:ln/>
                  </pic:spPr>
                </pic:pic>
              </a:graphicData>
            </a:graphic>
          </wp:inline>
        </w:drawing>
      </w:r>
    </w:p>
    <w:p w:rsidR="0060253C" w:rsidRDefault="0060253C">
      <w:pPr>
        <w:spacing w:before="200"/>
        <w:jc w:val="center"/>
        <w:rPr>
          <w:rFonts w:ascii="Times New Roman" w:eastAsia="Times New Roman" w:hAnsi="Times New Roman" w:cs="Times New Roman"/>
          <w:sz w:val="32"/>
          <w:szCs w:val="32"/>
        </w:rPr>
      </w:pPr>
    </w:p>
    <w:p w:rsidR="00B40922" w:rsidRDefault="00B40922">
      <w:pPr>
        <w:spacing w:before="200"/>
        <w:jc w:val="center"/>
        <w:rPr>
          <w:rFonts w:ascii="Times New Roman" w:eastAsia="Times New Roman" w:hAnsi="Times New Roman" w:cs="Times New Roman"/>
          <w:sz w:val="32"/>
          <w:szCs w:val="32"/>
        </w:rPr>
      </w:pPr>
    </w:p>
    <w:p w:rsidR="00B40922" w:rsidRDefault="00B40922">
      <w:pPr>
        <w:spacing w:before="200"/>
        <w:jc w:val="center"/>
        <w:rPr>
          <w:rFonts w:ascii="Times New Roman" w:eastAsia="Times New Roman" w:hAnsi="Times New Roman" w:cs="Times New Roman"/>
          <w:b/>
          <w:sz w:val="28"/>
          <w:szCs w:val="28"/>
        </w:rPr>
      </w:pPr>
    </w:p>
    <w:p w:rsidR="0060253C" w:rsidRDefault="0060253C">
      <w:pPr>
        <w:spacing w:before="200"/>
        <w:jc w:val="center"/>
        <w:rPr>
          <w:rFonts w:ascii="Times New Roman" w:eastAsia="Times New Roman" w:hAnsi="Times New Roman" w:cs="Times New Roman"/>
          <w:b/>
          <w:sz w:val="28"/>
          <w:szCs w:val="28"/>
        </w:rPr>
      </w:pPr>
    </w:p>
    <w:p w:rsidR="003A30E4" w:rsidRDefault="00C8458C">
      <w:pPr>
        <w:spacing w:before="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supervision of Dr. C H </w:t>
      </w:r>
      <w:proofErr w:type="spellStart"/>
      <w:r>
        <w:rPr>
          <w:rFonts w:ascii="Times New Roman" w:eastAsia="Times New Roman" w:hAnsi="Times New Roman" w:cs="Times New Roman"/>
          <w:b/>
          <w:sz w:val="28"/>
          <w:szCs w:val="28"/>
        </w:rPr>
        <w:t>Yaganti</w:t>
      </w:r>
      <w:proofErr w:type="spellEnd"/>
    </w:p>
    <w:p w:rsidR="003A30E4" w:rsidRDefault="00C8458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3A30E4" w:rsidRDefault="00C8458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noProof/>
          <w:sz w:val="20"/>
          <w:szCs w:val="20"/>
          <w:lang w:val="en-US"/>
        </w:rPr>
        <w:drawing>
          <wp:inline distT="114300" distB="114300" distL="114300" distR="114300">
            <wp:extent cx="1828800" cy="1828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28800" cy="1828800"/>
                    </a:xfrm>
                    <a:prstGeom prst="rect">
                      <a:avLst/>
                    </a:prstGeom>
                    <a:ln/>
                  </pic:spPr>
                </pic:pic>
              </a:graphicData>
            </a:graphic>
          </wp:inline>
        </w:drawing>
      </w:r>
      <w:r>
        <w:rPr>
          <w:rFonts w:ascii="Times New Roman" w:eastAsia="Times New Roman" w:hAnsi="Times New Roman" w:cs="Times New Roman"/>
          <w:b/>
          <w:sz w:val="20"/>
          <w:szCs w:val="20"/>
        </w:rPr>
        <w:t xml:space="preserve"> </w:t>
      </w:r>
    </w:p>
    <w:p w:rsidR="003A30E4" w:rsidRDefault="00C8458C">
      <w:pPr>
        <w:spacing w:before="20"/>
        <w:rPr>
          <w:rFonts w:ascii="Times New Roman" w:eastAsia="Times New Roman" w:hAnsi="Times New Roman" w:cs="Times New Roman"/>
          <w:b/>
        </w:rPr>
      </w:pPr>
      <w:r>
        <w:rPr>
          <w:rFonts w:ascii="Times New Roman" w:eastAsia="Times New Roman" w:hAnsi="Times New Roman" w:cs="Times New Roman"/>
          <w:b/>
        </w:rPr>
        <w:t xml:space="preserve"> </w:t>
      </w:r>
    </w:p>
    <w:p w:rsidR="003A30E4" w:rsidRDefault="00C8458C">
      <w:pPr>
        <w:spacing w:before="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Economics and Finance BITS </w:t>
      </w:r>
      <w:proofErr w:type="spellStart"/>
      <w:r>
        <w:rPr>
          <w:rFonts w:ascii="Times New Roman" w:eastAsia="Times New Roman" w:hAnsi="Times New Roman" w:cs="Times New Roman"/>
          <w:b/>
          <w:sz w:val="28"/>
          <w:szCs w:val="28"/>
        </w:rPr>
        <w:t>Pilani</w:t>
      </w:r>
      <w:proofErr w:type="spellEnd"/>
      <w:r>
        <w:rPr>
          <w:rFonts w:ascii="Times New Roman" w:eastAsia="Times New Roman" w:hAnsi="Times New Roman" w:cs="Times New Roman"/>
          <w:b/>
          <w:sz w:val="28"/>
          <w:szCs w:val="28"/>
        </w:rPr>
        <w:t>, Hyderabad Campus April, 2019</w:t>
      </w:r>
      <w:r>
        <w:br w:type="page"/>
      </w:r>
    </w:p>
    <w:p w:rsidR="003A30E4" w:rsidRDefault="00C8458C">
      <w:pPr>
        <w:spacing w:before="60"/>
        <w:ind w:left="1580" w:right="16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p w:rsidR="003A30E4" w:rsidRDefault="00C8458C">
      <w:pPr>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t xml:space="preserve"> </w:t>
      </w:r>
    </w:p>
    <w:p w:rsidR="003A30E4" w:rsidRDefault="00C8458C">
      <w:pPr>
        <w:numPr>
          <w:ilvl w:val="0"/>
          <w:numId w:val="4"/>
        </w:numPr>
        <w:spacing w:before="8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Definitions</w:t>
      </w:r>
    </w:p>
    <w:p w:rsidR="003A30E4" w:rsidRDefault="00C8458C">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Individual Asset Performance Analysis</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Chennai petroleum corporation (CHENNPETRO)</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Oberoi realty ltd (OBEROIRLTY)</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Godrej consumer products (GCPL)</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JK paper</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Fortis Healthcare Ltd.</w:t>
      </w:r>
    </w:p>
    <w:p w:rsidR="003A30E4" w:rsidRDefault="00C8458C">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Portfolio Analysis</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FY 2013-14                                                                </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FY 2014-15                                                                </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FY 2015-16                                                                </w:t>
      </w:r>
      <w:r>
        <w:rPr>
          <w:rFonts w:ascii="Times New Roman" w:eastAsia="Times New Roman" w:hAnsi="Times New Roman" w:cs="Times New Roman"/>
          <w:b/>
          <w:sz w:val="28"/>
          <w:szCs w:val="28"/>
        </w:rPr>
        <w:tab/>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FY 2016-17                                                                </w:t>
      </w:r>
      <w:r>
        <w:rPr>
          <w:rFonts w:ascii="Times New Roman" w:eastAsia="Times New Roman" w:hAnsi="Times New Roman" w:cs="Times New Roman"/>
          <w:b/>
          <w:sz w:val="28"/>
          <w:szCs w:val="28"/>
        </w:rPr>
        <w:tab/>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FY 2017-18   </w:t>
      </w:r>
    </w:p>
    <w:p w:rsidR="003A30E4" w:rsidRDefault="00C8458C">
      <w:pPr>
        <w:numPr>
          <w:ilvl w:val="1"/>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Year Analysis  </w:t>
      </w:r>
    </w:p>
    <w:p w:rsidR="003A30E4" w:rsidRDefault="00C8458C">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r>
        <w:rPr>
          <w:rFonts w:ascii="Times New Roman" w:eastAsia="Times New Roman" w:hAnsi="Times New Roman" w:cs="Times New Roman"/>
          <w:b/>
          <w:sz w:val="28"/>
          <w:szCs w:val="28"/>
        </w:rPr>
        <w:tab/>
      </w:r>
    </w:p>
    <w:p w:rsidR="003A30E4" w:rsidRDefault="00C8458C">
      <w:pPr>
        <w:rPr>
          <w:rFonts w:ascii="Times New Roman" w:eastAsia="Times New Roman" w:hAnsi="Times New Roman" w:cs="Times New Roman"/>
        </w:rPr>
      </w:pPr>
      <w:r>
        <w:br w:type="page"/>
      </w:r>
    </w:p>
    <w:p w:rsidR="003A30E4" w:rsidRDefault="00C8458C">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Definitions</w:t>
      </w:r>
    </w:p>
    <w:p w:rsidR="003A30E4" w:rsidRDefault="00C845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Beta </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beta coefficient is a measure of the volatility, or systematic risk, of an individual stock in comparison to the unsystematic risk of the entire market. Beta is used in the capital asset pricing model (CAPM), which calculates the expected return of an asset using beta and expected market returns. In statistical terms, beta represents the slope of the line through a regression of data points from an individual stock's returns against those of the </w:t>
      </w:r>
      <w:proofErr w:type="spellStart"/>
      <w:r>
        <w:rPr>
          <w:rFonts w:ascii="Times New Roman" w:eastAsia="Times New Roman" w:hAnsi="Times New Roman" w:cs="Times New Roman"/>
          <w:sz w:val="28"/>
          <w:szCs w:val="28"/>
        </w:rPr>
        <w:t>market.Stocks</w:t>
      </w:r>
      <w:proofErr w:type="spellEnd"/>
      <w:r>
        <w:rPr>
          <w:rFonts w:ascii="Times New Roman" w:eastAsia="Times New Roman" w:hAnsi="Times New Roman" w:cs="Times New Roman"/>
          <w:sz w:val="28"/>
          <w:szCs w:val="28"/>
        </w:rPr>
        <w:t xml:space="preserve"> with betas greater than 1 are considered riskier than the overall market whereas stocks with betas less than 1 are considered less risky than the overall market.</w:t>
      </w:r>
      <w:r>
        <w:rPr>
          <w:rFonts w:ascii="Times New Roman" w:eastAsia="Times New Roman" w:hAnsi="Times New Roman" w:cs="Times New Roman"/>
          <w:sz w:val="28"/>
          <w:szCs w:val="28"/>
          <w:vertAlign w:val="superscript"/>
        </w:rPr>
        <w:footnoteReference w:id="1"/>
      </w:r>
    </w:p>
    <w:p w:rsidR="003A30E4" w:rsidRDefault="003A30E4">
      <w:pPr>
        <w:rPr>
          <w:rFonts w:ascii="Times New Roman" w:eastAsia="Times New Roman" w:hAnsi="Times New Roman" w:cs="Times New Roman"/>
          <w:sz w:val="28"/>
          <w:szCs w:val="28"/>
        </w:rPr>
      </w:pPr>
    </w:p>
    <w:p w:rsidR="003A30E4" w:rsidRDefault="00C845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Return</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expected return on a financial investment is the expected value of its return (of the profit on the investment). It is a measure of the center of the distribution of the random variable that is the return.</w:t>
      </w:r>
      <w:r>
        <w:rPr>
          <w:rFonts w:ascii="Times New Roman" w:eastAsia="Times New Roman" w:hAnsi="Times New Roman" w:cs="Times New Roman"/>
          <w:sz w:val="28"/>
          <w:szCs w:val="28"/>
          <w:vertAlign w:val="superscript"/>
        </w:rPr>
        <w:footnoteReference w:id="2"/>
      </w:r>
    </w:p>
    <w:p w:rsidR="003A30E4" w:rsidRDefault="003A30E4">
      <w:pPr>
        <w:rPr>
          <w:rFonts w:ascii="Times New Roman" w:eastAsia="Times New Roman" w:hAnsi="Times New Roman" w:cs="Times New Roman"/>
          <w:sz w:val="28"/>
          <w:szCs w:val="28"/>
        </w:rPr>
      </w:pPr>
    </w:p>
    <w:p w:rsidR="003A30E4" w:rsidRDefault="00C845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Required rate of return</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required rate of return is the minimum return an investor will accept for owning a company's stock, as compensation for a given level of risk associated with holding the stock. The RRR is also used in corporate finance to analyze the profitability of potential investment projects.</w:t>
      </w:r>
      <w:r>
        <w:rPr>
          <w:rFonts w:ascii="Times New Roman" w:eastAsia="Times New Roman" w:hAnsi="Times New Roman" w:cs="Times New Roman"/>
          <w:sz w:val="28"/>
          <w:szCs w:val="28"/>
          <w:vertAlign w:val="superscript"/>
        </w:rPr>
        <w:footnoteReference w:id="3"/>
      </w:r>
    </w:p>
    <w:p w:rsidR="003A30E4" w:rsidRDefault="003A30E4">
      <w:pPr>
        <w:rPr>
          <w:rFonts w:ascii="Times New Roman" w:eastAsia="Times New Roman" w:hAnsi="Times New Roman" w:cs="Times New Roman"/>
          <w:sz w:val="28"/>
          <w:szCs w:val="28"/>
        </w:rPr>
      </w:pPr>
    </w:p>
    <w:p w:rsidR="003A30E4" w:rsidRDefault="00C845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Sharpe Ratio</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ratio is the average return earned in excess of the risk-free rate per unit of volatility or total risk.</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Subtracting the risk-free rate from the mean return allows an investor to better isolate the profits associated with risk-taking activities. Generally, the greater the</w:t>
      </w:r>
      <w:r w:rsidR="007075B3">
        <w:rPr>
          <w:rFonts w:ascii="Times New Roman" w:eastAsia="Times New Roman" w:hAnsi="Times New Roman" w:cs="Times New Roman"/>
          <w:sz w:val="28"/>
          <w:szCs w:val="28"/>
        </w:rPr>
        <w:t xml:space="preserve"> </w:t>
      </w:r>
      <w:r w:rsidR="007075B3">
        <w:rPr>
          <w:rFonts w:ascii="Times New Roman" w:eastAsia="Times New Roman" w:hAnsi="Times New Roman" w:cs="Times New Roman"/>
          <w:sz w:val="28"/>
          <w:szCs w:val="28"/>
        </w:rPr>
        <w:lastRenderedPageBreak/>
        <w:t>v</w:t>
      </w:r>
      <w:r>
        <w:rPr>
          <w:rFonts w:ascii="Times New Roman" w:eastAsia="Times New Roman" w:hAnsi="Times New Roman" w:cs="Times New Roman"/>
          <w:sz w:val="28"/>
          <w:szCs w:val="28"/>
        </w:rPr>
        <w:t>alue of the Sharpe ratio, the more attractive the risk-adjusted return. It is used to help investors understand the return of an investment compared to its risk.</w:t>
      </w:r>
      <w:r>
        <w:rPr>
          <w:rFonts w:ascii="Times New Roman" w:eastAsia="Times New Roman" w:hAnsi="Times New Roman" w:cs="Times New Roman"/>
          <w:sz w:val="28"/>
          <w:szCs w:val="28"/>
          <w:vertAlign w:val="superscript"/>
        </w:rPr>
        <w:footnoteReference w:id="4"/>
      </w:r>
    </w:p>
    <w:p w:rsidR="003A30E4" w:rsidRDefault="003A30E4">
      <w:pPr>
        <w:rPr>
          <w:rFonts w:ascii="Times New Roman" w:eastAsia="Times New Roman" w:hAnsi="Times New Roman" w:cs="Times New Roman"/>
          <w:sz w:val="28"/>
          <w:szCs w:val="28"/>
        </w:rPr>
      </w:pPr>
    </w:p>
    <w:p w:rsidR="003A30E4" w:rsidRDefault="00C845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CAPM</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Capital Asset Pricing Model (CAPM) describes the relationship between systematic risk and expected return for assets, particularly stocks. CAPM is widely used throughout finance for pricing risky securities and generating expected returns for assets given the risk of those assets and cost of </w:t>
      </w:r>
      <w:proofErr w:type="spellStart"/>
      <w:r>
        <w:rPr>
          <w:rFonts w:ascii="Times New Roman" w:eastAsia="Times New Roman" w:hAnsi="Times New Roman" w:cs="Times New Roman"/>
          <w:sz w:val="28"/>
          <w:szCs w:val="28"/>
        </w:rPr>
        <w:t>capital.Investors</w:t>
      </w:r>
      <w:proofErr w:type="spellEnd"/>
      <w:r>
        <w:rPr>
          <w:rFonts w:ascii="Times New Roman" w:eastAsia="Times New Roman" w:hAnsi="Times New Roman" w:cs="Times New Roman"/>
          <w:sz w:val="28"/>
          <w:szCs w:val="28"/>
        </w:rPr>
        <w:t xml:space="preserve"> expect to be compensated for risk and the time value of money. The risk-free rate in the CAPM formula accounts for the time value of money. The other components of the CAPM formula account for the investor taking on additional risk.</w:t>
      </w:r>
      <w:r>
        <w:rPr>
          <w:rFonts w:ascii="Times New Roman" w:eastAsia="Times New Roman" w:hAnsi="Times New Roman" w:cs="Times New Roman"/>
          <w:sz w:val="28"/>
          <w:szCs w:val="28"/>
          <w:vertAlign w:val="superscript"/>
        </w:rPr>
        <w:footnoteReference w:id="5"/>
      </w:r>
    </w:p>
    <w:p w:rsidR="003A30E4" w:rsidRDefault="00C845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Individual Asset Performance Analysis</w:t>
      </w:r>
    </w:p>
    <w:p w:rsidR="003A30E4" w:rsidRDefault="003A30E4">
      <w:pPr>
        <w:rPr>
          <w:rFonts w:ascii="Times New Roman" w:eastAsia="Times New Roman" w:hAnsi="Times New Roman" w:cs="Times New Roman"/>
        </w:rPr>
      </w:pPr>
    </w:p>
    <w:p w:rsidR="003A30E4" w:rsidRDefault="00C8458C">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CHENNPETRO </w:t>
      </w:r>
    </w:p>
    <w:p w:rsidR="003A30E4" w:rsidRDefault="00C8458C">
      <w:pPr>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Chennai Petroleum Corporation Limited</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CPCL</w:t>
      </w:r>
      <w:r>
        <w:rPr>
          <w:rFonts w:ascii="Times New Roman" w:eastAsia="Times New Roman" w:hAnsi="Times New Roman" w:cs="Times New Roman"/>
          <w:sz w:val="28"/>
          <w:szCs w:val="28"/>
        </w:rPr>
        <w:t>) a Group company of Indian Oil Corporation (IOCL) is an Indian state-owned oil and gas corporation headquartered in Chennai, India. It was formed as a joint venture in 1965 between the Government of India (GOI), AMOCO and National Iranian Oil Company (NIOC), having a shareholding in the ratio 74%: 13%: 13% respectively. Currently IOC holds 51.88% while NIOC continued its holding at wax and petrochemical feedstocks production facilities.</w:t>
      </w:r>
    </w:p>
    <w:p w:rsidR="003A30E4" w:rsidRDefault="00C8458C">
      <w:pPr>
        <w:ind w:left="72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main products</w:t>
      </w:r>
      <w:r>
        <w:rPr>
          <w:rFonts w:ascii="Times New Roman" w:eastAsia="Times New Roman" w:hAnsi="Times New Roman" w:cs="Times New Roman"/>
          <w:sz w:val="28"/>
          <w:szCs w:val="28"/>
        </w:rPr>
        <w:t xml:space="preserve"> of the company are</w:t>
      </w:r>
      <w:r>
        <w:rPr>
          <w:rFonts w:ascii="Times New Roman" w:eastAsia="Times New Roman" w:hAnsi="Times New Roman" w:cs="Times New Roman"/>
          <w:b/>
          <w:sz w:val="28"/>
          <w:szCs w:val="28"/>
        </w:rPr>
        <w:t xml:space="preserve"> LPG, Motor Spirit, superior kerosene, aviation turbine fuel, high speed diesel, naphtha, bitumen, lube base stocks, paraffin wax, fuel oil, hexane and petrochemical feedstocks</w:t>
      </w:r>
      <w:r>
        <w:rPr>
          <w:rFonts w:ascii="Times New Roman" w:eastAsia="Times New Roman" w:hAnsi="Times New Roman" w:cs="Times New Roman"/>
          <w:sz w:val="28"/>
          <w:szCs w:val="28"/>
        </w:rPr>
        <w:t xml:space="preserve">. CPCL plays the role of a mother industry supplying feedstocks to the </w:t>
      </w:r>
      <w:proofErr w:type="spellStart"/>
      <w:r>
        <w:rPr>
          <w:rFonts w:ascii="Times New Roman" w:eastAsia="Times New Roman" w:hAnsi="Times New Roman" w:cs="Times New Roman"/>
          <w:sz w:val="28"/>
          <w:szCs w:val="28"/>
        </w:rPr>
        <w:t>neighbouring</w:t>
      </w:r>
      <w:proofErr w:type="spellEnd"/>
      <w:r>
        <w:rPr>
          <w:rFonts w:ascii="Times New Roman" w:eastAsia="Times New Roman" w:hAnsi="Times New Roman" w:cs="Times New Roman"/>
          <w:sz w:val="28"/>
          <w:szCs w:val="28"/>
        </w:rPr>
        <w:t xml:space="preserve"> industries in </w:t>
      </w:r>
      <w:proofErr w:type="spellStart"/>
      <w:r>
        <w:rPr>
          <w:rFonts w:ascii="Times New Roman" w:eastAsia="Times New Roman" w:hAnsi="Times New Roman" w:cs="Times New Roman"/>
          <w:sz w:val="28"/>
          <w:szCs w:val="28"/>
        </w:rPr>
        <w:t>Manali</w:t>
      </w:r>
      <w:proofErr w:type="spellEnd"/>
      <w:r>
        <w:rPr>
          <w:rFonts w:ascii="Times New Roman" w:eastAsia="Times New Roman" w:hAnsi="Times New Roman" w:cs="Times New Roman"/>
          <w:sz w:val="28"/>
          <w:szCs w:val="28"/>
        </w:rPr>
        <w:t xml:space="preserve">. CPCL's products are marketed through IOCL. CPCL's products are mostly consumed domestically except </w:t>
      </w:r>
      <w:r>
        <w:rPr>
          <w:rFonts w:ascii="Times New Roman" w:eastAsia="Times New Roman" w:hAnsi="Times New Roman" w:cs="Times New Roman"/>
          <w:b/>
          <w:sz w:val="28"/>
          <w:szCs w:val="28"/>
        </w:rPr>
        <w:t>naphtha, fuel oil and lubes</w:t>
      </w:r>
      <w:r>
        <w:rPr>
          <w:rFonts w:ascii="Times New Roman" w:eastAsia="Times New Roman" w:hAnsi="Times New Roman" w:cs="Times New Roman"/>
          <w:sz w:val="28"/>
          <w:szCs w:val="28"/>
        </w:rPr>
        <w:t xml:space="preserve"> which are partly </w:t>
      </w:r>
      <w:r>
        <w:rPr>
          <w:rFonts w:ascii="Times New Roman" w:eastAsia="Times New Roman" w:hAnsi="Times New Roman" w:cs="Times New Roman"/>
          <w:b/>
          <w:sz w:val="28"/>
          <w:szCs w:val="28"/>
        </w:rPr>
        <w:t xml:space="preserve">exported. </w:t>
      </w:r>
    </w:p>
    <w:p w:rsidR="003A30E4" w:rsidRDefault="00C8458C">
      <w:pPr>
        <w:ind w:left="720"/>
        <w:rPr>
          <w:rFonts w:ascii="Times New Roman" w:eastAsia="Times New Roman" w:hAnsi="Times New Roman" w:cs="Times New Roman"/>
        </w:rPr>
      </w:pPr>
      <w:r>
        <w:rPr>
          <w:rFonts w:ascii="Times New Roman" w:eastAsia="Times New Roman" w:hAnsi="Times New Roman" w:cs="Times New Roman"/>
          <w:sz w:val="28"/>
          <w:szCs w:val="28"/>
        </w:rPr>
        <w:t xml:space="preserve">The </w:t>
      </w:r>
      <w:proofErr w:type="gramStart"/>
      <w:r>
        <w:rPr>
          <w:rFonts w:ascii="Times New Roman" w:eastAsia="Times New Roman" w:hAnsi="Times New Roman" w:cs="Times New Roman"/>
          <w:sz w:val="28"/>
          <w:szCs w:val="28"/>
        </w:rPr>
        <w:t>company’s  crude</w:t>
      </w:r>
      <w:proofErr w:type="gramEnd"/>
      <w:r>
        <w:rPr>
          <w:rFonts w:ascii="Times New Roman" w:eastAsia="Times New Roman" w:hAnsi="Times New Roman" w:cs="Times New Roman"/>
          <w:sz w:val="28"/>
          <w:szCs w:val="28"/>
        </w:rPr>
        <w:t xml:space="preserve"> throughput for </w:t>
      </w:r>
      <w:r>
        <w:rPr>
          <w:rFonts w:ascii="Times New Roman" w:eastAsia="Times New Roman" w:hAnsi="Times New Roman" w:cs="Times New Roman"/>
          <w:b/>
          <w:sz w:val="28"/>
          <w:szCs w:val="28"/>
        </w:rPr>
        <w:t xml:space="preserve">2017-18 </w:t>
      </w:r>
      <w:r>
        <w:rPr>
          <w:rFonts w:ascii="Times New Roman" w:eastAsia="Times New Roman" w:hAnsi="Times New Roman" w:cs="Times New Roman"/>
          <w:sz w:val="28"/>
          <w:szCs w:val="28"/>
        </w:rPr>
        <w:t xml:space="preserve">was </w:t>
      </w:r>
      <w:r>
        <w:rPr>
          <w:rFonts w:ascii="Times New Roman" w:eastAsia="Times New Roman" w:hAnsi="Times New Roman" w:cs="Times New Roman"/>
          <w:b/>
          <w:sz w:val="28"/>
          <w:szCs w:val="28"/>
        </w:rPr>
        <w:t xml:space="preserve">10.789 million metric </w:t>
      </w:r>
      <w:proofErr w:type="spellStart"/>
      <w:r>
        <w:rPr>
          <w:rFonts w:ascii="Times New Roman" w:eastAsia="Times New Roman" w:hAnsi="Times New Roman" w:cs="Times New Roman"/>
          <w:b/>
          <w:sz w:val="28"/>
          <w:szCs w:val="28"/>
        </w:rPr>
        <w:t>tonnes</w:t>
      </w:r>
      <w:proofErr w:type="spellEnd"/>
      <w:r>
        <w:rPr>
          <w:rFonts w:ascii="Times New Roman" w:eastAsia="Times New Roman" w:hAnsi="Times New Roman" w:cs="Times New Roman"/>
          <w:sz w:val="28"/>
          <w:szCs w:val="28"/>
        </w:rPr>
        <w:t xml:space="preserve"> (MMT). The company’s turnover for </w:t>
      </w:r>
      <w:r>
        <w:rPr>
          <w:rFonts w:ascii="Times New Roman" w:eastAsia="Times New Roman" w:hAnsi="Times New Roman" w:cs="Times New Roman"/>
          <w:b/>
          <w:sz w:val="28"/>
          <w:szCs w:val="28"/>
        </w:rPr>
        <w:t>2017-18</w:t>
      </w:r>
      <w:r>
        <w:rPr>
          <w:rFonts w:ascii="Times New Roman" w:eastAsia="Times New Roman" w:hAnsi="Times New Roman" w:cs="Times New Roman"/>
          <w:sz w:val="28"/>
          <w:szCs w:val="28"/>
        </w:rPr>
        <w:t xml:space="preserve"> was </w:t>
      </w:r>
      <w:r>
        <w:rPr>
          <w:rFonts w:ascii="Times New Roman" w:eastAsia="Times New Roman" w:hAnsi="Times New Roman" w:cs="Times New Roman"/>
          <w:b/>
          <w:sz w:val="28"/>
          <w:szCs w:val="28"/>
        </w:rPr>
        <w:t>Rs.44134 crores</w:t>
      </w:r>
      <w:r>
        <w:rPr>
          <w:rFonts w:ascii="Times New Roman" w:eastAsia="Times New Roman" w:hAnsi="Times New Roman" w:cs="Times New Roman"/>
          <w:sz w:val="28"/>
          <w:szCs w:val="28"/>
        </w:rPr>
        <w:t xml:space="preserve"> and the </w:t>
      </w:r>
      <w:r>
        <w:rPr>
          <w:rFonts w:ascii="Times New Roman" w:eastAsia="Times New Roman" w:hAnsi="Times New Roman" w:cs="Times New Roman"/>
          <w:b/>
          <w:sz w:val="28"/>
          <w:szCs w:val="28"/>
        </w:rPr>
        <w:t xml:space="preserve">profit </w:t>
      </w:r>
      <w:r>
        <w:rPr>
          <w:rFonts w:ascii="Times New Roman" w:eastAsia="Times New Roman" w:hAnsi="Times New Roman" w:cs="Times New Roman"/>
          <w:sz w:val="28"/>
          <w:szCs w:val="28"/>
        </w:rPr>
        <w:t>after tax was</w:t>
      </w:r>
      <w:r>
        <w:rPr>
          <w:rFonts w:ascii="Times New Roman" w:eastAsia="Times New Roman" w:hAnsi="Times New Roman" w:cs="Times New Roman"/>
          <w:b/>
          <w:sz w:val="28"/>
          <w:szCs w:val="28"/>
        </w:rPr>
        <w:t xml:space="preserve"> Rs.912.93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crores.</w:t>
      </w:r>
      <w:r>
        <w:rPr>
          <w:rFonts w:ascii="Times New Roman" w:eastAsia="Times New Roman" w:hAnsi="Times New Roman" w:cs="Times New Roman"/>
          <w:sz w:val="28"/>
          <w:szCs w:val="28"/>
        </w:rPr>
        <w:t xml:space="preserve"> The production line has been </w:t>
      </w:r>
      <w:r>
        <w:rPr>
          <w:rFonts w:ascii="Times New Roman" w:eastAsia="Times New Roman" w:hAnsi="Times New Roman" w:cs="Times New Roman"/>
          <w:sz w:val="28"/>
          <w:szCs w:val="28"/>
        </w:rPr>
        <w:lastRenderedPageBreak/>
        <w:t xml:space="preserve">affected multiple </w:t>
      </w:r>
      <w:r>
        <w:rPr>
          <w:rFonts w:ascii="Times New Roman" w:eastAsia="Times New Roman" w:hAnsi="Times New Roman" w:cs="Times New Roman"/>
          <w:sz w:val="26"/>
          <w:szCs w:val="26"/>
        </w:rPr>
        <w:t>times due to nature's adversities in form of drought and excessive rains.</w:t>
      </w:r>
      <w:r>
        <w:rPr>
          <w:rFonts w:ascii="Times New Roman" w:eastAsia="Times New Roman" w:hAnsi="Times New Roman" w:cs="Times New Roman"/>
          <w:sz w:val="26"/>
          <w:szCs w:val="26"/>
          <w:vertAlign w:val="superscript"/>
        </w:rPr>
        <w:t xml:space="preserve">  </w:t>
      </w:r>
      <w:r>
        <w:rPr>
          <w:rFonts w:ascii="Times New Roman" w:eastAsia="Times New Roman" w:hAnsi="Times New Roman" w:cs="Times New Roman"/>
          <w:sz w:val="26"/>
          <w:szCs w:val="26"/>
        </w:rPr>
        <w:t xml:space="preserve">It is categorized as a </w:t>
      </w:r>
      <w:proofErr w:type="spellStart"/>
      <w:r>
        <w:rPr>
          <w:rFonts w:ascii="Times New Roman" w:eastAsia="Times New Roman" w:hAnsi="Times New Roman" w:cs="Times New Roman"/>
          <w:b/>
          <w:sz w:val="26"/>
          <w:szCs w:val="26"/>
        </w:rPr>
        <w:t>Miniratna</w:t>
      </w:r>
      <w:proofErr w:type="spellEnd"/>
      <w:r>
        <w:rPr>
          <w:rFonts w:ascii="Times New Roman" w:eastAsia="Times New Roman" w:hAnsi="Times New Roman" w:cs="Times New Roman"/>
          <w:b/>
          <w:sz w:val="26"/>
          <w:szCs w:val="26"/>
        </w:rPr>
        <w:t>-I</w:t>
      </w:r>
      <w:r>
        <w:rPr>
          <w:rFonts w:ascii="Times New Roman" w:eastAsia="Times New Roman" w:hAnsi="Times New Roman" w:cs="Times New Roman"/>
          <w:sz w:val="26"/>
          <w:szCs w:val="26"/>
        </w:rPr>
        <w:t xml:space="preserve"> company by the government.</w:t>
      </w:r>
      <w:r>
        <w:rPr>
          <w:rFonts w:ascii="Times New Roman" w:eastAsia="Times New Roman" w:hAnsi="Times New Roman" w:cs="Times New Roman"/>
          <w:vertAlign w:val="superscript"/>
        </w:rPr>
        <w:footnoteReference w:id="6"/>
      </w:r>
    </w:p>
    <w:p w:rsidR="003A30E4" w:rsidRDefault="003A30E4">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230"/>
        <w:gridCol w:w="1344"/>
        <w:gridCol w:w="1344"/>
        <w:gridCol w:w="1344"/>
        <w:gridCol w:w="1344"/>
        <w:gridCol w:w="1344"/>
      </w:tblGrid>
      <w:tr w:rsidR="003A30E4">
        <w:tc>
          <w:tcPr>
            <w:tcW w:w="141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YEAR</w:t>
            </w:r>
          </w:p>
        </w:tc>
        <w:tc>
          <w:tcPr>
            <w:tcW w:w="12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FY 13-14</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FY 14-15</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FY 15-16</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FY 16-17</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FY 17-18</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5 YEAR</w:t>
            </w:r>
          </w:p>
        </w:tc>
      </w:tr>
      <w:tr w:rsidR="003A30E4">
        <w:tc>
          <w:tcPr>
            <w:tcW w:w="141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Average Returns</w:t>
            </w:r>
          </w:p>
        </w:tc>
        <w:tc>
          <w:tcPr>
            <w:tcW w:w="12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-0.00184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0.000503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0.00525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0.002692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-0.00032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0.001288 </w:t>
            </w:r>
          </w:p>
        </w:tc>
      </w:tr>
      <w:tr w:rsidR="003A30E4">
        <w:tc>
          <w:tcPr>
            <w:tcW w:w="141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Standard Deviation</w:t>
            </w:r>
          </w:p>
        </w:tc>
        <w:tc>
          <w:tcPr>
            <w:tcW w:w="12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0.029306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0.030822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0.043758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0.02593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0.021513</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0.031221</w:t>
            </w:r>
          </w:p>
        </w:tc>
      </w:tr>
      <w:tr w:rsidR="003A30E4">
        <w:tc>
          <w:tcPr>
            <w:tcW w:w="141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Variance</w:t>
            </w:r>
          </w:p>
        </w:tc>
        <w:tc>
          <w:tcPr>
            <w:tcW w:w="123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0.000859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0.00095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0.001912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0.00067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0.000463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0.000975 </w:t>
            </w:r>
          </w:p>
        </w:tc>
      </w:tr>
      <w:tr w:rsidR="003A30E4">
        <w:tc>
          <w:tcPr>
            <w:tcW w:w="141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Beta</w:t>
            </w:r>
          </w:p>
        </w:tc>
        <w:tc>
          <w:tcPr>
            <w:tcW w:w="12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0.664786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1.572571</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1.225639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1.105383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1.250328 </w:t>
            </w:r>
          </w:p>
        </w:tc>
        <w:tc>
          <w:tcPr>
            <w:tcW w:w="1344"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1.082944 </w:t>
            </w:r>
          </w:p>
        </w:tc>
      </w:tr>
      <w:tr w:rsidR="003A30E4">
        <w:tc>
          <w:tcPr>
            <w:tcW w:w="141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CAPM</w:t>
            </w:r>
          </w:p>
        </w:tc>
        <w:tc>
          <w:tcPr>
            <w:tcW w:w="12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0.153396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0.394042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-0.1215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0.212951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0.108182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0.935727 </w:t>
            </w:r>
          </w:p>
        </w:tc>
      </w:tr>
      <w:tr w:rsidR="003A30E4">
        <w:tc>
          <w:tcPr>
            <w:tcW w:w="141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Annual Return</w:t>
            </w:r>
          </w:p>
        </w:tc>
        <w:tc>
          <w:tcPr>
            <w:tcW w:w="12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-0.37121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0.130659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2.663845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0.952846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-0.077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3.91128 </w:t>
            </w:r>
          </w:p>
        </w:tc>
      </w:tr>
      <w:tr w:rsidR="003A30E4">
        <w:tc>
          <w:tcPr>
            <w:tcW w:w="141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Average Sharpe ratio</w:t>
            </w:r>
          </w:p>
        </w:tc>
        <w:tc>
          <w:tcPr>
            <w:tcW w:w="12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-0.89199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-0.83864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-0.62196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-1.00718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-1.23008 </w:t>
            </w:r>
          </w:p>
        </w:tc>
        <w:tc>
          <w:tcPr>
            <w:tcW w:w="1344"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-0.84384 </w:t>
            </w:r>
          </w:p>
        </w:tc>
      </w:tr>
    </w:tbl>
    <w:p w:rsidR="003A30E4" w:rsidRDefault="003A30E4">
      <w:pPr>
        <w:rPr>
          <w:rFonts w:ascii="Times New Roman" w:eastAsia="Times New Roman" w:hAnsi="Times New Roman" w:cs="Times New Roman"/>
        </w:rPr>
      </w:pPr>
    </w:p>
    <w:p w:rsidR="003A30E4" w:rsidRDefault="00C845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Analysis of </w:t>
      </w:r>
      <w:proofErr w:type="gramStart"/>
      <w:r>
        <w:rPr>
          <w:rFonts w:ascii="Times New Roman" w:eastAsia="Times New Roman" w:hAnsi="Times New Roman" w:cs="Times New Roman"/>
          <w:b/>
          <w:sz w:val="28"/>
          <w:szCs w:val="28"/>
        </w:rPr>
        <w:t>Stock :</w:t>
      </w:r>
      <w:proofErr w:type="gramEnd"/>
    </w:p>
    <w:p w:rsidR="003A30E4" w:rsidRDefault="00C8458C">
      <w:pPr>
        <w:spacing w:before="60" w:line="288"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company underperformed when compared with the investor expectations for the FY13, FY14 and FY17 while it performed better than expected for the FY15, FY16 and 5-year period as per the CAPM model. The standard deviation that indicates the riskiness of investing in the company was low varying between 2.15% - 4.37% for the time horizon. </w:t>
      </w:r>
    </w:p>
    <w:p w:rsidR="003A30E4" w:rsidRDefault="00C8458C">
      <w:pPr>
        <w:spacing w:before="60" w:line="288"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Beta the statistical coefficient of stock return over market return was &lt;1 for the only FY13 implying the stock was less volatile than the market for that year but for the rest of the FYs it was greater than 1 implying that the stock was more volatile than the market.</w:t>
      </w:r>
    </w:p>
    <w:p w:rsidR="003A30E4" w:rsidRDefault="00C8458C">
      <w:pPr>
        <w:spacing w:line="288"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Sharpe ratio is negative when the Risk Free Rate </w:t>
      </w:r>
      <w:proofErr w:type="spellStart"/>
      <w:r>
        <w:rPr>
          <w:rFonts w:ascii="Times New Roman" w:eastAsia="Times New Roman" w:hAnsi="Times New Roman" w:cs="Times New Roman"/>
          <w:sz w:val="28"/>
          <w:szCs w:val="28"/>
        </w:rPr>
        <w:t>Rf</w:t>
      </w:r>
      <w:proofErr w:type="spellEnd"/>
      <w:r>
        <w:rPr>
          <w:rFonts w:ascii="Times New Roman" w:eastAsia="Times New Roman" w:hAnsi="Times New Roman" w:cs="Times New Roman"/>
          <w:sz w:val="28"/>
          <w:szCs w:val="28"/>
        </w:rPr>
        <w:t xml:space="preserve"> is higher than the actual return on the stock and positive when the Risk Free Rate </w:t>
      </w:r>
      <w:proofErr w:type="spellStart"/>
      <w:r>
        <w:rPr>
          <w:rFonts w:ascii="Times New Roman" w:eastAsia="Times New Roman" w:hAnsi="Times New Roman" w:cs="Times New Roman"/>
          <w:sz w:val="28"/>
          <w:szCs w:val="28"/>
        </w:rPr>
        <w:t>Rf</w:t>
      </w:r>
      <w:proofErr w:type="spellEnd"/>
      <w:r>
        <w:rPr>
          <w:rFonts w:ascii="Times New Roman" w:eastAsia="Times New Roman" w:hAnsi="Times New Roman" w:cs="Times New Roman"/>
          <w:sz w:val="28"/>
          <w:szCs w:val="28"/>
        </w:rPr>
        <w:t xml:space="preserve"> is lower than the actual return on the stock.</w:t>
      </w:r>
    </w:p>
    <w:p w:rsidR="003A30E4" w:rsidRDefault="00C8458C">
      <w:pPr>
        <w:spacing w:line="288"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For the FY13, FY14 and FY17 the actual returns are less than the expected returns (from CAPM model); </w:t>
      </w:r>
      <w:proofErr w:type="spellStart"/>
      <w:r>
        <w:rPr>
          <w:rFonts w:ascii="Times New Roman" w:eastAsia="Times New Roman" w:hAnsi="Times New Roman" w:cs="Times New Roman"/>
          <w:sz w:val="28"/>
          <w:szCs w:val="28"/>
        </w:rPr>
        <w:t>sharpe</w:t>
      </w:r>
      <w:proofErr w:type="spellEnd"/>
      <w:r>
        <w:rPr>
          <w:rFonts w:ascii="Times New Roman" w:eastAsia="Times New Roman" w:hAnsi="Times New Roman" w:cs="Times New Roman"/>
          <w:sz w:val="28"/>
          <w:szCs w:val="28"/>
        </w:rPr>
        <w:t xml:space="preserve"> ratio is negative for the FY13, FY14, FY15, FY16, FY15 and 5yr. For the FY15, FY15 and 5-year period the actual returns are higher than expected. Thus, investors would have made more money by investing in Government raised securities rather than investing in </w:t>
      </w:r>
      <w:r>
        <w:rPr>
          <w:rFonts w:ascii="Times New Roman" w:eastAsia="Times New Roman" w:hAnsi="Times New Roman" w:cs="Times New Roman"/>
          <w:b/>
          <w:sz w:val="28"/>
          <w:szCs w:val="28"/>
        </w:rPr>
        <w:t>Chennai Petroleum Corporation Limited</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CPCL</w:t>
      </w:r>
      <w:r>
        <w:rPr>
          <w:rFonts w:ascii="Times New Roman" w:eastAsia="Times New Roman" w:hAnsi="Times New Roman" w:cs="Times New Roman"/>
          <w:sz w:val="28"/>
          <w:szCs w:val="28"/>
        </w:rPr>
        <w:t xml:space="preserve">) for the FY13, FY14, FY15, FY16, FY17 and 5yr (long term period) because negative </w:t>
      </w:r>
      <w:proofErr w:type="spellStart"/>
      <w:r>
        <w:rPr>
          <w:rFonts w:ascii="Times New Roman" w:eastAsia="Times New Roman" w:hAnsi="Times New Roman" w:cs="Times New Roman"/>
          <w:sz w:val="28"/>
          <w:szCs w:val="28"/>
        </w:rPr>
        <w:t>sharpe</w:t>
      </w:r>
      <w:proofErr w:type="spellEnd"/>
      <w:r>
        <w:rPr>
          <w:rFonts w:ascii="Times New Roman" w:eastAsia="Times New Roman" w:hAnsi="Times New Roman" w:cs="Times New Roman"/>
          <w:sz w:val="28"/>
          <w:szCs w:val="28"/>
        </w:rPr>
        <w:t xml:space="preserve"> ratio implies that either risk free rate is higher than market return or portfolio return is expected to be negative.</w:t>
      </w:r>
    </w:p>
    <w:p w:rsidR="003A30E4" w:rsidRDefault="003A30E4">
      <w:pPr>
        <w:rPr>
          <w:rFonts w:ascii="Times New Roman" w:eastAsia="Times New Roman" w:hAnsi="Times New Roman" w:cs="Times New Roman"/>
          <w:sz w:val="28"/>
          <w:szCs w:val="28"/>
        </w:rPr>
      </w:pPr>
    </w:p>
    <w:p w:rsidR="003A30E4" w:rsidRDefault="00C8458C">
      <w:pPr>
        <w:rPr>
          <w:rFonts w:ascii="Times New Roman" w:eastAsia="Times New Roman" w:hAnsi="Times New Roman" w:cs="Times New Roman"/>
          <w:sz w:val="28"/>
          <w:szCs w:val="28"/>
        </w:rPr>
      </w:pPr>
      <w:r>
        <w:br w:type="page"/>
      </w:r>
    </w:p>
    <w:p w:rsidR="003A30E4" w:rsidRDefault="00C8458C">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OBEROIRLTY</w:t>
      </w:r>
    </w:p>
    <w:p w:rsidR="003A30E4" w:rsidRDefault="00C8458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Oberoi Realty is a real estate developer based in Mumbai, Maharashtra. It is led by </w:t>
      </w:r>
      <w:proofErr w:type="spellStart"/>
      <w:r>
        <w:rPr>
          <w:rFonts w:ascii="Times New Roman" w:eastAsia="Times New Roman" w:hAnsi="Times New Roman" w:cs="Times New Roman"/>
          <w:sz w:val="28"/>
          <w:szCs w:val="28"/>
        </w:rPr>
        <w:t>Vikas</w:t>
      </w:r>
      <w:proofErr w:type="spellEnd"/>
      <w:r>
        <w:rPr>
          <w:rFonts w:ascii="Times New Roman" w:eastAsia="Times New Roman" w:hAnsi="Times New Roman" w:cs="Times New Roman"/>
          <w:sz w:val="28"/>
          <w:szCs w:val="28"/>
        </w:rPr>
        <w:t xml:space="preserve"> Oberoi, CMD. The company has developed over 42 projects at locations across Mumbai. Its main interest is in Residential, Office Space, Retail, Hospitality and Social Infrastructure properties in </w:t>
      </w:r>
      <w:proofErr w:type="spellStart"/>
      <w:r>
        <w:rPr>
          <w:rFonts w:ascii="Times New Roman" w:eastAsia="Times New Roman" w:hAnsi="Times New Roman" w:cs="Times New Roman"/>
          <w:sz w:val="28"/>
          <w:szCs w:val="28"/>
        </w:rPr>
        <w:t>Mumbai.Over</w:t>
      </w:r>
      <w:proofErr w:type="spellEnd"/>
      <w:r>
        <w:rPr>
          <w:rFonts w:ascii="Times New Roman" w:eastAsia="Times New Roman" w:hAnsi="Times New Roman" w:cs="Times New Roman"/>
          <w:sz w:val="28"/>
          <w:szCs w:val="28"/>
        </w:rPr>
        <w:t xml:space="preserve"> the past three decades, they have built growth and high-stature through consistent high-design and quality parameters that have truly made a significant difference to ease, comfort and efficiency to lives that interact with or inhabit these spaces. They have developed over 42 projects at strategic locations across the Mumbai skyline aggregating about 11.89 million sq. ft. of spaces (group entity including promoter group). With another 27.43 million sq. </w:t>
      </w:r>
      <w:proofErr w:type="spellStart"/>
      <w:r>
        <w:rPr>
          <w:rFonts w:ascii="Times New Roman" w:eastAsia="Times New Roman" w:hAnsi="Times New Roman" w:cs="Times New Roman"/>
          <w:sz w:val="28"/>
          <w:szCs w:val="28"/>
        </w:rPr>
        <w:t>ft</w:t>
      </w:r>
      <w:proofErr w:type="spellEnd"/>
      <w:r>
        <w:rPr>
          <w:rFonts w:ascii="Times New Roman" w:eastAsia="Times New Roman" w:hAnsi="Times New Roman" w:cs="Times New Roman"/>
          <w:sz w:val="28"/>
          <w:szCs w:val="28"/>
        </w:rPr>
        <w:t xml:space="preserve"> in the making, they have aggressive plans for upcoming projects in various parts of Mumbai and other regions.</w:t>
      </w:r>
    </w:p>
    <w:p w:rsidR="003A30E4" w:rsidRDefault="003A30E4">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6"/>
        <w:gridCol w:w="1338"/>
        <w:gridCol w:w="1338"/>
        <w:gridCol w:w="1337"/>
        <w:gridCol w:w="1337"/>
        <w:gridCol w:w="1337"/>
        <w:gridCol w:w="1337"/>
      </w:tblGrid>
      <w:tr w:rsidR="003A30E4">
        <w:tc>
          <w:tcPr>
            <w:tcW w:w="1335"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YEAR</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FY 13-14</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FY 14-15</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FY 15-16</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FY 16-17</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FY 17-18</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5 YEAR</w:t>
            </w:r>
          </w:p>
        </w:tc>
      </w:tr>
      <w:tr w:rsidR="003A30E4">
        <w:trPr>
          <w:trHeight w:val="880"/>
        </w:trPr>
        <w:tc>
          <w:tcPr>
            <w:tcW w:w="1335"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Average Returns</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-0.0005303</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0.00143901</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-0.0044324</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-0.0019854</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0.00162926</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0.00086726</w:t>
            </w:r>
          </w:p>
          <w:p w:rsidR="003A30E4" w:rsidRDefault="003A30E4">
            <w:pPr>
              <w:widowControl w:val="0"/>
              <w:spacing w:line="240" w:lineRule="auto"/>
              <w:jc w:val="center"/>
              <w:rPr>
                <w:rFonts w:ascii="Times New Roman" w:eastAsia="Times New Roman" w:hAnsi="Times New Roman" w:cs="Times New Roman"/>
              </w:rPr>
            </w:pPr>
          </w:p>
        </w:tc>
      </w:tr>
      <w:tr w:rsidR="003A30E4">
        <w:tc>
          <w:tcPr>
            <w:tcW w:w="1335"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Standard Deviation</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0.02508318</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0.02532941</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0.06810899</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0.06916088</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0.02533541</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0.02556675</w:t>
            </w:r>
          </w:p>
          <w:p w:rsidR="003A30E4" w:rsidRDefault="003A30E4">
            <w:pPr>
              <w:widowControl w:val="0"/>
              <w:spacing w:line="240" w:lineRule="auto"/>
              <w:jc w:val="center"/>
              <w:rPr>
                <w:rFonts w:ascii="Times New Roman" w:eastAsia="Times New Roman" w:hAnsi="Times New Roman" w:cs="Times New Roman"/>
              </w:rPr>
            </w:pPr>
          </w:p>
        </w:tc>
      </w:tr>
      <w:tr w:rsidR="003A30E4">
        <w:tc>
          <w:tcPr>
            <w:tcW w:w="1335"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Variance</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0.00062916</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0.00064157</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0.00462716</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0.00474637</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0.00064188</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0.00065365</w:t>
            </w:r>
          </w:p>
          <w:p w:rsidR="003A30E4" w:rsidRDefault="003A30E4">
            <w:pPr>
              <w:widowControl w:val="0"/>
              <w:spacing w:line="240" w:lineRule="auto"/>
              <w:jc w:val="center"/>
              <w:rPr>
                <w:rFonts w:ascii="Times New Roman" w:eastAsia="Times New Roman" w:hAnsi="Times New Roman" w:cs="Times New Roman"/>
              </w:rPr>
            </w:pPr>
          </w:p>
        </w:tc>
      </w:tr>
      <w:tr w:rsidR="003A30E4">
        <w:tc>
          <w:tcPr>
            <w:tcW w:w="1335"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Beta</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0.06253666</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0.03886530</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0.01890497</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0.00444803</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0.09344718</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1.08294429</w:t>
            </w:r>
          </w:p>
          <w:p w:rsidR="003A30E4" w:rsidRDefault="003A30E4">
            <w:pPr>
              <w:widowControl w:val="0"/>
              <w:spacing w:line="240" w:lineRule="auto"/>
              <w:jc w:val="center"/>
              <w:rPr>
                <w:rFonts w:ascii="Times New Roman" w:eastAsia="Times New Roman" w:hAnsi="Times New Roman" w:cs="Times New Roman"/>
              </w:rPr>
            </w:pPr>
          </w:p>
        </w:tc>
      </w:tr>
      <w:tr w:rsidR="003A30E4">
        <w:trPr>
          <w:trHeight w:val="840"/>
        </w:trPr>
        <w:tc>
          <w:tcPr>
            <w:tcW w:w="1335"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CAPM</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0.07784506</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0.07800854</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0.06704621</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0.07057914</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0.06345869</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0.93572723</w:t>
            </w:r>
          </w:p>
          <w:p w:rsidR="003A30E4" w:rsidRDefault="003A30E4">
            <w:pPr>
              <w:widowControl w:val="0"/>
              <w:spacing w:line="240" w:lineRule="auto"/>
              <w:jc w:val="center"/>
              <w:rPr>
                <w:rFonts w:ascii="Times New Roman" w:eastAsia="Times New Roman" w:hAnsi="Times New Roman" w:cs="Times New Roman"/>
              </w:rPr>
            </w:pPr>
          </w:p>
        </w:tc>
      </w:tr>
      <w:tr w:rsidR="003A30E4">
        <w:trPr>
          <w:trHeight w:val="840"/>
        </w:trPr>
        <w:tc>
          <w:tcPr>
            <w:tcW w:w="1335"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Annual (Actual)</w:t>
            </w:r>
          </w:p>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Returns</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-0.1251288</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0.42029927</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-0.6676953</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-0.3903562</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0.49496116</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1.91966335</w:t>
            </w:r>
          </w:p>
          <w:p w:rsidR="003A30E4" w:rsidRDefault="003A30E4">
            <w:pPr>
              <w:widowControl w:val="0"/>
              <w:spacing w:line="240" w:lineRule="auto"/>
              <w:jc w:val="center"/>
              <w:rPr>
                <w:rFonts w:ascii="Times New Roman" w:eastAsia="Times New Roman" w:hAnsi="Times New Roman" w:cs="Times New Roman"/>
              </w:rPr>
            </w:pPr>
          </w:p>
        </w:tc>
      </w:tr>
      <w:tr w:rsidR="003A30E4">
        <w:tc>
          <w:tcPr>
            <w:tcW w:w="1335"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Average Sharpe ratio</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-.026147</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-1.0204962</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-0.3995930</w:t>
            </w:r>
          </w:p>
          <w:p w:rsidR="003A30E4" w:rsidRDefault="003A30E4">
            <w:pPr>
              <w:widowControl w:val="0"/>
              <w:spacing w:line="240" w:lineRule="auto"/>
              <w:jc w:val="center"/>
              <w:rPr>
                <w:rFonts w:ascii="Times New Roman" w:eastAsia="Times New Roman" w:hAnsi="Times New Roman" w:cs="Times New Roman"/>
              </w:rPr>
            </w:pP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-0.3776142</w:t>
            </w: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-1.0444972</w:t>
            </w:r>
          </w:p>
          <w:p w:rsidR="003A30E4" w:rsidRDefault="003A30E4">
            <w:pPr>
              <w:widowControl w:val="0"/>
              <w:spacing w:line="240" w:lineRule="auto"/>
              <w:jc w:val="center"/>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rsidR="003A30E4" w:rsidRDefault="00C8458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-1.0304616</w:t>
            </w:r>
          </w:p>
          <w:p w:rsidR="003A30E4" w:rsidRDefault="003A30E4">
            <w:pPr>
              <w:widowControl w:val="0"/>
              <w:spacing w:line="240" w:lineRule="auto"/>
              <w:jc w:val="center"/>
              <w:rPr>
                <w:rFonts w:ascii="Times New Roman" w:eastAsia="Times New Roman" w:hAnsi="Times New Roman" w:cs="Times New Roman"/>
              </w:rPr>
            </w:pPr>
          </w:p>
        </w:tc>
      </w:tr>
    </w:tbl>
    <w:p w:rsidR="003A30E4" w:rsidRDefault="003A30E4">
      <w:pPr>
        <w:rPr>
          <w:rFonts w:ascii="Times New Roman" w:eastAsia="Times New Roman" w:hAnsi="Times New Roman" w:cs="Times New Roman"/>
        </w:rPr>
      </w:pPr>
    </w:p>
    <w:p w:rsidR="003A30E4" w:rsidRDefault="00C8458C">
      <w:pPr>
        <w:rPr>
          <w:rFonts w:ascii="Times New Roman" w:eastAsia="Times New Roman" w:hAnsi="Times New Roman" w:cs="Times New Roman"/>
          <w:b/>
        </w:rPr>
      </w:pPr>
      <w:r>
        <w:rPr>
          <w:rFonts w:ascii="Times New Roman" w:eastAsia="Times New Roman" w:hAnsi="Times New Roman" w:cs="Times New Roman"/>
          <w:b/>
          <w:sz w:val="28"/>
          <w:szCs w:val="28"/>
        </w:rPr>
        <w:lastRenderedPageBreak/>
        <w:t xml:space="preserve">Analysis of </w:t>
      </w:r>
      <w:proofErr w:type="gramStart"/>
      <w:r>
        <w:rPr>
          <w:rFonts w:ascii="Times New Roman" w:eastAsia="Times New Roman" w:hAnsi="Times New Roman" w:cs="Times New Roman"/>
          <w:b/>
          <w:sz w:val="28"/>
          <w:szCs w:val="28"/>
        </w:rPr>
        <w:t>Stock</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p>
    <w:p w:rsidR="003A30E4" w:rsidRDefault="00C8458C">
      <w:pPr>
        <w:spacing w:before="60" w:line="288"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company underperformed when compared with the expectations of the investors for the FY13, FY15 and FY16 while it performed better than expected for the FY14, FY17 and 5-year period as per the CAPM model. The standard deviation that determines the riskiness of investing in the company was low varying between 2.5% - 6.8% for the time horizon. </w:t>
      </w:r>
    </w:p>
    <w:p w:rsidR="003A30E4" w:rsidRDefault="00C8458C">
      <w:pPr>
        <w:spacing w:before="60" w:line="288"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Beta the statistical coefficient of stock return over market return was &lt;1 for all the fiscal years implying the stock was less volatile than the market for these </w:t>
      </w:r>
      <w:proofErr w:type="gramStart"/>
      <w:r>
        <w:rPr>
          <w:rFonts w:ascii="Times New Roman" w:eastAsia="Times New Roman" w:hAnsi="Times New Roman" w:cs="Times New Roman"/>
          <w:sz w:val="28"/>
          <w:szCs w:val="28"/>
        </w:rPr>
        <w:t>years .</w:t>
      </w:r>
      <w:proofErr w:type="gramEnd"/>
    </w:p>
    <w:p w:rsidR="003A30E4" w:rsidRDefault="003A30E4">
      <w:pPr>
        <w:spacing w:before="60" w:line="288" w:lineRule="auto"/>
        <w:ind w:right="140"/>
        <w:jc w:val="both"/>
        <w:rPr>
          <w:rFonts w:ascii="Times New Roman" w:eastAsia="Times New Roman" w:hAnsi="Times New Roman" w:cs="Times New Roman"/>
          <w:sz w:val="28"/>
          <w:szCs w:val="28"/>
        </w:rPr>
      </w:pPr>
    </w:p>
    <w:p w:rsidR="003A30E4" w:rsidRDefault="00C8458C">
      <w:pPr>
        <w:spacing w:line="288" w:lineRule="auto"/>
        <w:ind w:right="140"/>
        <w:jc w:val="both"/>
        <w:rPr>
          <w:rFonts w:ascii="Times New Roman" w:eastAsia="Times New Roman" w:hAnsi="Times New Roman" w:cs="Times New Roman"/>
          <w:b/>
        </w:rPr>
      </w:pPr>
      <w:r>
        <w:rPr>
          <w:rFonts w:ascii="Times New Roman" w:eastAsia="Times New Roman" w:hAnsi="Times New Roman" w:cs="Times New Roman"/>
          <w:sz w:val="28"/>
          <w:szCs w:val="28"/>
        </w:rPr>
        <w:t xml:space="preserve">For the FY13, FY15 and FY16 the actual returns are less than the expected returns (from CAPM model); </w:t>
      </w:r>
      <w:proofErr w:type="spellStart"/>
      <w:r>
        <w:rPr>
          <w:rFonts w:ascii="Times New Roman" w:eastAsia="Times New Roman" w:hAnsi="Times New Roman" w:cs="Times New Roman"/>
          <w:sz w:val="28"/>
          <w:szCs w:val="28"/>
        </w:rPr>
        <w:t>sharpe</w:t>
      </w:r>
      <w:proofErr w:type="spellEnd"/>
      <w:r>
        <w:rPr>
          <w:rFonts w:ascii="Times New Roman" w:eastAsia="Times New Roman" w:hAnsi="Times New Roman" w:cs="Times New Roman"/>
          <w:sz w:val="28"/>
          <w:szCs w:val="28"/>
        </w:rPr>
        <w:t xml:space="preserve"> ratio is negative for the FY13, FY14, FY15, FY16, FY17 and 5yr. Since the Sharpe ratio is negative for all the </w:t>
      </w:r>
      <w:proofErr w:type="gramStart"/>
      <w:r>
        <w:rPr>
          <w:rFonts w:ascii="Times New Roman" w:eastAsia="Times New Roman" w:hAnsi="Times New Roman" w:cs="Times New Roman"/>
          <w:sz w:val="28"/>
          <w:szCs w:val="28"/>
        </w:rPr>
        <w:t>years  investor</w:t>
      </w:r>
      <w:proofErr w:type="gramEnd"/>
      <w:r>
        <w:rPr>
          <w:rFonts w:ascii="Times New Roman" w:eastAsia="Times New Roman" w:hAnsi="Times New Roman" w:cs="Times New Roman"/>
          <w:sz w:val="28"/>
          <w:szCs w:val="28"/>
        </w:rPr>
        <w:t xml:space="preserve"> would have booked profits by investing in government security for (the FY 13,14, 15 ,16,17 and 5 year term ) because negative </w:t>
      </w:r>
      <w:proofErr w:type="spellStart"/>
      <w:r>
        <w:rPr>
          <w:rFonts w:ascii="Times New Roman" w:eastAsia="Times New Roman" w:hAnsi="Times New Roman" w:cs="Times New Roman"/>
          <w:sz w:val="28"/>
          <w:szCs w:val="28"/>
        </w:rPr>
        <w:t>sharpe</w:t>
      </w:r>
      <w:proofErr w:type="spellEnd"/>
      <w:r>
        <w:rPr>
          <w:rFonts w:ascii="Times New Roman" w:eastAsia="Times New Roman" w:hAnsi="Times New Roman" w:cs="Times New Roman"/>
          <w:sz w:val="28"/>
          <w:szCs w:val="28"/>
        </w:rPr>
        <w:t xml:space="preserve"> ratio implies that either risk free rate is higher than market return or portfolio return is expected to be negative. </w:t>
      </w: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3A30E4">
      <w:pPr>
        <w:rPr>
          <w:rFonts w:ascii="Times New Roman" w:eastAsia="Times New Roman" w:hAnsi="Times New Roman" w:cs="Times New Roman"/>
          <w:b/>
        </w:rPr>
      </w:pPr>
    </w:p>
    <w:p w:rsidR="003A30E4" w:rsidRDefault="00C8458C">
      <w:pPr>
        <w:rPr>
          <w:rFonts w:ascii="Times New Roman" w:eastAsia="Times New Roman" w:hAnsi="Times New Roman" w:cs="Times New Roman"/>
          <w:b/>
        </w:rPr>
      </w:pPr>
      <w:r>
        <w:br w:type="page"/>
      </w:r>
    </w:p>
    <w:p w:rsidR="003A30E4" w:rsidRDefault="00C8458C">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GODREJCP</w:t>
      </w:r>
    </w:p>
    <w:p w:rsidR="003A30E4" w:rsidRDefault="003A30E4">
      <w:pPr>
        <w:ind w:left="720"/>
        <w:rPr>
          <w:rFonts w:ascii="Times New Roman" w:eastAsia="Times New Roman" w:hAnsi="Times New Roman" w:cs="Times New Roman"/>
          <w:b/>
          <w:sz w:val="28"/>
          <w:szCs w:val="28"/>
        </w:rPr>
      </w:pP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Godrej Consumer Products Limited (GCPL) is an Indian consumer goods company based in Mumbai, India. GCPL' s products include soap, hair </w:t>
      </w:r>
      <w:proofErr w:type="spellStart"/>
      <w:r>
        <w:rPr>
          <w:rFonts w:ascii="Times New Roman" w:eastAsia="Times New Roman" w:hAnsi="Times New Roman" w:cs="Times New Roman"/>
          <w:sz w:val="28"/>
          <w:szCs w:val="28"/>
        </w:rPr>
        <w:t>colourants</w:t>
      </w:r>
      <w:proofErr w:type="spellEnd"/>
      <w:r>
        <w:rPr>
          <w:rFonts w:ascii="Times New Roman" w:eastAsia="Times New Roman" w:hAnsi="Times New Roman" w:cs="Times New Roman"/>
          <w:sz w:val="28"/>
          <w:szCs w:val="28"/>
        </w:rPr>
        <w:t xml:space="preserve">, toiletries and liquid detergents. </w:t>
      </w:r>
      <w:r>
        <w:rPr>
          <w:rFonts w:ascii="Times New Roman" w:eastAsia="Times New Roman" w:hAnsi="Times New Roman" w:cs="Times New Roman"/>
          <w:color w:val="222222"/>
          <w:sz w:val="28"/>
          <w:szCs w:val="28"/>
          <w:highlight w:val="white"/>
        </w:rPr>
        <w:t xml:space="preserve">The consumer products business was part of the erstwhile Godrej Soaps Limited (GSL) and was demerged into Godrej Consumer Products Limited in April 2001, pursuant to a scheme of demerger approved by the Honorable High Court of Judicature, Mumbai, dated 14 March 2001. GCPL operates in the domestic and international markets in the 'personal and household care' segment. Some of the categories are soaps, hair </w:t>
      </w:r>
      <w:proofErr w:type="spellStart"/>
      <w:r>
        <w:rPr>
          <w:rFonts w:ascii="Times New Roman" w:eastAsia="Times New Roman" w:hAnsi="Times New Roman" w:cs="Times New Roman"/>
          <w:color w:val="222222"/>
          <w:sz w:val="28"/>
          <w:szCs w:val="28"/>
          <w:highlight w:val="white"/>
        </w:rPr>
        <w:t>colourants</w:t>
      </w:r>
      <w:proofErr w:type="spellEnd"/>
      <w:r>
        <w:rPr>
          <w:rFonts w:ascii="Times New Roman" w:eastAsia="Times New Roman" w:hAnsi="Times New Roman" w:cs="Times New Roman"/>
          <w:color w:val="222222"/>
          <w:sz w:val="28"/>
          <w:szCs w:val="28"/>
          <w:highlight w:val="white"/>
        </w:rPr>
        <w:t>, toiletries and liquid detergents. In 2012, it made an entry into fast-growing air freshener category by launching a new fragrance product "</w:t>
      </w:r>
      <w:proofErr w:type="spellStart"/>
      <w:r>
        <w:rPr>
          <w:rFonts w:ascii="Times New Roman" w:eastAsia="Times New Roman" w:hAnsi="Times New Roman" w:cs="Times New Roman"/>
          <w:color w:val="222222"/>
          <w:sz w:val="28"/>
          <w:szCs w:val="28"/>
          <w:highlight w:val="white"/>
        </w:rPr>
        <w:t>aer</w:t>
      </w:r>
      <w:proofErr w:type="spellEnd"/>
      <w:r>
        <w:rPr>
          <w:rFonts w:ascii="Times New Roman" w:eastAsia="Times New Roman" w:hAnsi="Times New Roman" w:cs="Times New Roman"/>
          <w:color w:val="222222"/>
          <w:sz w:val="28"/>
          <w:szCs w:val="28"/>
          <w:highlight w:val="white"/>
        </w:rPr>
        <w:t>" in the market. GCPL has a widespread distribution network across India. It makes sales in both urban and rural markets, enabling it to benefit from the opportunities in both segments. As of 2014, GCPL employs 21000 employees.</w:t>
      </w:r>
    </w:p>
    <w:p w:rsidR="003A30E4" w:rsidRDefault="003A30E4">
      <w:pPr>
        <w:ind w:left="720"/>
        <w:rPr>
          <w:rFonts w:ascii="Times New Roman" w:eastAsia="Times New Roman" w:hAnsi="Times New Roman" w:cs="Times New Roman"/>
        </w:rPr>
      </w:pPr>
    </w:p>
    <w:p w:rsidR="003A30E4" w:rsidRDefault="003A30E4">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A30E4">
        <w:tc>
          <w:tcPr>
            <w:tcW w:w="1337"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1337"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FY 13-14</w:t>
            </w:r>
          </w:p>
        </w:tc>
        <w:tc>
          <w:tcPr>
            <w:tcW w:w="1337" w:type="dxa"/>
            <w:tcBorders>
              <w:bottom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FY 14-15</w:t>
            </w:r>
          </w:p>
        </w:tc>
        <w:tc>
          <w:tcPr>
            <w:tcW w:w="1337" w:type="dxa"/>
            <w:tcBorders>
              <w:bottom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FY 15-16</w:t>
            </w:r>
          </w:p>
        </w:tc>
        <w:tc>
          <w:tcPr>
            <w:tcW w:w="1337" w:type="dxa"/>
            <w:tcBorders>
              <w:bottom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FY 16-17</w:t>
            </w:r>
          </w:p>
        </w:tc>
        <w:tc>
          <w:tcPr>
            <w:tcW w:w="1337" w:type="dxa"/>
            <w:tcBorders>
              <w:bottom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FY 17-18</w:t>
            </w:r>
          </w:p>
        </w:tc>
        <w:tc>
          <w:tcPr>
            <w:tcW w:w="1337" w:type="dxa"/>
            <w:tcBorders>
              <w:bottom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5 YEAR</w:t>
            </w:r>
          </w:p>
        </w:tc>
      </w:tr>
      <w:tr w:rsidR="003A30E4">
        <w:trPr>
          <w:trHeight w:val="740"/>
        </w:trPr>
        <w:tc>
          <w:tcPr>
            <w:tcW w:w="1337" w:type="dxa"/>
            <w:tcBorders>
              <w:right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Returns</w:t>
            </w:r>
          </w:p>
        </w:tc>
        <w:tc>
          <w:tcPr>
            <w:tcW w:w="1337"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0.00040</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0.00060</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0.00100</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0.00076</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-0.00179</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0.00023</w:t>
            </w:r>
          </w:p>
          <w:p w:rsidR="003A30E4" w:rsidRDefault="003A30E4">
            <w:pPr>
              <w:spacing w:line="240" w:lineRule="auto"/>
              <w:jc w:val="center"/>
              <w:rPr>
                <w:rFonts w:ascii="Calibri" w:eastAsia="Calibri" w:hAnsi="Calibri" w:cs="Calibri"/>
                <w:sz w:val="24"/>
                <w:szCs w:val="24"/>
              </w:rPr>
            </w:pPr>
          </w:p>
        </w:tc>
      </w:tr>
      <w:tr w:rsidR="003A30E4">
        <w:tc>
          <w:tcPr>
            <w:tcW w:w="1337" w:type="dxa"/>
            <w:tcBorders>
              <w:right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0.02147</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0.02345</w:t>
            </w:r>
          </w:p>
          <w:p w:rsidR="003A30E4" w:rsidRDefault="003A30E4">
            <w:pPr>
              <w:spacing w:line="240" w:lineRule="auto"/>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0.02266</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0.01681</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0.04860</w:t>
            </w:r>
          </w:p>
          <w:p w:rsidR="003A30E4" w:rsidRDefault="003A30E4">
            <w:pPr>
              <w:spacing w:line="240" w:lineRule="auto"/>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0.02896</w:t>
            </w:r>
          </w:p>
          <w:p w:rsidR="003A30E4" w:rsidRDefault="003A30E4">
            <w:pPr>
              <w:spacing w:line="240" w:lineRule="auto"/>
              <w:jc w:val="center"/>
              <w:rPr>
                <w:rFonts w:ascii="Calibri" w:eastAsia="Calibri" w:hAnsi="Calibri" w:cs="Calibri"/>
                <w:sz w:val="24"/>
                <w:szCs w:val="24"/>
              </w:rPr>
            </w:pPr>
          </w:p>
        </w:tc>
      </w:tr>
      <w:tr w:rsidR="003A30E4">
        <w:tc>
          <w:tcPr>
            <w:tcW w:w="1337" w:type="dxa"/>
            <w:tcBorders>
              <w:right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Variance</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0.00046</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0.00055</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0.00052</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0.00029</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0.00236</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spacing w:line="240" w:lineRule="auto"/>
              <w:jc w:val="center"/>
              <w:rPr>
                <w:rFonts w:ascii="Calibri" w:eastAsia="Calibri" w:hAnsi="Calibri" w:cs="Calibri"/>
                <w:sz w:val="24"/>
                <w:szCs w:val="24"/>
              </w:rPr>
            </w:pPr>
            <w:r>
              <w:rPr>
                <w:rFonts w:ascii="Calibri" w:eastAsia="Calibri" w:hAnsi="Calibri" w:cs="Calibri"/>
                <w:sz w:val="24"/>
                <w:szCs w:val="24"/>
              </w:rPr>
              <w:t>0.00084</w:t>
            </w:r>
          </w:p>
        </w:tc>
      </w:tr>
      <w:tr w:rsidR="003A30E4">
        <w:tc>
          <w:tcPr>
            <w:tcW w:w="1337" w:type="dxa"/>
            <w:tcBorders>
              <w:right w:val="single" w:sz="6" w:space="0" w:color="000000"/>
            </w:tcBorders>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0.66478</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1.57257</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1.2256</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1.10538</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1.25033</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1.08294</w:t>
            </w:r>
          </w:p>
        </w:tc>
      </w:tr>
      <w:tr w:rsidR="003A30E4">
        <w:tc>
          <w:tcPr>
            <w:tcW w:w="1337"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CAPM</w:t>
            </w:r>
          </w:p>
        </w:tc>
        <w:tc>
          <w:tcPr>
            <w:tcW w:w="1337" w:type="dxa"/>
            <w:tcBorders>
              <w:top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0.15340</w:t>
            </w:r>
          </w:p>
        </w:tc>
        <w:tc>
          <w:tcPr>
            <w:tcW w:w="1337" w:type="dxa"/>
            <w:tcBorders>
              <w:top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0.39404</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-0.12150</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0.21295</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0.10925</w:t>
            </w: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0.93695</w:t>
            </w:r>
          </w:p>
        </w:tc>
      </w:tr>
      <w:tr w:rsidR="003A30E4">
        <w:tc>
          <w:tcPr>
            <w:tcW w:w="1337"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Annual returns</w:t>
            </w:r>
          </w:p>
        </w:tc>
        <w:tc>
          <w:tcPr>
            <w:tcW w:w="1337" w:type="dxa"/>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0.10670</w:t>
            </w:r>
          </w:p>
          <w:p w:rsidR="003A30E4" w:rsidRDefault="003A30E4">
            <w:pPr>
              <w:widowControl w:val="0"/>
              <w:jc w:val="center"/>
              <w:rPr>
                <w:rFonts w:ascii="Calibri" w:eastAsia="Calibri" w:hAnsi="Calibri" w:cs="Calibri"/>
                <w:sz w:val="24"/>
                <w:szCs w:val="24"/>
              </w:rPr>
            </w:pPr>
          </w:p>
        </w:tc>
        <w:tc>
          <w:tcPr>
            <w:tcW w:w="1337" w:type="dxa"/>
            <w:tcBorders>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0.15905</w:t>
            </w:r>
          </w:p>
          <w:p w:rsidR="003A30E4" w:rsidRDefault="003A30E4">
            <w:pPr>
              <w:widowControl w:val="0"/>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0.28217</w:t>
            </w:r>
          </w:p>
          <w:p w:rsidR="003A30E4" w:rsidRDefault="003A30E4">
            <w:pPr>
              <w:widowControl w:val="0"/>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0.20836</w:t>
            </w:r>
          </w:p>
          <w:p w:rsidR="003A30E4" w:rsidRDefault="003A30E4">
            <w:pPr>
              <w:widowControl w:val="0"/>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-0.35883</w:t>
            </w:r>
          </w:p>
          <w:p w:rsidR="003A30E4" w:rsidRDefault="003A30E4">
            <w:pPr>
              <w:widowControl w:val="0"/>
              <w:jc w:val="center"/>
              <w:rPr>
                <w:rFonts w:ascii="Calibri" w:eastAsia="Calibri" w:hAnsi="Calibri" w:cs="Calibri"/>
                <w:sz w:val="24"/>
                <w:szCs w:val="24"/>
              </w:rPr>
            </w:pPr>
          </w:p>
        </w:tc>
        <w:tc>
          <w:tcPr>
            <w:tcW w:w="133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0.32351</w:t>
            </w:r>
          </w:p>
          <w:p w:rsidR="003A30E4" w:rsidRDefault="003A30E4">
            <w:pPr>
              <w:widowControl w:val="0"/>
              <w:jc w:val="center"/>
              <w:rPr>
                <w:rFonts w:ascii="Calibri" w:eastAsia="Calibri" w:hAnsi="Calibri" w:cs="Calibri"/>
                <w:sz w:val="24"/>
                <w:szCs w:val="24"/>
              </w:rPr>
            </w:pPr>
          </w:p>
        </w:tc>
      </w:tr>
      <w:tr w:rsidR="003A30E4">
        <w:trPr>
          <w:trHeight w:val="640"/>
        </w:trPr>
        <w:tc>
          <w:tcPr>
            <w:tcW w:w="1337"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Sharpe ratio</w:t>
            </w:r>
          </w:p>
        </w:tc>
        <w:tc>
          <w:tcPr>
            <w:tcW w:w="1337" w:type="dxa"/>
            <w:shd w:val="clear" w:color="auto" w:fill="auto"/>
            <w:tcMar>
              <w:top w:w="100" w:type="dxa"/>
              <w:left w:w="100" w:type="dxa"/>
              <w:bottom w:w="100" w:type="dxa"/>
              <w:right w:w="100" w:type="dxa"/>
            </w:tcMar>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-1.21750</w:t>
            </w:r>
          </w:p>
        </w:tc>
        <w:tc>
          <w:tcPr>
            <w:tcW w:w="1337" w:type="dxa"/>
            <w:shd w:val="clear" w:color="auto" w:fill="auto"/>
            <w:tcMar>
              <w:top w:w="100" w:type="dxa"/>
              <w:left w:w="100" w:type="dxa"/>
              <w:bottom w:w="100" w:type="dxa"/>
              <w:right w:w="100" w:type="dxa"/>
            </w:tcMar>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-1.10243</w:t>
            </w:r>
          </w:p>
        </w:tc>
        <w:tc>
          <w:tcPr>
            <w:tcW w:w="1337" w:type="dxa"/>
            <w:tcBorders>
              <w:top w:val="single" w:sz="6" w:space="0" w:color="000000"/>
            </w:tcBorders>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sz w:val="24"/>
                <w:szCs w:val="24"/>
              </w:rPr>
            </w:pPr>
            <w:r>
              <w:rPr>
                <w:rFonts w:ascii="Calibri" w:eastAsia="Calibri" w:hAnsi="Calibri" w:cs="Calibri"/>
                <w:sz w:val="24"/>
                <w:szCs w:val="24"/>
              </w:rPr>
              <w:t>-1.20261</w:t>
            </w:r>
          </w:p>
        </w:tc>
        <w:tc>
          <w:tcPr>
            <w:tcW w:w="1337" w:type="dxa"/>
            <w:tcBorders>
              <w:top w:val="single" w:sz="6" w:space="0" w:color="000000"/>
            </w:tcBorders>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sz w:val="24"/>
                <w:szCs w:val="24"/>
              </w:rPr>
            </w:pPr>
            <w:r>
              <w:rPr>
                <w:rFonts w:ascii="Calibri" w:eastAsia="Calibri" w:hAnsi="Calibri" w:cs="Calibri"/>
                <w:sz w:val="24"/>
                <w:szCs w:val="24"/>
              </w:rPr>
              <w:t>-1.55361</w:t>
            </w:r>
          </w:p>
        </w:tc>
        <w:tc>
          <w:tcPr>
            <w:tcW w:w="1337" w:type="dxa"/>
            <w:tcBorders>
              <w:top w:val="single" w:sz="6" w:space="0" w:color="000000"/>
            </w:tcBorders>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sz w:val="24"/>
                <w:szCs w:val="24"/>
              </w:rPr>
            </w:pPr>
            <w:r>
              <w:rPr>
                <w:rFonts w:ascii="Calibri" w:eastAsia="Calibri" w:hAnsi="Calibri" w:cs="Calibri"/>
                <w:sz w:val="24"/>
                <w:szCs w:val="24"/>
              </w:rPr>
              <w:t>-0.54451</w:t>
            </w:r>
          </w:p>
        </w:tc>
        <w:tc>
          <w:tcPr>
            <w:tcW w:w="1337" w:type="dxa"/>
            <w:tcBorders>
              <w:top w:val="single" w:sz="6" w:space="0" w:color="000000"/>
            </w:tcBorders>
            <w:shd w:val="clear" w:color="auto" w:fill="auto"/>
            <w:tcMar>
              <w:top w:w="100" w:type="dxa"/>
              <w:left w:w="100" w:type="dxa"/>
              <w:bottom w:w="100" w:type="dxa"/>
              <w:right w:w="100" w:type="dxa"/>
            </w:tcMar>
          </w:tcPr>
          <w:p w:rsidR="003A30E4" w:rsidRDefault="00C8458C">
            <w:pPr>
              <w:widowControl w:val="0"/>
              <w:jc w:val="center"/>
              <w:rPr>
                <w:rFonts w:ascii="Calibri" w:eastAsia="Calibri" w:hAnsi="Calibri" w:cs="Calibri"/>
                <w:sz w:val="24"/>
                <w:szCs w:val="24"/>
              </w:rPr>
            </w:pPr>
            <w:r>
              <w:rPr>
                <w:rFonts w:ascii="Calibri" w:eastAsia="Calibri" w:hAnsi="Calibri" w:cs="Calibri"/>
                <w:sz w:val="24"/>
                <w:szCs w:val="24"/>
              </w:rPr>
              <w:t>0.15084</w:t>
            </w:r>
          </w:p>
          <w:p w:rsidR="003A30E4" w:rsidRDefault="003A30E4">
            <w:pPr>
              <w:widowControl w:val="0"/>
              <w:jc w:val="center"/>
              <w:rPr>
                <w:rFonts w:ascii="Calibri" w:eastAsia="Calibri" w:hAnsi="Calibri" w:cs="Calibri"/>
                <w:sz w:val="24"/>
                <w:szCs w:val="24"/>
              </w:rPr>
            </w:pPr>
          </w:p>
        </w:tc>
      </w:tr>
    </w:tbl>
    <w:p w:rsidR="003A30E4" w:rsidRDefault="003A30E4">
      <w:pPr>
        <w:rPr>
          <w:rFonts w:ascii="Times New Roman" w:eastAsia="Times New Roman" w:hAnsi="Times New Roman" w:cs="Times New Roman"/>
        </w:rPr>
      </w:pPr>
    </w:p>
    <w:p w:rsidR="003A30E4" w:rsidRDefault="003A30E4">
      <w:pPr>
        <w:rPr>
          <w:rFonts w:ascii="Times New Roman" w:eastAsia="Times New Roman" w:hAnsi="Times New Roman" w:cs="Times New Roman"/>
          <w:b/>
          <w:sz w:val="28"/>
          <w:szCs w:val="28"/>
        </w:rPr>
      </w:pPr>
    </w:p>
    <w:p w:rsidR="003A30E4" w:rsidRDefault="003A30E4">
      <w:pPr>
        <w:rPr>
          <w:rFonts w:ascii="Times New Roman" w:eastAsia="Times New Roman" w:hAnsi="Times New Roman" w:cs="Times New Roman"/>
          <w:b/>
          <w:sz w:val="28"/>
          <w:szCs w:val="28"/>
        </w:rPr>
      </w:pPr>
    </w:p>
    <w:p w:rsidR="003A30E4" w:rsidRDefault="00C8458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Analysis of Stock:</w:t>
      </w:r>
    </w:p>
    <w:p w:rsidR="003A30E4" w:rsidRDefault="003A30E4">
      <w:pPr>
        <w:rPr>
          <w:rFonts w:ascii="Times New Roman" w:eastAsia="Times New Roman" w:hAnsi="Times New Roman" w:cs="Times New Roman"/>
        </w:rPr>
      </w:pPr>
    </w:p>
    <w:p w:rsidR="003A30E4" w:rsidRDefault="00C8458C">
      <w:pPr>
        <w:spacing w:before="60" w:line="288"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company underperformed when compared with the expectations of the investors for the FY13, FY14 FY16 FY17 and 5yr period while it performed better than expected for the FY15 as per the CAPM model. The standard deviation that determines the riskiness of investing in the company was low varying between 1.6% - 4.8% for the time horizon. </w:t>
      </w:r>
    </w:p>
    <w:p w:rsidR="003A30E4" w:rsidRDefault="00C8458C">
      <w:pPr>
        <w:spacing w:before="60" w:line="288"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Beta the statistical coefficient of stock return over market return was &lt;1 for the FY 13 implying the stock was less volatile than the market for this year. </w:t>
      </w:r>
    </w:p>
    <w:p w:rsidR="003A30E4" w:rsidRDefault="003A30E4">
      <w:pPr>
        <w:spacing w:line="288" w:lineRule="auto"/>
        <w:ind w:right="140"/>
        <w:jc w:val="both"/>
        <w:rPr>
          <w:rFonts w:ascii="Times New Roman" w:eastAsia="Times New Roman" w:hAnsi="Times New Roman" w:cs="Times New Roman"/>
          <w:sz w:val="28"/>
          <w:szCs w:val="28"/>
        </w:rPr>
      </w:pPr>
    </w:p>
    <w:p w:rsidR="003A30E4" w:rsidRDefault="00C8458C">
      <w:pPr>
        <w:spacing w:line="288" w:lineRule="auto"/>
        <w:ind w:right="140"/>
        <w:jc w:val="both"/>
        <w:rPr>
          <w:rFonts w:ascii="Times New Roman" w:eastAsia="Times New Roman" w:hAnsi="Times New Roman" w:cs="Times New Roman"/>
          <w:b/>
        </w:rPr>
      </w:pPr>
      <w:r>
        <w:rPr>
          <w:rFonts w:ascii="Times New Roman" w:eastAsia="Times New Roman" w:hAnsi="Times New Roman" w:cs="Times New Roman"/>
          <w:sz w:val="28"/>
          <w:szCs w:val="28"/>
        </w:rPr>
        <w:t xml:space="preserve">For the FY13, FY14, FY16 and FY17 the actual returns are less than the expected returns (from CAPM model); </w:t>
      </w:r>
      <w:proofErr w:type="spellStart"/>
      <w:r>
        <w:rPr>
          <w:rFonts w:ascii="Times New Roman" w:eastAsia="Times New Roman" w:hAnsi="Times New Roman" w:cs="Times New Roman"/>
          <w:sz w:val="28"/>
          <w:szCs w:val="28"/>
        </w:rPr>
        <w:t>sharpe</w:t>
      </w:r>
      <w:proofErr w:type="spellEnd"/>
      <w:r>
        <w:rPr>
          <w:rFonts w:ascii="Times New Roman" w:eastAsia="Times New Roman" w:hAnsi="Times New Roman" w:cs="Times New Roman"/>
          <w:sz w:val="28"/>
          <w:szCs w:val="28"/>
        </w:rPr>
        <w:t xml:space="preserve"> ratio is negative for all the fiscal years. Since the Sharpe ratio is negative for all these years investor would have booked profits by investing in government security for (the FY 13,14, 15 ,16,17) and investing in 5 year term horizon portfolio because negative </w:t>
      </w:r>
      <w:proofErr w:type="spellStart"/>
      <w:r>
        <w:rPr>
          <w:rFonts w:ascii="Times New Roman" w:eastAsia="Times New Roman" w:hAnsi="Times New Roman" w:cs="Times New Roman"/>
          <w:sz w:val="28"/>
          <w:szCs w:val="28"/>
        </w:rPr>
        <w:t>sharpe</w:t>
      </w:r>
      <w:proofErr w:type="spellEnd"/>
      <w:r>
        <w:rPr>
          <w:rFonts w:ascii="Times New Roman" w:eastAsia="Times New Roman" w:hAnsi="Times New Roman" w:cs="Times New Roman"/>
          <w:sz w:val="28"/>
          <w:szCs w:val="28"/>
        </w:rPr>
        <w:t xml:space="preserve"> ratio implies that either risk free rate is higher than market return or portfolio return is expected to be negative.</w:t>
      </w:r>
    </w:p>
    <w:p w:rsidR="003A30E4" w:rsidRDefault="00C8458C">
      <w:pPr>
        <w:rPr>
          <w:rFonts w:ascii="Times New Roman" w:eastAsia="Times New Roman" w:hAnsi="Times New Roman" w:cs="Times New Roman"/>
        </w:rPr>
      </w:pPr>
      <w:r>
        <w:br w:type="page"/>
      </w:r>
    </w:p>
    <w:p w:rsidR="003A30E4" w:rsidRDefault="00C8458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B) </w:t>
      </w:r>
      <w:r>
        <w:rPr>
          <w:rFonts w:ascii="Times New Roman" w:eastAsia="Times New Roman" w:hAnsi="Times New Roman" w:cs="Times New Roman"/>
          <w:b/>
          <w:sz w:val="28"/>
          <w:szCs w:val="28"/>
          <w:u w:val="single"/>
        </w:rPr>
        <w:t>Portfolio Analysis</w:t>
      </w:r>
    </w:p>
    <w:p w:rsidR="003A30E4" w:rsidRDefault="00C8458C">
      <w:pPr>
        <w:pStyle w:val="Heading3"/>
        <w:keepNext w:val="0"/>
        <w:keepLines w:val="0"/>
        <w:spacing w:before="280"/>
        <w:rPr>
          <w:rFonts w:ascii="Times New Roman" w:eastAsia="Times New Roman" w:hAnsi="Times New Roman" w:cs="Times New Roman"/>
          <w:b/>
          <w:color w:val="000000"/>
        </w:rPr>
      </w:pPr>
      <w:bookmarkStart w:id="2" w:name="_6plp9o90ep3z" w:colFirst="0" w:colLast="0"/>
      <w:bookmarkEnd w:id="2"/>
      <w:r>
        <w:rPr>
          <w:rFonts w:ascii="Times New Roman" w:eastAsia="Times New Roman" w:hAnsi="Times New Roman" w:cs="Times New Roman"/>
          <w:b/>
          <w:color w:val="000000"/>
          <w:sz w:val="26"/>
          <w:szCs w:val="26"/>
        </w:rPr>
        <w:t xml:space="preserve">1)    </w:t>
      </w:r>
      <w:r>
        <w:rPr>
          <w:rFonts w:ascii="Times New Roman" w:eastAsia="Times New Roman" w:hAnsi="Times New Roman" w:cs="Times New Roman"/>
          <w:b/>
          <w:color w:val="000000"/>
        </w:rPr>
        <w:t>Analysis of Portfolio in FY 2013-14:</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portfolio for the year 2013-14 thus, has the optimal weights as given below. The portfolio consists of five companies: </w:t>
      </w:r>
      <w:r>
        <w:rPr>
          <w:rFonts w:ascii="Times New Roman" w:eastAsia="Times New Roman" w:hAnsi="Times New Roman" w:cs="Times New Roman"/>
          <w:b/>
          <w:sz w:val="28"/>
          <w:szCs w:val="28"/>
        </w:rPr>
        <w:t>Chennai Petroleum Corporation Ltd, Oberoi Realty Ltd, Godrej Consumer Products Ltd, JK Paper Ltd, Fortis Healthcare Ltd.</w:t>
      </w:r>
    </w:p>
    <w:p w:rsidR="003A30E4" w:rsidRDefault="003A30E4">
      <w:pPr>
        <w:rPr>
          <w:rFonts w:ascii="Times New Roman" w:eastAsia="Times New Roman" w:hAnsi="Times New Roman" w:cs="Times New Roman"/>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A30E4">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Companies in Portfolio</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Annualized Returns</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Equal Weights          (w =0.2)</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Optimal Weights</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Chennai Petroleum Corporation Ltd</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-0.37121 </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Oberoi Realty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0.128176 </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0.286030642 </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Godrej Consumer Products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-0.09753 </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JK Paper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0.173321 </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0.713969358</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Fortis Healthcare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0.015937 </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Portfolio return</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-0.03026 </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 xml:space="preserve">0.160408 </w:t>
            </w:r>
          </w:p>
        </w:tc>
      </w:tr>
      <w:tr w:rsidR="003A30E4">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Portfolio standard Deviation</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0.200007</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0.275856 </w:t>
            </w:r>
          </w:p>
        </w:tc>
      </w:tr>
      <w:tr w:rsidR="003A30E4">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Portfolio Sharpe ratio</w:t>
            </w:r>
          </w:p>
        </w:tc>
        <w:tc>
          <w:tcPr>
            <w:tcW w:w="234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-0.50129 </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0.327737 </w:t>
            </w:r>
          </w:p>
        </w:tc>
      </w:tr>
    </w:tbl>
    <w:p w:rsidR="003A30E4" w:rsidRDefault="003A30E4">
      <w:pPr>
        <w:rPr>
          <w:rFonts w:ascii="Times New Roman" w:eastAsia="Times New Roman" w:hAnsi="Times New Roman" w:cs="Times New Roman"/>
        </w:rPr>
      </w:pP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standard deviation of portfolio consisting of N assets can be calculated as follows:</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543300" cy="6572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43300" cy="657225"/>
                    </a:xfrm>
                    <a:prstGeom prst="rect">
                      <a:avLst/>
                    </a:prstGeom>
                    <a:ln/>
                  </pic:spPr>
                </pic:pic>
              </a:graphicData>
            </a:graphic>
          </wp:inline>
        </w:drawing>
      </w:r>
    </w:p>
    <w:p w:rsidR="003A30E4" w:rsidRDefault="00C8458C">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where N is a number of assets in a portfolio, </w:t>
      </w:r>
      <w:proofErr w:type="spell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rPr>
        <w:t xml:space="preserve"> is a proportion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in a portfolio, </w:t>
      </w:r>
      <w:proofErr w:type="spell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j</w:t>
      </w:r>
      <w:proofErr w:type="spellEnd"/>
      <w:r>
        <w:rPr>
          <w:rFonts w:ascii="Times New Roman" w:eastAsia="Times New Roman" w:hAnsi="Times New Roman" w:cs="Times New Roman"/>
          <w:sz w:val="28"/>
          <w:szCs w:val="28"/>
        </w:rPr>
        <w:t xml:space="preserve"> is a proportion of </w:t>
      </w:r>
      <w:proofErr w:type="spellStart"/>
      <w:r>
        <w:rPr>
          <w:rFonts w:ascii="Times New Roman" w:eastAsia="Times New Roman" w:hAnsi="Times New Roman" w:cs="Times New Roman"/>
          <w:i/>
          <w:sz w:val="28"/>
          <w:szCs w:val="28"/>
        </w:rPr>
        <w:t>j</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in a portfolio, σ</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rPr>
        <w:t xml:space="preserve">) is variance of return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and </w:t>
      </w:r>
      <w:proofErr w:type="spellStart"/>
      <w:r>
        <w:rPr>
          <w:rFonts w:ascii="Times New Roman" w:eastAsia="Times New Roman" w:hAnsi="Times New Roman" w:cs="Times New Roman"/>
          <w:sz w:val="28"/>
          <w:szCs w:val="28"/>
        </w:rPr>
        <w:t>Cov</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j</w:t>
      </w:r>
      <w:proofErr w:type="spellEnd"/>
      <w:r>
        <w:rPr>
          <w:rFonts w:ascii="Times New Roman" w:eastAsia="Times New Roman" w:hAnsi="Times New Roman" w:cs="Times New Roman"/>
          <w:sz w:val="28"/>
          <w:szCs w:val="28"/>
        </w:rPr>
        <w:t xml:space="preserve">) is covariance of returns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and </w:t>
      </w:r>
      <w:proofErr w:type="spellStart"/>
      <w:r>
        <w:rPr>
          <w:rFonts w:ascii="Times New Roman" w:eastAsia="Times New Roman" w:hAnsi="Times New Roman" w:cs="Times New Roman"/>
          <w:i/>
          <w:sz w:val="28"/>
          <w:szCs w:val="28"/>
        </w:rPr>
        <w:t>j</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w:t>
      </w:r>
      <w:r>
        <w:br w:type="page"/>
      </w:r>
    </w:p>
    <w:p w:rsidR="003A30E4" w:rsidRDefault="00C8458C">
      <w:pPr>
        <w:pStyle w:val="Heading3"/>
        <w:keepNext w:val="0"/>
        <w:keepLines w:val="0"/>
        <w:spacing w:before="60"/>
        <w:rPr>
          <w:rFonts w:ascii="Times New Roman" w:eastAsia="Times New Roman" w:hAnsi="Times New Roman" w:cs="Times New Roman"/>
          <w:color w:val="000000"/>
          <w:sz w:val="26"/>
          <w:szCs w:val="26"/>
        </w:rPr>
      </w:pPr>
      <w:bookmarkStart w:id="3" w:name="_d43b2syflrbi" w:colFirst="0" w:colLast="0"/>
      <w:bookmarkEnd w:id="3"/>
      <w:r>
        <w:rPr>
          <w:rFonts w:ascii="Times New Roman" w:eastAsia="Times New Roman" w:hAnsi="Times New Roman" w:cs="Times New Roman"/>
          <w:color w:val="000000"/>
          <w:sz w:val="26"/>
          <w:szCs w:val="26"/>
        </w:rPr>
        <w:lastRenderedPageBreak/>
        <w:t>The covariance matrix is:</w:t>
      </w:r>
    </w:p>
    <w:p w:rsidR="003A30E4" w:rsidRDefault="003A30E4"/>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935"/>
        <w:gridCol w:w="1110"/>
        <w:gridCol w:w="1530"/>
        <w:gridCol w:w="1230"/>
        <w:gridCol w:w="1725"/>
      </w:tblGrid>
      <w:tr w:rsidR="003A30E4">
        <w:tc>
          <w:tcPr>
            <w:tcW w:w="18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rPr>
                <w:b/>
              </w:rPr>
            </w:pPr>
            <w:r>
              <w:rPr>
                <w:b/>
              </w:rPr>
              <w:t>Covariance Matrix</w:t>
            </w:r>
          </w:p>
        </w:tc>
        <w:tc>
          <w:tcPr>
            <w:tcW w:w="1935"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CHENNPETRO</w:t>
            </w:r>
          </w:p>
        </w:tc>
        <w:tc>
          <w:tcPr>
            <w:tcW w:w="111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FORTIS</w:t>
            </w:r>
          </w:p>
        </w:tc>
        <w:tc>
          <w:tcPr>
            <w:tcW w:w="15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GODREJCP</w:t>
            </w:r>
          </w:p>
        </w:tc>
        <w:tc>
          <w:tcPr>
            <w:tcW w:w="12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JKPAPER</w:t>
            </w:r>
          </w:p>
          <w:p w:rsidR="003A30E4" w:rsidRDefault="003A30E4">
            <w:pPr>
              <w:widowControl w:val="0"/>
              <w:pBdr>
                <w:top w:val="nil"/>
                <w:left w:val="nil"/>
                <w:bottom w:val="nil"/>
                <w:right w:val="nil"/>
                <w:between w:val="nil"/>
              </w:pBdr>
              <w:spacing w:line="240" w:lineRule="auto"/>
              <w:jc w:val="center"/>
              <w:rPr>
                <w:b/>
              </w:rPr>
            </w:pPr>
          </w:p>
        </w:tc>
        <w:tc>
          <w:tcPr>
            <w:tcW w:w="1725"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 xml:space="preserve">OBEROIRLTY </w:t>
            </w:r>
          </w:p>
        </w:tc>
      </w:tr>
      <w:tr w:rsidR="003A30E4">
        <w:tc>
          <w:tcPr>
            <w:tcW w:w="18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rPr>
                <w:b/>
              </w:rPr>
            </w:pPr>
            <w:r>
              <w:rPr>
                <w:b/>
              </w:rPr>
              <w:t xml:space="preserve">CHENNPETRO </w:t>
            </w:r>
          </w:p>
        </w:tc>
        <w:tc>
          <w:tcPr>
            <w:tcW w:w="1935"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pPr>
            <w:r>
              <w:t xml:space="preserve">0.000975 </w:t>
            </w:r>
          </w:p>
        </w:tc>
        <w:tc>
          <w:tcPr>
            <w:tcW w:w="111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0.000164 </w:t>
            </w:r>
          </w:p>
        </w:tc>
        <w:tc>
          <w:tcPr>
            <w:tcW w:w="15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pPr>
            <w:r>
              <w:t xml:space="preserve">7.74E-05 </w:t>
            </w:r>
          </w:p>
        </w:tc>
        <w:tc>
          <w:tcPr>
            <w:tcW w:w="12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pPr>
            <w:r>
              <w:t xml:space="preserve">0.000217 </w:t>
            </w:r>
          </w:p>
        </w:tc>
        <w:tc>
          <w:tcPr>
            <w:tcW w:w="1725"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pPr>
            <w:r>
              <w:t xml:space="preserve">0.000141 </w:t>
            </w:r>
          </w:p>
        </w:tc>
      </w:tr>
      <w:tr w:rsidR="003A30E4">
        <w:tc>
          <w:tcPr>
            <w:tcW w:w="18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rPr>
                <w:b/>
              </w:rPr>
            </w:pPr>
            <w:r>
              <w:rPr>
                <w:b/>
              </w:rPr>
              <w:t>FORTIS</w:t>
            </w:r>
          </w:p>
        </w:tc>
        <w:tc>
          <w:tcPr>
            <w:tcW w:w="1935"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0.000164 </w:t>
            </w:r>
          </w:p>
        </w:tc>
        <w:tc>
          <w:tcPr>
            <w:tcW w:w="111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0.000648 </w:t>
            </w:r>
          </w:p>
        </w:tc>
        <w:tc>
          <w:tcPr>
            <w:tcW w:w="153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4.87E-05 </w:t>
            </w:r>
          </w:p>
        </w:tc>
        <w:tc>
          <w:tcPr>
            <w:tcW w:w="123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0.000143 </w:t>
            </w:r>
          </w:p>
        </w:tc>
        <w:tc>
          <w:tcPr>
            <w:tcW w:w="1725" w:type="dxa"/>
            <w:shd w:val="clear" w:color="auto" w:fill="auto"/>
            <w:tcMar>
              <w:top w:w="100" w:type="dxa"/>
              <w:left w:w="100" w:type="dxa"/>
              <w:bottom w:w="100" w:type="dxa"/>
              <w:right w:w="100" w:type="dxa"/>
            </w:tcMar>
          </w:tcPr>
          <w:p w:rsidR="003A30E4" w:rsidRDefault="00C8458C">
            <w:pPr>
              <w:widowControl w:val="0"/>
              <w:spacing w:line="240" w:lineRule="auto"/>
              <w:jc w:val="center"/>
            </w:pPr>
            <w:r>
              <w:t>0.000103</w:t>
            </w:r>
          </w:p>
        </w:tc>
      </w:tr>
      <w:tr w:rsidR="003A30E4">
        <w:tc>
          <w:tcPr>
            <w:tcW w:w="18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rPr>
                <w:b/>
              </w:rPr>
            </w:pPr>
            <w:r>
              <w:rPr>
                <w:b/>
              </w:rPr>
              <w:t>GODREJCP</w:t>
            </w:r>
          </w:p>
        </w:tc>
        <w:tc>
          <w:tcPr>
            <w:tcW w:w="1935"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7.74E-05 </w:t>
            </w:r>
          </w:p>
        </w:tc>
        <w:tc>
          <w:tcPr>
            <w:tcW w:w="111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4.87E-05 </w:t>
            </w:r>
          </w:p>
        </w:tc>
        <w:tc>
          <w:tcPr>
            <w:tcW w:w="1530" w:type="dxa"/>
            <w:shd w:val="clear" w:color="auto" w:fill="auto"/>
            <w:tcMar>
              <w:top w:w="100" w:type="dxa"/>
              <w:left w:w="100" w:type="dxa"/>
              <w:bottom w:w="100" w:type="dxa"/>
              <w:right w:w="100" w:type="dxa"/>
            </w:tcMar>
          </w:tcPr>
          <w:p w:rsidR="003A30E4" w:rsidRDefault="00C8458C">
            <w:pPr>
              <w:widowControl w:val="0"/>
              <w:spacing w:line="240" w:lineRule="auto"/>
              <w:jc w:val="center"/>
            </w:pPr>
            <w:r>
              <w:t>0.000637</w:t>
            </w:r>
          </w:p>
        </w:tc>
        <w:tc>
          <w:tcPr>
            <w:tcW w:w="1230" w:type="dxa"/>
            <w:shd w:val="clear" w:color="auto" w:fill="auto"/>
            <w:tcMar>
              <w:top w:w="100" w:type="dxa"/>
              <w:left w:w="100" w:type="dxa"/>
              <w:bottom w:w="100" w:type="dxa"/>
              <w:right w:w="100" w:type="dxa"/>
            </w:tcMar>
          </w:tcPr>
          <w:p w:rsidR="003A30E4" w:rsidRDefault="00C8458C">
            <w:pPr>
              <w:widowControl w:val="0"/>
              <w:spacing w:line="240" w:lineRule="auto"/>
              <w:jc w:val="center"/>
            </w:pPr>
            <w:r>
              <w:t>0.000106</w:t>
            </w:r>
          </w:p>
        </w:tc>
        <w:tc>
          <w:tcPr>
            <w:tcW w:w="1725"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9.23E-05 </w:t>
            </w:r>
          </w:p>
        </w:tc>
      </w:tr>
      <w:tr w:rsidR="003A30E4">
        <w:tc>
          <w:tcPr>
            <w:tcW w:w="18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rPr>
                <w:b/>
              </w:rPr>
            </w:pPr>
            <w:r>
              <w:rPr>
                <w:b/>
              </w:rPr>
              <w:t>JKPAPER</w:t>
            </w:r>
          </w:p>
        </w:tc>
        <w:tc>
          <w:tcPr>
            <w:tcW w:w="1935"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0.000217 </w:t>
            </w:r>
          </w:p>
        </w:tc>
        <w:tc>
          <w:tcPr>
            <w:tcW w:w="111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0.000143 </w:t>
            </w:r>
          </w:p>
        </w:tc>
        <w:tc>
          <w:tcPr>
            <w:tcW w:w="1530" w:type="dxa"/>
            <w:shd w:val="clear" w:color="auto" w:fill="auto"/>
            <w:tcMar>
              <w:top w:w="100" w:type="dxa"/>
              <w:left w:w="100" w:type="dxa"/>
              <w:bottom w:w="100" w:type="dxa"/>
              <w:right w:w="100" w:type="dxa"/>
            </w:tcMar>
          </w:tcPr>
          <w:p w:rsidR="003A30E4" w:rsidRDefault="00C8458C">
            <w:pPr>
              <w:widowControl w:val="0"/>
              <w:spacing w:line="240" w:lineRule="auto"/>
              <w:jc w:val="center"/>
            </w:pPr>
            <w:r>
              <w:t>0.000106</w:t>
            </w:r>
          </w:p>
        </w:tc>
        <w:tc>
          <w:tcPr>
            <w:tcW w:w="1230" w:type="dxa"/>
            <w:shd w:val="clear" w:color="auto" w:fill="auto"/>
            <w:tcMar>
              <w:top w:w="100" w:type="dxa"/>
              <w:left w:w="100" w:type="dxa"/>
              <w:bottom w:w="100" w:type="dxa"/>
              <w:right w:w="100" w:type="dxa"/>
            </w:tcMar>
          </w:tcPr>
          <w:p w:rsidR="003A30E4" w:rsidRDefault="00C8458C">
            <w:pPr>
              <w:widowControl w:val="0"/>
              <w:spacing w:line="240" w:lineRule="auto"/>
              <w:jc w:val="center"/>
            </w:pPr>
            <w:r>
              <w:t>0.000637</w:t>
            </w:r>
          </w:p>
        </w:tc>
        <w:tc>
          <w:tcPr>
            <w:tcW w:w="1725"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0.000145 </w:t>
            </w:r>
          </w:p>
        </w:tc>
      </w:tr>
      <w:tr w:rsidR="003A30E4">
        <w:tc>
          <w:tcPr>
            <w:tcW w:w="1830" w:type="dxa"/>
            <w:shd w:val="clear" w:color="auto" w:fill="auto"/>
            <w:tcMar>
              <w:top w:w="100" w:type="dxa"/>
              <w:left w:w="100" w:type="dxa"/>
              <w:bottom w:w="100" w:type="dxa"/>
              <w:right w:w="100" w:type="dxa"/>
            </w:tcMar>
          </w:tcPr>
          <w:p w:rsidR="003A30E4" w:rsidRDefault="00C8458C">
            <w:pPr>
              <w:widowControl w:val="0"/>
              <w:pBdr>
                <w:top w:val="nil"/>
                <w:left w:val="nil"/>
                <w:bottom w:val="nil"/>
                <w:right w:val="nil"/>
                <w:between w:val="nil"/>
              </w:pBdr>
              <w:spacing w:line="240" w:lineRule="auto"/>
              <w:jc w:val="center"/>
              <w:rPr>
                <w:b/>
              </w:rPr>
            </w:pPr>
            <w:r>
              <w:rPr>
                <w:b/>
              </w:rPr>
              <w:t xml:space="preserve">OBEROIRLTY </w:t>
            </w:r>
          </w:p>
        </w:tc>
        <w:tc>
          <w:tcPr>
            <w:tcW w:w="1935"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0.000141 </w:t>
            </w:r>
          </w:p>
        </w:tc>
        <w:tc>
          <w:tcPr>
            <w:tcW w:w="111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0.000103 </w:t>
            </w:r>
          </w:p>
        </w:tc>
        <w:tc>
          <w:tcPr>
            <w:tcW w:w="153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9.23E-05 </w:t>
            </w:r>
          </w:p>
        </w:tc>
        <w:tc>
          <w:tcPr>
            <w:tcW w:w="1230"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0.000145 </w:t>
            </w:r>
          </w:p>
        </w:tc>
        <w:tc>
          <w:tcPr>
            <w:tcW w:w="1725" w:type="dxa"/>
            <w:shd w:val="clear" w:color="auto" w:fill="auto"/>
            <w:tcMar>
              <w:top w:w="100" w:type="dxa"/>
              <w:left w:w="100" w:type="dxa"/>
              <w:bottom w:w="100" w:type="dxa"/>
              <w:right w:w="100" w:type="dxa"/>
            </w:tcMar>
          </w:tcPr>
          <w:p w:rsidR="003A30E4" w:rsidRDefault="00C8458C">
            <w:pPr>
              <w:widowControl w:val="0"/>
              <w:spacing w:line="240" w:lineRule="auto"/>
              <w:jc w:val="center"/>
            </w:pPr>
            <w:r>
              <w:t xml:space="preserve">0.000635 </w:t>
            </w:r>
          </w:p>
        </w:tc>
      </w:tr>
    </w:tbl>
    <w:p w:rsidR="003A30E4" w:rsidRDefault="003A30E4">
      <w:pPr>
        <w:pStyle w:val="Heading3"/>
        <w:keepNext w:val="0"/>
        <w:keepLines w:val="0"/>
        <w:spacing w:before="0" w:after="0" w:line="271" w:lineRule="auto"/>
        <w:ind w:left="100" w:right="140"/>
        <w:jc w:val="both"/>
        <w:rPr>
          <w:rFonts w:ascii="Times New Roman" w:eastAsia="Times New Roman" w:hAnsi="Times New Roman" w:cs="Times New Roman"/>
          <w:color w:val="000000"/>
          <w:sz w:val="26"/>
          <w:szCs w:val="26"/>
        </w:rPr>
      </w:pPr>
      <w:bookmarkStart w:id="4" w:name="_i1hvj0et3ci5" w:colFirst="0" w:colLast="0"/>
      <w:bookmarkEnd w:id="4"/>
    </w:p>
    <w:p w:rsidR="003A30E4" w:rsidRDefault="00C8458C">
      <w:pPr>
        <w:pStyle w:val="Heading3"/>
        <w:keepNext w:val="0"/>
        <w:keepLines w:val="0"/>
        <w:spacing w:before="0" w:after="0" w:line="271" w:lineRule="auto"/>
        <w:ind w:left="100" w:right="140"/>
        <w:jc w:val="both"/>
        <w:rPr>
          <w:rFonts w:ascii="Times New Roman" w:eastAsia="Times New Roman" w:hAnsi="Times New Roman" w:cs="Times New Roman"/>
          <w:color w:val="000000"/>
        </w:rPr>
      </w:pPr>
      <w:bookmarkStart w:id="5" w:name="_2myxd0aevkwk" w:colFirst="0" w:colLast="0"/>
      <w:bookmarkEnd w:id="5"/>
      <w:r>
        <w:rPr>
          <w:rFonts w:ascii="Times New Roman" w:eastAsia="Times New Roman" w:hAnsi="Times New Roman" w:cs="Times New Roman"/>
          <w:color w:val="000000"/>
        </w:rPr>
        <w:t xml:space="preserve">For the financial year 13-14, in the equally weighted portfolio, return, standard deviation and </w:t>
      </w:r>
      <w:proofErr w:type="spellStart"/>
      <w:r>
        <w:rPr>
          <w:rFonts w:ascii="Times New Roman" w:eastAsia="Times New Roman" w:hAnsi="Times New Roman" w:cs="Times New Roman"/>
          <w:color w:val="000000"/>
        </w:rPr>
        <w:t>sharpe</w:t>
      </w:r>
      <w:proofErr w:type="spellEnd"/>
      <w:r>
        <w:rPr>
          <w:rFonts w:ascii="Times New Roman" w:eastAsia="Times New Roman" w:hAnsi="Times New Roman" w:cs="Times New Roman"/>
          <w:color w:val="000000"/>
        </w:rPr>
        <w:t xml:space="preserve"> ratio were -0.03, 0.2 and -0.5 respectively, while in the optimal portfolio, return increased to 0.16, risk increases to .27 and </w:t>
      </w:r>
      <w:proofErr w:type="spellStart"/>
      <w:r>
        <w:rPr>
          <w:rFonts w:ascii="Times New Roman" w:eastAsia="Times New Roman" w:hAnsi="Times New Roman" w:cs="Times New Roman"/>
          <w:color w:val="000000"/>
        </w:rPr>
        <w:t>sharpe</w:t>
      </w:r>
      <w:proofErr w:type="spellEnd"/>
      <w:r>
        <w:rPr>
          <w:rFonts w:ascii="Times New Roman" w:eastAsia="Times New Roman" w:hAnsi="Times New Roman" w:cs="Times New Roman"/>
          <w:color w:val="000000"/>
        </w:rPr>
        <w:t xml:space="preserve"> ratio increased to 0.327.</w:t>
      </w:r>
    </w:p>
    <w:p w:rsidR="003A30E4" w:rsidRDefault="00C8458C">
      <w:pPr>
        <w:pStyle w:val="Heading3"/>
        <w:keepNext w:val="0"/>
        <w:keepLines w:val="0"/>
        <w:spacing w:before="160" w:after="0" w:line="271" w:lineRule="auto"/>
        <w:ind w:left="100" w:right="140"/>
        <w:jc w:val="both"/>
        <w:rPr>
          <w:rFonts w:ascii="Times New Roman" w:eastAsia="Times New Roman" w:hAnsi="Times New Roman" w:cs="Times New Roman"/>
          <w:color w:val="000000"/>
        </w:rPr>
      </w:pPr>
      <w:bookmarkStart w:id="6" w:name="_5qgb9mvb5lfi" w:colFirst="0" w:colLast="0"/>
      <w:bookmarkEnd w:id="6"/>
      <w:r>
        <w:rPr>
          <w:rFonts w:ascii="Times New Roman" w:eastAsia="Times New Roman" w:hAnsi="Times New Roman" w:cs="Times New Roman"/>
          <w:color w:val="000000"/>
        </w:rPr>
        <w:t xml:space="preserve">Here, the usage of optimal weights rather than equal weights has increased the return, increased the standard deviation and increased the </w:t>
      </w:r>
      <w:proofErr w:type="spellStart"/>
      <w:r>
        <w:rPr>
          <w:rFonts w:ascii="Times New Roman" w:eastAsia="Times New Roman" w:hAnsi="Times New Roman" w:cs="Times New Roman"/>
          <w:color w:val="000000"/>
        </w:rPr>
        <w:t>sharpe</w:t>
      </w:r>
      <w:proofErr w:type="spellEnd"/>
      <w:r>
        <w:rPr>
          <w:rFonts w:ascii="Times New Roman" w:eastAsia="Times New Roman" w:hAnsi="Times New Roman" w:cs="Times New Roman"/>
          <w:color w:val="000000"/>
        </w:rPr>
        <w:t xml:space="preserve"> ratio considerably. This implies that the return over risk free investment is superior in case of optimal portfolio though a bit riskier.</w:t>
      </w:r>
    </w:p>
    <w:p w:rsidR="003A30E4" w:rsidRDefault="00C8458C">
      <w:pPr>
        <w:pStyle w:val="Heading3"/>
        <w:keepNext w:val="0"/>
        <w:keepLines w:val="0"/>
        <w:spacing w:before="280"/>
        <w:rPr>
          <w:rFonts w:ascii="Times New Roman" w:eastAsia="Times New Roman" w:hAnsi="Times New Roman" w:cs="Times New Roman"/>
          <w:b/>
          <w:color w:val="000000"/>
          <w:sz w:val="26"/>
          <w:szCs w:val="26"/>
        </w:rPr>
      </w:pPr>
      <w:bookmarkStart w:id="7" w:name="_xies93jwzwi9" w:colFirst="0" w:colLast="0"/>
      <w:bookmarkEnd w:id="7"/>
      <w:r>
        <w:br w:type="page"/>
      </w:r>
    </w:p>
    <w:p w:rsidR="003A30E4" w:rsidRDefault="00C8458C">
      <w:pPr>
        <w:pStyle w:val="Heading3"/>
        <w:keepNext w:val="0"/>
        <w:keepLines w:val="0"/>
        <w:spacing w:before="280"/>
        <w:rPr>
          <w:rFonts w:ascii="Times New Roman" w:eastAsia="Times New Roman" w:hAnsi="Times New Roman" w:cs="Times New Roman"/>
          <w:b/>
          <w:color w:val="000000"/>
        </w:rPr>
      </w:pPr>
      <w:bookmarkStart w:id="8" w:name="_3lh5fd3d9wvm" w:colFirst="0" w:colLast="0"/>
      <w:bookmarkEnd w:id="8"/>
      <w:r>
        <w:rPr>
          <w:rFonts w:ascii="Times New Roman" w:eastAsia="Times New Roman" w:hAnsi="Times New Roman" w:cs="Times New Roman"/>
          <w:b/>
          <w:color w:val="000000"/>
          <w:sz w:val="26"/>
          <w:szCs w:val="26"/>
        </w:rPr>
        <w:lastRenderedPageBreak/>
        <w:t>2)</w:t>
      </w:r>
      <w:r>
        <w:rPr>
          <w:rFonts w:ascii="Times New Roman" w:eastAsia="Times New Roman" w:hAnsi="Times New Roman" w:cs="Times New Roman"/>
          <w:b/>
          <w:color w:val="000000"/>
        </w:rPr>
        <w:t xml:space="preserve">    Analysis of Portfolio in FY 2014-15:</w:t>
      </w:r>
    </w:p>
    <w:p w:rsidR="003A30E4" w:rsidRDefault="003A30E4">
      <w:pPr>
        <w:rPr>
          <w:rFonts w:ascii="Times New Roman" w:eastAsia="Times New Roman" w:hAnsi="Times New Roman" w:cs="Times New Roman"/>
        </w:rPr>
      </w:pPr>
    </w:p>
    <w:p w:rsidR="003A30E4" w:rsidRDefault="003A30E4">
      <w:pPr>
        <w:rPr>
          <w:rFonts w:ascii="Times New Roman" w:eastAsia="Times New Roman" w:hAnsi="Times New Roman" w:cs="Times New Roman"/>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Companies in Portfolio</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Annualized Returns</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Equal Weights</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Optimal Weights</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Chennai Petroleum Corporation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.093137</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Oberoi Realty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.44011</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Godrej Consumer Products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.294</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JK paper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.1325</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.713</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Fortis Healthcare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.1153</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.28</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Portfolio return</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.21503</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0.12763435</w:t>
            </w:r>
          </w:p>
          <w:p w:rsidR="003A30E4" w:rsidRDefault="003A30E4">
            <w:pPr>
              <w:widowControl w:val="0"/>
              <w:jc w:val="center"/>
              <w:rPr>
                <w:rFonts w:ascii="Times New Roman" w:eastAsia="Times New Roman" w:hAnsi="Times New Roman" w:cs="Times New Roman"/>
              </w:rPr>
            </w:pP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Portfolio standard Deviation</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.199686</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0.293515214</w:t>
            </w:r>
          </w:p>
          <w:p w:rsidR="003A30E4" w:rsidRDefault="003A30E4">
            <w:pPr>
              <w:widowControl w:val="0"/>
              <w:jc w:val="center"/>
              <w:rPr>
                <w:rFonts w:ascii="Times New Roman" w:eastAsia="Times New Roman" w:hAnsi="Times New Roman" w:cs="Times New Roman"/>
              </w:rPr>
            </w:pP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Portfolio Sharpe ratio</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.72629</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0.196358985</w:t>
            </w:r>
          </w:p>
          <w:p w:rsidR="003A30E4" w:rsidRDefault="003A30E4">
            <w:pPr>
              <w:widowControl w:val="0"/>
              <w:jc w:val="center"/>
              <w:rPr>
                <w:rFonts w:ascii="Times New Roman" w:eastAsia="Times New Roman" w:hAnsi="Times New Roman" w:cs="Times New Roman"/>
              </w:rPr>
            </w:pPr>
          </w:p>
        </w:tc>
      </w:tr>
    </w:tbl>
    <w:p w:rsidR="003A30E4" w:rsidRDefault="003A30E4">
      <w:pPr>
        <w:rPr>
          <w:rFonts w:ascii="Times New Roman" w:eastAsia="Times New Roman" w:hAnsi="Times New Roman" w:cs="Times New Roman"/>
          <w:sz w:val="24"/>
          <w:szCs w:val="24"/>
        </w:rPr>
      </w:pPr>
    </w:p>
    <w:p w:rsidR="003A30E4" w:rsidRDefault="003A30E4"/>
    <w:p w:rsidR="003A30E4" w:rsidRDefault="003A30E4"/>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standard deviation of portfolio consisting of N assets can be calculated as follows:</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543300" cy="6572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43300" cy="657225"/>
                    </a:xfrm>
                    <a:prstGeom prst="rect">
                      <a:avLst/>
                    </a:prstGeom>
                    <a:ln/>
                  </pic:spPr>
                </pic:pic>
              </a:graphicData>
            </a:graphic>
          </wp:inline>
        </w:drawing>
      </w:r>
    </w:p>
    <w:p w:rsidR="003A30E4" w:rsidRDefault="00C8458C">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w:t>
      </w:r>
      <w:proofErr w:type="gramEnd"/>
      <w:r>
        <w:rPr>
          <w:rFonts w:ascii="Times New Roman" w:eastAsia="Times New Roman" w:hAnsi="Times New Roman" w:cs="Times New Roman"/>
          <w:sz w:val="28"/>
          <w:szCs w:val="28"/>
        </w:rPr>
        <w:t xml:space="preserve"> N is a number of assets in a portfolio, </w:t>
      </w:r>
      <w:proofErr w:type="spell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rPr>
        <w:t xml:space="preserve"> is a proportion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in a portfolio, </w:t>
      </w:r>
      <w:proofErr w:type="spell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j</w:t>
      </w:r>
      <w:proofErr w:type="spellEnd"/>
      <w:r>
        <w:rPr>
          <w:rFonts w:ascii="Times New Roman" w:eastAsia="Times New Roman" w:hAnsi="Times New Roman" w:cs="Times New Roman"/>
          <w:sz w:val="28"/>
          <w:szCs w:val="28"/>
        </w:rPr>
        <w:t xml:space="preserve"> is a proportion of </w:t>
      </w:r>
      <w:proofErr w:type="spellStart"/>
      <w:r>
        <w:rPr>
          <w:rFonts w:ascii="Times New Roman" w:eastAsia="Times New Roman" w:hAnsi="Times New Roman" w:cs="Times New Roman"/>
          <w:i/>
          <w:sz w:val="28"/>
          <w:szCs w:val="28"/>
        </w:rPr>
        <w:t>j</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in a portfolio, σ</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rPr>
        <w:t xml:space="preserve">) is variance of return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and </w:t>
      </w:r>
      <w:proofErr w:type="spellStart"/>
      <w:r>
        <w:rPr>
          <w:rFonts w:ascii="Times New Roman" w:eastAsia="Times New Roman" w:hAnsi="Times New Roman" w:cs="Times New Roman"/>
          <w:sz w:val="28"/>
          <w:szCs w:val="28"/>
        </w:rPr>
        <w:t>Cov</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j</w:t>
      </w:r>
      <w:proofErr w:type="spellEnd"/>
      <w:r>
        <w:rPr>
          <w:rFonts w:ascii="Times New Roman" w:eastAsia="Times New Roman" w:hAnsi="Times New Roman" w:cs="Times New Roman"/>
          <w:sz w:val="28"/>
          <w:szCs w:val="28"/>
        </w:rPr>
        <w:t xml:space="preserve">) is covariance of returns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and </w:t>
      </w:r>
      <w:proofErr w:type="spellStart"/>
      <w:r>
        <w:rPr>
          <w:rFonts w:ascii="Times New Roman" w:eastAsia="Times New Roman" w:hAnsi="Times New Roman" w:cs="Times New Roman"/>
          <w:i/>
          <w:sz w:val="28"/>
          <w:szCs w:val="28"/>
        </w:rPr>
        <w:t>j</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w:t>
      </w:r>
    </w:p>
    <w:p w:rsidR="003A30E4" w:rsidRDefault="003A30E4">
      <w:pPr>
        <w:rPr>
          <w:rFonts w:ascii="Times New Roman" w:eastAsia="Times New Roman" w:hAnsi="Times New Roman" w:cs="Times New Roman"/>
          <w:sz w:val="28"/>
          <w:szCs w:val="28"/>
        </w:rPr>
      </w:pPr>
    </w:p>
    <w:p w:rsidR="003A30E4" w:rsidRDefault="003A30E4">
      <w:pPr>
        <w:rPr>
          <w:rFonts w:ascii="Times New Roman" w:eastAsia="Times New Roman" w:hAnsi="Times New Roman" w:cs="Times New Roman"/>
          <w:sz w:val="28"/>
          <w:szCs w:val="28"/>
        </w:rPr>
      </w:pPr>
    </w:p>
    <w:p w:rsidR="003A30E4" w:rsidRDefault="003A30E4">
      <w:pPr>
        <w:rPr>
          <w:rFonts w:ascii="Times New Roman" w:eastAsia="Times New Roman" w:hAnsi="Times New Roman" w:cs="Times New Roman"/>
          <w:sz w:val="24"/>
          <w:szCs w:val="24"/>
        </w:rPr>
      </w:pP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covariance matrix </w:t>
      </w:r>
      <w:proofErr w:type="gramStart"/>
      <w:r>
        <w:rPr>
          <w:rFonts w:ascii="Times New Roman" w:eastAsia="Times New Roman" w:hAnsi="Times New Roman" w:cs="Times New Roman"/>
          <w:sz w:val="28"/>
          <w:szCs w:val="28"/>
        </w:rPr>
        <w:t>is :</w:t>
      </w:r>
      <w:proofErr w:type="gramEnd"/>
      <w:r>
        <w:rPr>
          <w:rFonts w:ascii="Times New Roman" w:eastAsia="Times New Roman" w:hAnsi="Times New Roman" w:cs="Times New Roman"/>
          <w:sz w:val="28"/>
          <w:szCs w:val="28"/>
        </w:rPr>
        <w:t>-</w:t>
      </w:r>
    </w:p>
    <w:p w:rsidR="003A30E4" w:rsidRDefault="003A30E4">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815"/>
        <w:gridCol w:w="1215"/>
        <w:gridCol w:w="1500"/>
        <w:gridCol w:w="1260"/>
        <w:gridCol w:w="1740"/>
      </w:tblGrid>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lastRenderedPageBreak/>
              <w:t>Covariance Matrix</w:t>
            </w:r>
          </w:p>
        </w:tc>
        <w:tc>
          <w:tcPr>
            <w:tcW w:w="1815"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CHENNPETRO</w:t>
            </w:r>
          </w:p>
        </w:tc>
        <w:tc>
          <w:tcPr>
            <w:tcW w:w="1215"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FORTIS</w:t>
            </w:r>
          </w:p>
        </w:tc>
        <w:tc>
          <w:tcPr>
            <w:tcW w:w="150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GODREJCP</w:t>
            </w:r>
          </w:p>
        </w:tc>
        <w:tc>
          <w:tcPr>
            <w:tcW w:w="126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JKPAPER</w:t>
            </w:r>
          </w:p>
          <w:p w:rsidR="003A30E4" w:rsidRDefault="003A30E4">
            <w:pPr>
              <w:widowControl w:val="0"/>
              <w:spacing w:line="240" w:lineRule="auto"/>
              <w:jc w:val="center"/>
              <w:rPr>
                <w:b/>
              </w:rPr>
            </w:pPr>
          </w:p>
        </w:tc>
        <w:tc>
          <w:tcPr>
            <w:tcW w:w="174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 xml:space="preserve">OBEROIRLTY </w:t>
            </w:r>
          </w:p>
        </w:tc>
      </w:tr>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 xml:space="preserve">CHENNPETRO </w:t>
            </w:r>
          </w:p>
        </w:tc>
        <w:tc>
          <w:tcPr>
            <w:tcW w:w="1815" w:type="dxa"/>
            <w:shd w:val="clear" w:color="auto" w:fill="auto"/>
            <w:tcMar>
              <w:top w:w="100" w:type="dxa"/>
              <w:left w:w="100" w:type="dxa"/>
              <w:bottom w:w="100" w:type="dxa"/>
              <w:right w:w="100" w:type="dxa"/>
            </w:tcMar>
          </w:tcPr>
          <w:p w:rsidR="003A30E4" w:rsidRDefault="00C8458C">
            <w:pPr>
              <w:widowControl w:val="0"/>
              <w:spacing w:line="240" w:lineRule="auto"/>
              <w:jc w:val="center"/>
            </w:pPr>
            <w:r>
              <w:t>0.000929849</w:t>
            </w:r>
          </w:p>
          <w:p w:rsidR="003A30E4" w:rsidRDefault="003A30E4">
            <w:pPr>
              <w:widowControl w:val="0"/>
              <w:spacing w:line="240" w:lineRule="auto"/>
              <w:jc w:val="center"/>
            </w:pPr>
          </w:p>
        </w:tc>
        <w:tc>
          <w:tcPr>
            <w:tcW w:w="1215" w:type="dxa"/>
            <w:shd w:val="clear" w:color="auto" w:fill="auto"/>
            <w:tcMar>
              <w:top w:w="100" w:type="dxa"/>
              <w:left w:w="100" w:type="dxa"/>
              <w:bottom w:w="100" w:type="dxa"/>
              <w:right w:w="100" w:type="dxa"/>
            </w:tcMar>
          </w:tcPr>
          <w:p w:rsidR="003A30E4" w:rsidRDefault="00C8458C">
            <w:pPr>
              <w:widowControl w:val="0"/>
              <w:spacing w:line="240" w:lineRule="auto"/>
              <w:jc w:val="center"/>
            </w:pPr>
            <w:r>
              <w:t>6.95081 E-05</w:t>
            </w:r>
          </w:p>
          <w:p w:rsidR="003A30E4" w:rsidRDefault="003A30E4">
            <w:pPr>
              <w:widowControl w:val="0"/>
              <w:spacing w:line="240" w:lineRule="auto"/>
              <w:jc w:val="center"/>
            </w:pPr>
          </w:p>
        </w:tc>
        <w:tc>
          <w:tcPr>
            <w:tcW w:w="1500" w:type="dxa"/>
            <w:shd w:val="clear" w:color="auto" w:fill="auto"/>
            <w:tcMar>
              <w:top w:w="100" w:type="dxa"/>
              <w:left w:w="100" w:type="dxa"/>
              <w:bottom w:w="100" w:type="dxa"/>
              <w:right w:w="100" w:type="dxa"/>
            </w:tcMar>
          </w:tcPr>
          <w:p w:rsidR="003A30E4" w:rsidRDefault="00C8458C">
            <w:pPr>
              <w:widowControl w:val="0"/>
              <w:spacing w:line="240" w:lineRule="auto"/>
              <w:jc w:val="center"/>
            </w:pPr>
            <w:r>
              <w:t>5.19581E-05</w:t>
            </w:r>
          </w:p>
          <w:p w:rsidR="003A30E4" w:rsidRDefault="003A30E4">
            <w:pPr>
              <w:widowControl w:val="0"/>
              <w:spacing w:line="240" w:lineRule="auto"/>
              <w:jc w:val="center"/>
            </w:pPr>
          </w:p>
        </w:tc>
        <w:tc>
          <w:tcPr>
            <w:tcW w:w="1260" w:type="dxa"/>
            <w:shd w:val="clear" w:color="auto" w:fill="auto"/>
            <w:tcMar>
              <w:top w:w="100" w:type="dxa"/>
              <w:left w:w="100" w:type="dxa"/>
              <w:bottom w:w="100" w:type="dxa"/>
              <w:right w:w="100" w:type="dxa"/>
            </w:tcMar>
          </w:tcPr>
          <w:p w:rsidR="003A30E4" w:rsidRDefault="00C8458C">
            <w:pPr>
              <w:widowControl w:val="0"/>
              <w:spacing w:line="240" w:lineRule="auto"/>
              <w:jc w:val="center"/>
            </w:pPr>
            <w:r>
              <w:t>3.93996 E-05</w:t>
            </w:r>
          </w:p>
          <w:p w:rsidR="003A30E4" w:rsidRDefault="003A30E4">
            <w:pPr>
              <w:widowControl w:val="0"/>
              <w:spacing w:line="240" w:lineRule="auto"/>
              <w:jc w:val="center"/>
            </w:pPr>
          </w:p>
          <w:p w:rsidR="003A30E4" w:rsidRDefault="003A30E4">
            <w:pPr>
              <w:widowControl w:val="0"/>
              <w:spacing w:line="240" w:lineRule="auto"/>
              <w:jc w:val="center"/>
            </w:pPr>
          </w:p>
        </w:tc>
        <w:tc>
          <w:tcPr>
            <w:tcW w:w="1740" w:type="dxa"/>
            <w:shd w:val="clear" w:color="auto" w:fill="auto"/>
            <w:tcMar>
              <w:top w:w="100" w:type="dxa"/>
              <w:left w:w="100" w:type="dxa"/>
              <w:bottom w:w="100" w:type="dxa"/>
              <w:right w:w="100" w:type="dxa"/>
            </w:tcMar>
          </w:tcPr>
          <w:p w:rsidR="003A30E4" w:rsidRDefault="00C8458C">
            <w:pPr>
              <w:widowControl w:val="0"/>
              <w:spacing w:line="240" w:lineRule="auto"/>
              <w:jc w:val="center"/>
            </w:pPr>
            <w:r>
              <w:t>-1.31321E-06</w:t>
            </w:r>
          </w:p>
          <w:p w:rsidR="003A30E4" w:rsidRDefault="003A30E4">
            <w:pPr>
              <w:widowControl w:val="0"/>
              <w:spacing w:line="240" w:lineRule="auto"/>
              <w:jc w:val="center"/>
            </w:pPr>
          </w:p>
          <w:p w:rsidR="003A30E4" w:rsidRDefault="003A30E4">
            <w:pPr>
              <w:widowControl w:val="0"/>
              <w:spacing w:line="240" w:lineRule="auto"/>
              <w:jc w:val="center"/>
            </w:pPr>
          </w:p>
        </w:tc>
      </w:tr>
      <w:tr w:rsidR="003A30E4">
        <w:trPr>
          <w:trHeight w:val="1060"/>
        </w:trPr>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FORTIS</w:t>
            </w:r>
          </w:p>
        </w:tc>
        <w:tc>
          <w:tcPr>
            <w:tcW w:w="1815" w:type="dxa"/>
            <w:shd w:val="clear" w:color="auto" w:fill="auto"/>
            <w:tcMar>
              <w:top w:w="100" w:type="dxa"/>
              <w:left w:w="100" w:type="dxa"/>
              <w:bottom w:w="100" w:type="dxa"/>
              <w:right w:w="100" w:type="dxa"/>
            </w:tcMar>
          </w:tcPr>
          <w:p w:rsidR="003A30E4" w:rsidRDefault="00C8458C">
            <w:pPr>
              <w:widowControl w:val="0"/>
              <w:spacing w:line="240" w:lineRule="auto"/>
              <w:jc w:val="center"/>
            </w:pPr>
            <w:r>
              <w:t>6.95081E-05</w:t>
            </w:r>
          </w:p>
          <w:p w:rsidR="003A30E4" w:rsidRDefault="003A30E4">
            <w:pPr>
              <w:widowControl w:val="0"/>
              <w:spacing w:line="240" w:lineRule="auto"/>
              <w:jc w:val="center"/>
            </w:pPr>
          </w:p>
        </w:tc>
        <w:tc>
          <w:tcPr>
            <w:tcW w:w="1215" w:type="dxa"/>
            <w:shd w:val="clear" w:color="auto" w:fill="auto"/>
            <w:tcMar>
              <w:top w:w="100" w:type="dxa"/>
              <w:left w:w="100" w:type="dxa"/>
              <w:bottom w:w="100" w:type="dxa"/>
              <w:right w:w="100" w:type="dxa"/>
            </w:tcMar>
          </w:tcPr>
          <w:p w:rsidR="003A30E4" w:rsidRDefault="00C8458C">
            <w:pPr>
              <w:widowControl w:val="0"/>
              <w:spacing w:line="240" w:lineRule="auto"/>
              <w:jc w:val="center"/>
            </w:pPr>
            <w:r>
              <w:t>0.000495919</w:t>
            </w:r>
          </w:p>
          <w:p w:rsidR="003A30E4" w:rsidRDefault="003A30E4">
            <w:pPr>
              <w:widowControl w:val="0"/>
              <w:spacing w:line="240" w:lineRule="auto"/>
              <w:jc w:val="center"/>
            </w:pPr>
          </w:p>
          <w:p w:rsidR="003A30E4" w:rsidRDefault="003A30E4">
            <w:pPr>
              <w:widowControl w:val="0"/>
              <w:spacing w:line="240" w:lineRule="auto"/>
              <w:jc w:val="center"/>
            </w:pPr>
          </w:p>
        </w:tc>
        <w:tc>
          <w:tcPr>
            <w:tcW w:w="1500" w:type="dxa"/>
            <w:shd w:val="clear" w:color="auto" w:fill="auto"/>
            <w:tcMar>
              <w:top w:w="100" w:type="dxa"/>
              <w:left w:w="100" w:type="dxa"/>
              <w:bottom w:w="100" w:type="dxa"/>
              <w:right w:w="100" w:type="dxa"/>
            </w:tcMar>
          </w:tcPr>
          <w:p w:rsidR="003A30E4" w:rsidRDefault="00C8458C">
            <w:pPr>
              <w:widowControl w:val="0"/>
              <w:spacing w:line="240" w:lineRule="auto"/>
              <w:jc w:val="center"/>
            </w:pPr>
            <w:r>
              <w:t>0.000134367</w:t>
            </w:r>
          </w:p>
          <w:p w:rsidR="003A30E4" w:rsidRDefault="003A30E4">
            <w:pPr>
              <w:widowControl w:val="0"/>
              <w:spacing w:line="240" w:lineRule="auto"/>
              <w:jc w:val="center"/>
            </w:pPr>
          </w:p>
          <w:p w:rsidR="003A30E4" w:rsidRDefault="003A30E4">
            <w:pPr>
              <w:widowControl w:val="0"/>
              <w:spacing w:line="240" w:lineRule="auto"/>
              <w:jc w:val="center"/>
            </w:pPr>
          </w:p>
        </w:tc>
        <w:tc>
          <w:tcPr>
            <w:tcW w:w="1260" w:type="dxa"/>
            <w:shd w:val="clear" w:color="auto" w:fill="auto"/>
            <w:tcMar>
              <w:top w:w="100" w:type="dxa"/>
              <w:left w:w="100" w:type="dxa"/>
              <w:bottom w:w="100" w:type="dxa"/>
              <w:right w:w="100" w:type="dxa"/>
            </w:tcMar>
          </w:tcPr>
          <w:p w:rsidR="003A30E4" w:rsidRDefault="00C8458C">
            <w:pPr>
              <w:widowControl w:val="0"/>
              <w:spacing w:line="240" w:lineRule="auto"/>
              <w:jc w:val="center"/>
            </w:pPr>
            <w:r>
              <w:t>3.81303 E-05</w:t>
            </w:r>
          </w:p>
          <w:p w:rsidR="003A30E4" w:rsidRDefault="003A30E4">
            <w:pPr>
              <w:widowControl w:val="0"/>
              <w:spacing w:line="240" w:lineRule="auto"/>
              <w:jc w:val="center"/>
            </w:pPr>
          </w:p>
          <w:p w:rsidR="003A30E4" w:rsidRDefault="003A30E4">
            <w:pPr>
              <w:widowControl w:val="0"/>
              <w:spacing w:line="240" w:lineRule="auto"/>
              <w:jc w:val="center"/>
            </w:pPr>
          </w:p>
        </w:tc>
        <w:tc>
          <w:tcPr>
            <w:tcW w:w="1740" w:type="dxa"/>
            <w:shd w:val="clear" w:color="auto" w:fill="auto"/>
            <w:tcMar>
              <w:top w:w="100" w:type="dxa"/>
              <w:left w:w="100" w:type="dxa"/>
              <w:bottom w:w="100" w:type="dxa"/>
              <w:right w:w="100" w:type="dxa"/>
            </w:tcMar>
          </w:tcPr>
          <w:p w:rsidR="003A30E4" w:rsidRDefault="00C8458C">
            <w:pPr>
              <w:widowControl w:val="0"/>
              <w:spacing w:line="240" w:lineRule="auto"/>
              <w:jc w:val="center"/>
            </w:pPr>
            <w:r>
              <w:t>-8.57445E-06</w:t>
            </w:r>
          </w:p>
          <w:p w:rsidR="003A30E4" w:rsidRDefault="003A30E4">
            <w:pPr>
              <w:widowControl w:val="0"/>
              <w:spacing w:line="240" w:lineRule="auto"/>
              <w:jc w:val="center"/>
            </w:pPr>
          </w:p>
        </w:tc>
      </w:tr>
      <w:tr w:rsidR="003A30E4">
        <w:trPr>
          <w:trHeight w:val="1660"/>
        </w:trPr>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GODREJCP</w:t>
            </w:r>
          </w:p>
        </w:tc>
        <w:tc>
          <w:tcPr>
            <w:tcW w:w="1815" w:type="dxa"/>
            <w:shd w:val="clear" w:color="auto" w:fill="auto"/>
            <w:tcMar>
              <w:top w:w="100" w:type="dxa"/>
              <w:left w:w="100" w:type="dxa"/>
              <w:bottom w:w="100" w:type="dxa"/>
              <w:right w:w="100" w:type="dxa"/>
            </w:tcMar>
          </w:tcPr>
          <w:p w:rsidR="003A30E4" w:rsidRDefault="00C8458C">
            <w:pPr>
              <w:widowControl w:val="0"/>
              <w:spacing w:line="240" w:lineRule="auto"/>
              <w:jc w:val="center"/>
            </w:pPr>
            <w:r>
              <w:t>5.19581E-05</w:t>
            </w:r>
          </w:p>
          <w:p w:rsidR="003A30E4" w:rsidRDefault="003A30E4">
            <w:pPr>
              <w:widowControl w:val="0"/>
              <w:spacing w:line="240" w:lineRule="auto"/>
              <w:jc w:val="center"/>
            </w:pPr>
          </w:p>
          <w:p w:rsidR="003A30E4" w:rsidRDefault="003A30E4">
            <w:pPr>
              <w:widowControl w:val="0"/>
              <w:spacing w:line="240" w:lineRule="auto"/>
              <w:jc w:val="center"/>
            </w:pPr>
          </w:p>
        </w:tc>
        <w:tc>
          <w:tcPr>
            <w:tcW w:w="1215" w:type="dxa"/>
            <w:shd w:val="clear" w:color="auto" w:fill="auto"/>
            <w:tcMar>
              <w:top w:w="100" w:type="dxa"/>
              <w:left w:w="100" w:type="dxa"/>
              <w:bottom w:w="100" w:type="dxa"/>
              <w:right w:w="100" w:type="dxa"/>
            </w:tcMar>
          </w:tcPr>
          <w:p w:rsidR="003A30E4" w:rsidRDefault="00C8458C">
            <w:pPr>
              <w:widowControl w:val="0"/>
              <w:spacing w:line="240" w:lineRule="auto"/>
              <w:jc w:val="center"/>
            </w:pPr>
            <w:r>
              <w:t>0.000134367</w:t>
            </w:r>
          </w:p>
          <w:p w:rsidR="003A30E4" w:rsidRDefault="003A30E4">
            <w:pPr>
              <w:widowControl w:val="0"/>
              <w:spacing w:line="240" w:lineRule="auto"/>
              <w:jc w:val="center"/>
            </w:pPr>
          </w:p>
          <w:p w:rsidR="003A30E4" w:rsidRDefault="003A30E4">
            <w:pPr>
              <w:widowControl w:val="0"/>
              <w:spacing w:line="240" w:lineRule="auto"/>
              <w:jc w:val="center"/>
            </w:pPr>
          </w:p>
        </w:tc>
        <w:tc>
          <w:tcPr>
            <w:tcW w:w="1500" w:type="dxa"/>
            <w:shd w:val="clear" w:color="auto" w:fill="auto"/>
            <w:tcMar>
              <w:top w:w="100" w:type="dxa"/>
              <w:left w:w="100" w:type="dxa"/>
              <w:bottom w:w="100" w:type="dxa"/>
              <w:right w:w="100" w:type="dxa"/>
            </w:tcMar>
          </w:tcPr>
          <w:p w:rsidR="003A30E4" w:rsidRDefault="00C8458C">
            <w:pPr>
              <w:widowControl w:val="0"/>
              <w:spacing w:line="240" w:lineRule="auto"/>
              <w:jc w:val="center"/>
            </w:pPr>
            <w:r>
              <w:t>0.00063896</w:t>
            </w:r>
          </w:p>
          <w:p w:rsidR="003A30E4" w:rsidRDefault="003A30E4">
            <w:pPr>
              <w:widowControl w:val="0"/>
              <w:spacing w:line="240" w:lineRule="auto"/>
              <w:jc w:val="center"/>
            </w:pPr>
          </w:p>
        </w:tc>
        <w:tc>
          <w:tcPr>
            <w:tcW w:w="1260" w:type="dxa"/>
            <w:shd w:val="clear" w:color="auto" w:fill="auto"/>
            <w:tcMar>
              <w:top w:w="100" w:type="dxa"/>
              <w:left w:w="100" w:type="dxa"/>
              <w:bottom w:w="100" w:type="dxa"/>
              <w:right w:w="100" w:type="dxa"/>
            </w:tcMar>
          </w:tcPr>
          <w:p w:rsidR="003A30E4" w:rsidRDefault="00C8458C">
            <w:pPr>
              <w:widowControl w:val="0"/>
              <w:spacing w:line="240" w:lineRule="auto"/>
              <w:jc w:val="center"/>
            </w:pPr>
            <w:r>
              <w:t>0.000101972</w:t>
            </w:r>
          </w:p>
          <w:p w:rsidR="003A30E4" w:rsidRDefault="003A30E4">
            <w:pPr>
              <w:widowControl w:val="0"/>
              <w:spacing w:line="240" w:lineRule="auto"/>
              <w:jc w:val="center"/>
            </w:pPr>
          </w:p>
        </w:tc>
        <w:tc>
          <w:tcPr>
            <w:tcW w:w="1740" w:type="dxa"/>
            <w:shd w:val="clear" w:color="auto" w:fill="auto"/>
            <w:tcMar>
              <w:top w:w="100" w:type="dxa"/>
              <w:left w:w="100" w:type="dxa"/>
              <w:bottom w:w="100" w:type="dxa"/>
              <w:right w:w="100" w:type="dxa"/>
            </w:tcMar>
          </w:tcPr>
          <w:p w:rsidR="003A30E4" w:rsidRDefault="00C8458C">
            <w:pPr>
              <w:widowControl w:val="0"/>
              <w:spacing w:line="240" w:lineRule="auto"/>
              <w:jc w:val="center"/>
            </w:pPr>
            <w:r>
              <w:t>1.23158E-05</w:t>
            </w:r>
          </w:p>
          <w:p w:rsidR="003A30E4" w:rsidRDefault="003A30E4">
            <w:pPr>
              <w:widowControl w:val="0"/>
              <w:spacing w:line="240" w:lineRule="auto"/>
              <w:jc w:val="center"/>
            </w:pPr>
          </w:p>
          <w:p w:rsidR="003A30E4" w:rsidRDefault="003A30E4">
            <w:pPr>
              <w:widowControl w:val="0"/>
              <w:spacing w:line="240" w:lineRule="auto"/>
              <w:jc w:val="center"/>
            </w:pPr>
          </w:p>
        </w:tc>
      </w:tr>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JKPAPER</w:t>
            </w:r>
          </w:p>
        </w:tc>
        <w:tc>
          <w:tcPr>
            <w:tcW w:w="1815" w:type="dxa"/>
            <w:shd w:val="clear" w:color="auto" w:fill="auto"/>
            <w:tcMar>
              <w:top w:w="100" w:type="dxa"/>
              <w:left w:w="100" w:type="dxa"/>
              <w:bottom w:w="100" w:type="dxa"/>
              <w:right w:w="100" w:type="dxa"/>
            </w:tcMar>
          </w:tcPr>
          <w:p w:rsidR="003A30E4" w:rsidRDefault="00C8458C">
            <w:pPr>
              <w:widowControl w:val="0"/>
              <w:spacing w:line="240" w:lineRule="auto"/>
              <w:jc w:val="center"/>
            </w:pPr>
            <w:r>
              <w:t>3.93996E-05</w:t>
            </w:r>
          </w:p>
          <w:p w:rsidR="003A30E4" w:rsidRDefault="003A30E4">
            <w:pPr>
              <w:widowControl w:val="0"/>
              <w:spacing w:line="240" w:lineRule="auto"/>
              <w:jc w:val="center"/>
            </w:pPr>
          </w:p>
        </w:tc>
        <w:tc>
          <w:tcPr>
            <w:tcW w:w="1215" w:type="dxa"/>
            <w:shd w:val="clear" w:color="auto" w:fill="auto"/>
            <w:tcMar>
              <w:top w:w="100" w:type="dxa"/>
              <w:left w:w="100" w:type="dxa"/>
              <w:bottom w:w="100" w:type="dxa"/>
              <w:right w:w="100" w:type="dxa"/>
            </w:tcMar>
          </w:tcPr>
          <w:p w:rsidR="003A30E4" w:rsidRDefault="00C8458C">
            <w:pPr>
              <w:widowControl w:val="0"/>
              <w:spacing w:line="240" w:lineRule="auto"/>
              <w:jc w:val="center"/>
            </w:pPr>
            <w:r>
              <w:t>3.81303 E-05</w:t>
            </w:r>
          </w:p>
          <w:p w:rsidR="003A30E4" w:rsidRDefault="003A30E4">
            <w:pPr>
              <w:widowControl w:val="0"/>
              <w:spacing w:line="240" w:lineRule="auto"/>
              <w:jc w:val="center"/>
            </w:pPr>
          </w:p>
          <w:p w:rsidR="003A30E4" w:rsidRDefault="003A30E4">
            <w:pPr>
              <w:widowControl w:val="0"/>
              <w:spacing w:line="240" w:lineRule="auto"/>
              <w:jc w:val="center"/>
            </w:pPr>
          </w:p>
        </w:tc>
        <w:tc>
          <w:tcPr>
            <w:tcW w:w="1500" w:type="dxa"/>
            <w:shd w:val="clear" w:color="auto" w:fill="auto"/>
            <w:tcMar>
              <w:top w:w="100" w:type="dxa"/>
              <w:left w:w="100" w:type="dxa"/>
              <w:bottom w:w="100" w:type="dxa"/>
              <w:right w:w="100" w:type="dxa"/>
            </w:tcMar>
          </w:tcPr>
          <w:p w:rsidR="003A30E4" w:rsidRDefault="00C8458C">
            <w:pPr>
              <w:widowControl w:val="0"/>
              <w:spacing w:line="240" w:lineRule="auto"/>
              <w:jc w:val="center"/>
            </w:pPr>
            <w:r>
              <w:t>0.000101972</w:t>
            </w:r>
          </w:p>
          <w:p w:rsidR="003A30E4" w:rsidRDefault="003A30E4">
            <w:pPr>
              <w:widowControl w:val="0"/>
              <w:spacing w:line="240" w:lineRule="auto"/>
              <w:jc w:val="center"/>
            </w:pPr>
          </w:p>
          <w:p w:rsidR="003A30E4" w:rsidRDefault="003A30E4">
            <w:pPr>
              <w:widowControl w:val="0"/>
              <w:spacing w:line="240" w:lineRule="auto"/>
              <w:jc w:val="center"/>
            </w:pPr>
          </w:p>
        </w:tc>
        <w:tc>
          <w:tcPr>
            <w:tcW w:w="1260" w:type="dxa"/>
            <w:shd w:val="clear" w:color="auto" w:fill="auto"/>
            <w:tcMar>
              <w:top w:w="100" w:type="dxa"/>
              <w:left w:w="100" w:type="dxa"/>
              <w:bottom w:w="100" w:type="dxa"/>
              <w:right w:w="100" w:type="dxa"/>
            </w:tcMar>
          </w:tcPr>
          <w:p w:rsidR="003A30E4" w:rsidRDefault="00C8458C">
            <w:pPr>
              <w:widowControl w:val="0"/>
              <w:spacing w:line="240" w:lineRule="auto"/>
              <w:jc w:val="center"/>
            </w:pPr>
            <w:r>
              <w:t>0.000551577</w:t>
            </w:r>
          </w:p>
          <w:p w:rsidR="003A30E4" w:rsidRDefault="003A30E4">
            <w:pPr>
              <w:widowControl w:val="0"/>
              <w:spacing w:line="240" w:lineRule="auto"/>
              <w:jc w:val="center"/>
            </w:pPr>
          </w:p>
          <w:p w:rsidR="003A30E4" w:rsidRDefault="003A30E4">
            <w:pPr>
              <w:widowControl w:val="0"/>
              <w:spacing w:line="240" w:lineRule="auto"/>
              <w:jc w:val="center"/>
            </w:pPr>
          </w:p>
        </w:tc>
        <w:tc>
          <w:tcPr>
            <w:tcW w:w="1740" w:type="dxa"/>
            <w:shd w:val="clear" w:color="auto" w:fill="auto"/>
            <w:tcMar>
              <w:top w:w="100" w:type="dxa"/>
              <w:left w:w="100" w:type="dxa"/>
              <w:bottom w:w="100" w:type="dxa"/>
              <w:right w:w="100" w:type="dxa"/>
            </w:tcMar>
          </w:tcPr>
          <w:p w:rsidR="003A30E4" w:rsidRDefault="00C8458C">
            <w:pPr>
              <w:widowControl w:val="0"/>
              <w:spacing w:line="240" w:lineRule="auto"/>
              <w:jc w:val="center"/>
            </w:pPr>
            <w:r>
              <w:t>-4.97248E-06</w:t>
            </w:r>
          </w:p>
          <w:p w:rsidR="003A30E4" w:rsidRDefault="003A30E4">
            <w:pPr>
              <w:widowControl w:val="0"/>
              <w:spacing w:line="240" w:lineRule="auto"/>
              <w:jc w:val="center"/>
            </w:pPr>
          </w:p>
          <w:p w:rsidR="003A30E4" w:rsidRDefault="003A30E4">
            <w:pPr>
              <w:widowControl w:val="0"/>
              <w:spacing w:line="240" w:lineRule="auto"/>
              <w:jc w:val="center"/>
            </w:pPr>
          </w:p>
        </w:tc>
      </w:tr>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 xml:space="preserve">OBEROIRLTY </w:t>
            </w:r>
          </w:p>
        </w:tc>
        <w:tc>
          <w:tcPr>
            <w:tcW w:w="1815" w:type="dxa"/>
            <w:shd w:val="clear" w:color="auto" w:fill="auto"/>
            <w:tcMar>
              <w:top w:w="100" w:type="dxa"/>
              <w:left w:w="100" w:type="dxa"/>
              <w:bottom w:w="100" w:type="dxa"/>
              <w:right w:w="100" w:type="dxa"/>
            </w:tcMar>
          </w:tcPr>
          <w:p w:rsidR="003A30E4" w:rsidRDefault="00C8458C">
            <w:pPr>
              <w:widowControl w:val="0"/>
              <w:spacing w:line="240" w:lineRule="auto"/>
              <w:jc w:val="center"/>
            </w:pPr>
            <w:r>
              <w:t>-1.31321E-06</w:t>
            </w:r>
          </w:p>
          <w:p w:rsidR="003A30E4" w:rsidRDefault="003A30E4">
            <w:pPr>
              <w:widowControl w:val="0"/>
              <w:spacing w:line="240" w:lineRule="auto"/>
              <w:jc w:val="center"/>
            </w:pPr>
          </w:p>
          <w:p w:rsidR="003A30E4" w:rsidRDefault="003A30E4">
            <w:pPr>
              <w:widowControl w:val="0"/>
              <w:spacing w:line="240" w:lineRule="auto"/>
              <w:jc w:val="center"/>
            </w:pPr>
          </w:p>
        </w:tc>
        <w:tc>
          <w:tcPr>
            <w:tcW w:w="1215" w:type="dxa"/>
            <w:shd w:val="clear" w:color="auto" w:fill="auto"/>
            <w:tcMar>
              <w:top w:w="100" w:type="dxa"/>
              <w:left w:w="100" w:type="dxa"/>
              <w:bottom w:w="100" w:type="dxa"/>
              <w:right w:w="100" w:type="dxa"/>
            </w:tcMar>
          </w:tcPr>
          <w:p w:rsidR="003A30E4" w:rsidRDefault="00C8458C">
            <w:pPr>
              <w:widowControl w:val="0"/>
              <w:spacing w:line="240" w:lineRule="auto"/>
              <w:jc w:val="center"/>
            </w:pPr>
            <w:r>
              <w:t>-8.57445 E-06</w:t>
            </w:r>
          </w:p>
          <w:p w:rsidR="003A30E4" w:rsidRDefault="003A30E4">
            <w:pPr>
              <w:widowControl w:val="0"/>
              <w:spacing w:line="240" w:lineRule="auto"/>
              <w:jc w:val="center"/>
            </w:pPr>
          </w:p>
          <w:p w:rsidR="003A30E4" w:rsidRDefault="003A30E4">
            <w:pPr>
              <w:widowControl w:val="0"/>
              <w:spacing w:line="240" w:lineRule="auto"/>
              <w:jc w:val="center"/>
            </w:pPr>
          </w:p>
        </w:tc>
        <w:tc>
          <w:tcPr>
            <w:tcW w:w="1500" w:type="dxa"/>
            <w:shd w:val="clear" w:color="auto" w:fill="auto"/>
            <w:tcMar>
              <w:top w:w="100" w:type="dxa"/>
              <w:left w:w="100" w:type="dxa"/>
              <w:bottom w:w="100" w:type="dxa"/>
              <w:right w:w="100" w:type="dxa"/>
            </w:tcMar>
          </w:tcPr>
          <w:p w:rsidR="003A30E4" w:rsidRDefault="00C8458C">
            <w:pPr>
              <w:widowControl w:val="0"/>
              <w:spacing w:line="240" w:lineRule="auto"/>
              <w:jc w:val="center"/>
            </w:pPr>
            <w:r>
              <w:t>1.23158E-05</w:t>
            </w:r>
          </w:p>
          <w:p w:rsidR="003A30E4" w:rsidRDefault="003A30E4">
            <w:pPr>
              <w:widowControl w:val="0"/>
              <w:spacing w:line="240" w:lineRule="auto"/>
              <w:jc w:val="center"/>
            </w:pPr>
          </w:p>
        </w:tc>
        <w:tc>
          <w:tcPr>
            <w:tcW w:w="1260" w:type="dxa"/>
            <w:shd w:val="clear" w:color="auto" w:fill="auto"/>
            <w:tcMar>
              <w:top w:w="100" w:type="dxa"/>
              <w:left w:w="100" w:type="dxa"/>
              <w:bottom w:w="100" w:type="dxa"/>
              <w:right w:w="100" w:type="dxa"/>
            </w:tcMar>
          </w:tcPr>
          <w:p w:rsidR="003A30E4" w:rsidRDefault="00C8458C">
            <w:pPr>
              <w:widowControl w:val="0"/>
              <w:spacing w:line="240" w:lineRule="auto"/>
              <w:jc w:val="center"/>
            </w:pPr>
            <w:r>
              <w:t>-4.97248 E-06</w:t>
            </w:r>
          </w:p>
          <w:p w:rsidR="003A30E4" w:rsidRDefault="003A30E4">
            <w:pPr>
              <w:widowControl w:val="0"/>
              <w:spacing w:line="240" w:lineRule="auto"/>
              <w:jc w:val="center"/>
            </w:pPr>
          </w:p>
        </w:tc>
        <w:tc>
          <w:tcPr>
            <w:tcW w:w="1740" w:type="dxa"/>
            <w:shd w:val="clear" w:color="auto" w:fill="auto"/>
            <w:tcMar>
              <w:top w:w="100" w:type="dxa"/>
              <w:left w:w="100" w:type="dxa"/>
              <w:bottom w:w="100" w:type="dxa"/>
              <w:right w:w="100" w:type="dxa"/>
            </w:tcMar>
          </w:tcPr>
          <w:p w:rsidR="003A30E4" w:rsidRDefault="00C8458C">
            <w:pPr>
              <w:widowControl w:val="0"/>
              <w:spacing w:line="240" w:lineRule="auto"/>
              <w:jc w:val="center"/>
            </w:pPr>
            <w:r>
              <w:t>7.58694E-05</w:t>
            </w:r>
          </w:p>
          <w:p w:rsidR="003A30E4" w:rsidRDefault="003A30E4">
            <w:pPr>
              <w:widowControl w:val="0"/>
              <w:spacing w:line="240" w:lineRule="auto"/>
              <w:jc w:val="center"/>
            </w:pPr>
          </w:p>
          <w:p w:rsidR="003A30E4" w:rsidRDefault="003A30E4">
            <w:pPr>
              <w:widowControl w:val="0"/>
              <w:spacing w:line="240" w:lineRule="auto"/>
              <w:jc w:val="center"/>
            </w:pPr>
          </w:p>
        </w:tc>
      </w:tr>
    </w:tbl>
    <w:p w:rsidR="003A30E4" w:rsidRDefault="003A30E4">
      <w:pPr>
        <w:rPr>
          <w:rFonts w:ascii="Times New Roman" w:eastAsia="Times New Roman" w:hAnsi="Times New Roman" w:cs="Times New Roman"/>
          <w:sz w:val="28"/>
          <w:szCs w:val="28"/>
        </w:rPr>
      </w:pPr>
    </w:p>
    <w:p w:rsidR="003A30E4" w:rsidRDefault="00C8458C">
      <w:pPr>
        <w:pStyle w:val="Heading3"/>
        <w:keepNext w:val="0"/>
        <w:keepLines w:val="0"/>
        <w:spacing w:before="0" w:after="0" w:line="271" w:lineRule="auto"/>
        <w:ind w:left="100" w:right="140"/>
        <w:jc w:val="both"/>
        <w:rPr>
          <w:rFonts w:ascii="Times New Roman" w:eastAsia="Times New Roman" w:hAnsi="Times New Roman" w:cs="Times New Roman"/>
          <w:color w:val="000000"/>
        </w:rPr>
      </w:pPr>
      <w:bookmarkStart w:id="9" w:name="_mg0ovn4nj7sz" w:colFirst="0" w:colLast="0"/>
      <w:bookmarkEnd w:id="9"/>
      <w:r>
        <w:rPr>
          <w:rFonts w:ascii="Times New Roman" w:eastAsia="Times New Roman" w:hAnsi="Times New Roman" w:cs="Times New Roman"/>
          <w:color w:val="000000"/>
        </w:rPr>
        <w:t xml:space="preserve">For the financial year 14-15, in the equally weighted portfolio, return, standard deviation and </w:t>
      </w:r>
      <w:proofErr w:type="spellStart"/>
      <w:r>
        <w:rPr>
          <w:rFonts w:ascii="Times New Roman" w:eastAsia="Times New Roman" w:hAnsi="Times New Roman" w:cs="Times New Roman"/>
          <w:color w:val="000000"/>
        </w:rPr>
        <w:t>sharpe</w:t>
      </w:r>
      <w:proofErr w:type="spellEnd"/>
      <w:r>
        <w:rPr>
          <w:rFonts w:ascii="Times New Roman" w:eastAsia="Times New Roman" w:hAnsi="Times New Roman" w:cs="Times New Roman"/>
          <w:color w:val="000000"/>
        </w:rPr>
        <w:t xml:space="preserve"> ratio were 0.215, 0.199 and 0.726 respectively, while in the optimal portfolio, return decreased to 0.127, risk increases to .293 and </w:t>
      </w:r>
      <w:proofErr w:type="spellStart"/>
      <w:r>
        <w:rPr>
          <w:rFonts w:ascii="Times New Roman" w:eastAsia="Times New Roman" w:hAnsi="Times New Roman" w:cs="Times New Roman"/>
          <w:color w:val="000000"/>
        </w:rPr>
        <w:t>sharpe</w:t>
      </w:r>
      <w:proofErr w:type="spellEnd"/>
      <w:r>
        <w:rPr>
          <w:rFonts w:ascii="Times New Roman" w:eastAsia="Times New Roman" w:hAnsi="Times New Roman" w:cs="Times New Roman"/>
          <w:color w:val="000000"/>
        </w:rPr>
        <w:t xml:space="preserve"> ratio decreased to 0.1963.</w:t>
      </w:r>
    </w:p>
    <w:p w:rsidR="003A30E4" w:rsidRDefault="00C8458C">
      <w:pPr>
        <w:pStyle w:val="Heading3"/>
        <w:keepNext w:val="0"/>
        <w:keepLines w:val="0"/>
        <w:spacing w:before="160" w:after="0" w:line="271" w:lineRule="auto"/>
        <w:ind w:left="100" w:right="140"/>
        <w:jc w:val="both"/>
        <w:rPr>
          <w:rFonts w:ascii="Times New Roman" w:eastAsia="Times New Roman" w:hAnsi="Times New Roman" w:cs="Times New Roman"/>
          <w:color w:val="000000"/>
        </w:rPr>
      </w:pPr>
      <w:bookmarkStart w:id="10" w:name="_7cvr16t523al" w:colFirst="0" w:colLast="0"/>
      <w:bookmarkEnd w:id="10"/>
      <w:r>
        <w:rPr>
          <w:rFonts w:ascii="Times New Roman" w:eastAsia="Times New Roman" w:hAnsi="Times New Roman" w:cs="Times New Roman"/>
          <w:color w:val="000000"/>
        </w:rPr>
        <w:t xml:space="preserve">Here, the usage of optimal weights rather than equal weights has decreased the return, increased the standard deviation and decreased the </w:t>
      </w:r>
      <w:proofErr w:type="spellStart"/>
      <w:r>
        <w:rPr>
          <w:rFonts w:ascii="Times New Roman" w:eastAsia="Times New Roman" w:hAnsi="Times New Roman" w:cs="Times New Roman"/>
          <w:color w:val="000000"/>
        </w:rPr>
        <w:t>sharpe</w:t>
      </w:r>
      <w:proofErr w:type="spellEnd"/>
      <w:r>
        <w:rPr>
          <w:rFonts w:ascii="Times New Roman" w:eastAsia="Times New Roman" w:hAnsi="Times New Roman" w:cs="Times New Roman"/>
          <w:color w:val="000000"/>
        </w:rPr>
        <w:t xml:space="preserve"> ratio considerably. This implies that the return over risk free investment is superior in case of equal portfolio though a bit riskier.</w:t>
      </w:r>
    </w:p>
    <w:p w:rsidR="003A30E4" w:rsidRDefault="00C8458C">
      <w:pPr>
        <w:rPr>
          <w:rFonts w:ascii="Times New Roman" w:eastAsia="Times New Roman" w:hAnsi="Times New Roman" w:cs="Times New Roman"/>
          <w:sz w:val="28"/>
          <w:szCs w:val="28"/>
        </w:rPr>
      </w:pPr>
      <w:r>
        <w:br w:type="page"/>
      </w:r>
    </w:p>
    <w:p w:rsidR="003A30E4" w:rsidRDefault="003A30E4">
      <w:pPr>
        <w:rPr>
          <w:rFonts w:ascii="Times New Roman" w:eastAsia="Times New Roman" w:hAnsi="Times New Roman" w:cs="Times New Roman"/>
          <w:sz w:val="24"/>
          <w:szCs w:val="24"/>
        </w:rPr>
      </w:pPr>
    </w:p>
    <w:p w:rsidR="003A30E4" w:rsidRDefault="00C8458C">
      <w:pPr>
        <w:pStyle w:val="Heading3"/>
        <w:keepNext w:val="0"/>
        <w:keepLines w:val="0"/>
        <w:spacing w:before="280"/>
        <w:rPr>
          <w:rFonts w:ascii="Times New Roman" w:eastAsia="Times New Roman" w:hAnsi="Times New Roman" w:cs="Times New Roman"/>
          <w:b/>
          <w:color w:val="000000"/>
        </w:rPr>
      </w:pPr>
      <w:bookmarkStart w:id="11" w:name="_c8i84626h6sn" w:colFirst="0" w:colLast="0"/>
      <w:bookmarkEnd w:id="11"/>
      <w:r>
        <w:rPr>
          <w:rFonts w:ascii="Times New Roman" w:eastAsia="Times New Roman" w:hAnsi="Times New Roman" w:cs="Times New Roman"/>
          <w:b/>
          <w:color w:val="000000"/>
          <w:sz w:val="26"/>
          <w:szCs w:val="26"/>
        </w:rPr>
        <w:t xml:space="preserve">3)    </w:t>
      </w:r>
      <w:r>
        <w:rPr>
          <w:rFonts w:ascii="Times New Roman" w:eastAsia="Times New Roman" w:hAnsi="Times New Roman" w:cs="Times New Roman"/>
          <w:b/>
          <w:color w:val="000000"/>
        </w:rPr>
        <w:t>Analysis of Portfolio in FY 2015-16:</w:t>
      </w:r>
    </w:p>
    <w:p w:rsidR="003A30E4" w:rsidRDefault="003A30E4">
      <w:pPr>
        <w:rPr>
          <w:rFonts w:ascii="Times New Roman" w:eastAsia="Times New Roman" w:hAnsi="Times New Roman" w:cs="Times New Roman"/>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A30E4">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Companies in Portfolio</w:t>
            </w:r>
          </w:p>
        </w:tc>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Annualized Returns</w:t>
            </w:r>
          </w:p>
        </w:tc>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Equal Weights</w:t>
            </w:r>
          </w:p>
        </w:tc>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Optimal Weights</w:t>
            </w:r>
          </w:p>
        </w:tc>
      </w:tr>
      <w:tr w:rsidR="003A30E4">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Chennai Petroleum Corporation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Calibri" w:eastAsia="Calibri" w:hAnsi="Calibri" w:cs="Calibri"/>
              </w:rPr>
              <w:t>2.741389302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0B673B" w:rsidRDefault="000B673B" w:rsidP="000B673B">
            <w:pPr>
              <w:jc w:val="center"/>
              <w:rPr>
                <w:rFonts w:ascii="Calibri" w:hAnsi="Calibri" w:cs="Calibri"/>
                <w:color w:val="000000"/>
              </w:rPr>
            </w:pPr>
            <w:r>
              <w:rPr>
                <w:rFonts w:ascii="Calibri" w:hAnsi="Calibri" w:cs="Calibri"/>
                <w:color w:val="000000"/>
              </w:rPr>
              <w:t>0.77081203</w:t>
            </w:r>
          </w:p>
          <w:p w:rsidR="003A30E4" w:rsidRDefault="003A30E4">
            <w:pPr>
              <w:widowControl w:val="0"/>
              <w:jc w:val="center"/>
              <w:rPr>
                <w:rFonts w:ascii="Times New Roman" w:eastAsia="Times New Roman" w:hAnsi="Times New Roman" w:cs="Times New Roman"/>
              </w:rPr>
            </w:pPr>
          </w:p>
        </w:tc>
      </w:tr>
      <w:tr w:rsidR="003A30E4">
        <w:tc>
          <w:tcPr>
            <w:tcW w:w="2340" w:type="dxa"/>
            <w:shd w:val="clear" w:color="auto" w:fill="auto"/>
            <w:tcMar>
              <w:top w:w="100" w:type="dxa"/>
              <w:left w:w="100" w:type="dxa"/>
              <w:bottom w:w="100" w:type="dxa"/>
              <w:right w:w="100" w:type="dxa"/>
            </w:tcMar>
          </w:tcPr>
          <w:p w:rsidR="003A30E4" w:rsidRDefault="00C8458C">
            <w:pPr>
              <w:widowControl w:val="0"/>
              <w:rPr>
                <w:b/>
              </w:rPr>
            </w:pPr>
            <w:r>
              <w:rPr>
                <w:rFonts w:ascii="Times New Roman" w:eastAsia="Times New Roman" w:hAnsi="Times New Roman" w:cs="Times New Roman"/>
                <w:b/>
              </w:rPr>
              <w:t>Oberoi Realty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Calibri" w:eastAsia="Calibri" w:hAnsi="Calibri" w:cs="Calibri"/>
              </w:rPr>
              <w:t>-0.08851396938</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0B673B">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Godrej Consumer Products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0.2873225822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0B673B" w:rsidRDefault="000B673B" w:rsidP="000B673B">
            <w:pPr>
              <w:jc w:val="center"/>
              <w:rPr>
                <w:rFonts w:ascii="Calibri" w:hAnsi="Calibri" w:cs="Calibri"/>
                <w:color w:val="000000"/>
              </w:rPr>
            </w:pPr>
            <w:r>
              <w:rPr>
                <w:rFonts w:ascii="Calibri" w:hAnsi="Calibri" w:cs="Calibri"/>
                <w:color w:val="000000"/>
              </w:rPr>
              <w:t>0.22918797</w:t>
            </w:r>
          </w:p>
          <w:p w:rsidR="003A30E4" w:rsidRDefault="003A30E4">
            <w:pPr>
              <w:widowControl w:val="0"/>
              <w:jc w:val="center"/>
              <w:rPr>
                <w:rFonts w:ascii="Times New Roman" w:eastAsia="Times New Roman" w:hAnsi="Times New Roman" w:cs="Times New Roman"/>
              </w:rPr>
            </w:pPr>
          </w:p>
        </w:tc>
      </w:tr>
      <w:tr w:rsidR="003A30E4">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JK paper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Calibri" w:eastAsia="Calibri" w:hAnsi="Calibri" w:cs="Calibri"/>
              </w:rPr>
              <w:t>0.2997080937</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0B673B">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b/>
              </w:rPr>
              <w:t>Fortis Healthcare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Calibri" w:eastAsia="Calibri" w:hAnsi="Calibri" w:cs="Calibri"/>
              </w:rPr>
              <w:t>0.1524198797</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0B673B">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Portfolio return</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Pr="0030651A" w:rsidRDefault="0030651A" w:rsidP="0030651A">
            <w:pPr>
              <w:jc w:val="center"/>
              <w:rPr>
                <w:rFonts w:ascii="Calibri" w:hAnsi="Calibri" w:cs="Calibri"/>
                <w:color w:val="000000"/>
              </w:rPr>
            </w:pPr>
            <w:r>
              <w:rPr>
                <w:rFonts w:ascii="Calibri" w:hAnsi="Calibri" w:cs="Calibri"/>
                <w:color w:val="000000"/>
              </w:rPr>
              <w:t>0.69732</w:t>
            </w:r>
          </w:p>
        </w:tc>
        <w:tc>
          <w:tcPr>
            <w:tcW w:w="234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Pr="000C0499" w:rsidRDefault="000C0499" w:rsidP="000C0499">
            <w:pPr>
              <w:jc w:val="center"/>
              <w:rPr>
                <w:rFonts w:ascii="Calibri" w:hAnsi="Calibri" w:cs="Calibri"/>
                <w:color w:val="000000"/>
              </w:rPr>
            </w:pPr>
            <w:r>
              <w:rPr>
                <w:rFonts w:ascii="Calibri" w:hAnsi="Calibri" w:cs="Calibri"/>
                <w:color w:val="000000"/>
              </w:rPr>
              <w:t>2.137454</w:t>
            </w:r>
          </w:p>
        </w:tc>
      </w:tr>
      <w:tr w:rsidR="003A30E4">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Portfolio standard Deviation</w:t>
            </w:r>
          </w:p>
        </w:tc>
        <w:tc>
          <w:tcPr>
            <w:tcW w:w="2340" w:type="dxa"/>
            <w:shd w:val="clear" w:color="auto" w:fill="auto"/>
            <w:tcMar>
              <w:top w:w="100" w:type="dxa"/>
              <w:left w:w="100" w:type="dxa"/>
              <w:bottom w:w="100" w:type="dxa"/>
              <w:right w:w="100" w:type="dxa"/>
            </w:tcMar>
          </w:tcPr>
          <w:p w:rsidR="003A30E4" w:rsidRDefault="000F5301">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Pr="0030651A" w:rsidRDefault="0030651A" w:rsidP="0030651A">
            <w:pPr>
              <w:jc w:val="center"/>
              <w:rPr>
                <w:rFonts w:ascii="Calibri" w:hAnsi="Calibri" w:cs="Calibri"/>
                <w:color w:val="000000"/>
              </w:rPr>
            </w:pPr>
            <w:r>
              <w:rPr>
                <w:rFonts w:ascii="Calibri" w:hAnsi="Calibri" w:cs="Calibri"/>
                <w:color w:val="000000"/>
              </w:rPr>
              <w:t>0.283385</w:t>
            </w:r>
          </w:p>
        </w:tc>
        <w:tc>
          <w:tcPr>
            <w:tcW w:w="234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Pr="000C0499" w:rsidRDefault="000C0499" w:rsidP="000C0499">
            <w:pPr>
              <w:jc w:val="center"/>
              <w:rPr>
                <w:rFonts w:ascii="Calibri" w:hAnsi="Calibri" w:cs="Calibri"/>
                <w:color w:val="000000"/>
              </w:rPr>
            </w:pPr>
            <w:r>
              <w:rPr>
                <w:rFonts w:ascii="Calibri" w:hAnsi="Calibri" w:cs="Calibri"/>
                <w:color w:val="000000"/>
              </w:rPr>
              <w:t>0.546973</w:t>
            </w:r>
          </w:p>
        </w:tc>
      </w:tr>
      <w:tr w:rsidR="003A30E4">
        <w:tc>
          <w:tcPr>
            <w:tcW w:w="2340" w:type="dxa"/>
            <w:shd w:val="clear" w:color="auto" w:fill="auto"/>
            <w:tcMar>
              <w:top w:w="100" w:type="dxa"/>
              <w:left w:w="100" w:type="dxa"/>
              <w:bottom w:w="100" w:type="dxa"/>
              <w:right w:w="100" w:type="dxa"/>
            </w:tcMar>
          </w:tcPr>
          <w:p w:rsidR="003A30E4" w:rsidRDefault="00C8458C">
            <w:pPr>
              <w:widowControl w:val="0"/>
              <w:rPr>
                <w:rFonts w:ascii="Times New Roman" w:eastAsia="Times New Roman" w:hAnsi="Times New Roman" w:cs="Times New Roman"/>
                <w:b/>
              </w:rPr>
            </w:pPr>
            <w:r>
              <w:rPr>
                <w:rFonts w:ascii="Times New Roman" w:eastAsia="Times New Roman" w:hAnsi="Times New Roman" w:cs="Times New Roman"/>
                <w:b/>
              </w:rPr>
              <w:t>Portfolio Sharpe ratio</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Pr="0030651A" w:rsidRDefault="0030651A" w:rsidP="0030651A">
            <w:pPr>
              <w:jc w:val="center"/>
              <w:rPr>
                <w:rFonts w:ascii="Calibri" w:hAnsi="Calibri" w:cs="Calibri"/>
                <w:color w:val="000000"/>
              </w:rPr>
            </w:pPr>
            <w:r>
              <w:rPr>
                <w:rFonts w:ascii="Calibri" w:hAnsi="Calibri" w:cs="Calibri"/>
                <w:color w:val="000000"/>
              </w:rPr>
              <w:t>2.213672</w:t>
            </w:r>
          </w:p>
        </w:tc>
        <w:tc>
          <w:tcPr>
            <w:tcW w:w="234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Pr="000C0499" w:rsidRDefault="000C0499" w:rsidP="000C0499">
            <w:pPr>
              <w:jc w:val="center"/>
              <w:rPr>
                <w:rFonts w:ascii="Calibri" w:hAnsi="Calibri" w:cs="Calibri"/>
                <w:color w:val="000000"/>
              </w:rPr>
            </w:pPr>
            <w:r>
              <w:rPr>
                <w:rFonts w:ascii="Calibri" w:hAnsi="Calibri" w:cs="Calibri"/>
                <w:color w:val="000000"/>
              </w:rPr>
              <w:t>3.779807</w:t>
            </w:r>
          </w:p>
        </w:tc>
      </w:tr>
    </w:tbl>
    <w:p w:rsidR="003A30E4" w:rsidRDefault="003A30E4">
      <w:pPr>
        <w:rPr>
          <w:rFonts w:ascii="Times New Roman" w:eastAsia="Times New Roman" w:hAnsi="Times New Roman" w:cs="Times New Roman"/>
          <w:sz w:val="24"/>
          <w:szCs w:val="24"/>
        </w:rPr>
      </w:pPr>
    </w:p>
    <w:p w:rsidR="003A30E4" w:rsidRDefault="003A30E4">
      <w:pPr>
        <w:pStyle w:val="Heading3"/>
        <w:keepNext w:val="0"/>
        <w:keepLines w:val="0"/>
        <w:spacing w:before="280"/>
        <w:rPr>
          <w:rFonts w:ascii="Times New Roman" w:eastAsia="Times New Roman" w:hAnsi="Times New Roman" w:cs="Times New Roman"/>
          <w:b/>
          <w:color w:val="000000"/>
          <w:sz w:val="26"/>
          <w:szCs w:val="26"/>
        </w:rPr>
      </w:pPr>
      <w:bookmarkStart w:id="12" w:name="_fy8vszhgaur1" w:colFirst="0" w:colLast="0"/>
      <w:bookmarkEnd w:id="12"/>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standard deviation of portfolio consisting of N assets can be calculated as follows:</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543300" cy="6572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43300" cy="657225"/>
                    </a:xfrm>
                    <a:prstGeom prst="rect">
                      <a:avLst/>
                    </a:prstGeom>
                    <a:ln/>
                  </pic:spPr>
                </pic:pic>
              </a:graphicData>
            </a:graphic>
          </wp:inline>
        </w:drawing>
      </w:r>
    </w:p>
    <w:p w:rsidR="003A30E4" w:rsidRDefault="00C8458C">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where</w:t>
      </w:r>
      <w:proofErr w:type="gramEnd"/>
      <w:r>
        <w:rPr>
          <w:rFonts w:ascii="Times New Roman" w:eastAsia="Times New Roman" w:hAnsi="Times New Roman" w:cs="Times New Roman"/>
          <w:sz w:val="28"/>
          <w:szCs w:val="28"/>
        </w:rPr>
        <w:t xml:space="preserve"> N is a number of assets in a portfolio, </w:t>
      </w:r>
      <w:proofErr w:type="spell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rPr>
        <w:t xml:space="preserve"> is a proportion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in a portfolio, </w:t>
      </w:r>
      <w:proofErr w:type="spellStart"/>
      <w:r>
        <w:rPr>
          <w:rFonts w:ascii="Times New Roman" w:eastAsia="Times New Roman" w:hAnsi="Times New Roman" w:cs="Times New Roman"/>
          <w:sz w:val="28"/>
          <w:szCs w:val="28"/>
        </w:rPr>
        <w:t>w</w:t>
      </w:r>
      <w:r>
        <w:rPr>
          <w:rFonts w:ascii="Times New Roman" w:eastAsia="Times New Roman" w:hAnsi="Times New Roman" w:cs="Times New Roman"/>
          <w:sz w:val="28"/>
          <w:szCs w:val="28"/>
          <w:vertAlign w:val="subscript"/>
        </w:rPr>
        <w:t>j</w:t>
      </w:r>
      <w:proofErr w:type="spellEnd"/>
      <w:r>
        <w:rPr>
          <w:rFonts w:ascii="Times New Roman" w:eastAsia="Times New Roman" w:hAnsi="Times New Roman" w:cs="Times New Roman"/>
          <w:sz w:val="28"/>
          <w:szCs w:val="28"/>
        </w:rPr>
        <w:t xml:space="preserve"> is a proportion of </w:t>
      </w:r>
      <w:proofErr w:type="spellStart"/>
      <w:r>
        <w:rPr>
          <w:rFonts w:ascii="Times New Roman" w:eastAsia="Times New Roman" w:hAnsi="Times New Roman" w:cs="Times New Roman"/>
          <w:i/>
          <w:sz w:val="28"/>
          <w:szCs w:val="28"/>
        </w:rPr>
        <w:t>j</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in a portfolio, σ</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rPr>
        <w:t xml:space="preserve">) is variance of return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and </w:t>
      </w:r>
      <w:proofErr w:type="spellStart"/>
      <w:r>
        <w:rPr>
          <w:rFonts w:ascii="Times New Roman" w:eastAsia="Times New Roman" w:hAnsi="Times New Roman" w:cs="Times New Roman"/>
          <w:sz w:val="28"/>
          <w:szCs w:val="28"/>
        </w:rPr>
        <w:t>Cov</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,k</w:t>
      </w:r>
      <w:r>
        <w:rPr>
          <w:rFonts w:ascii="Times New Roman" w:eastAsia="Times New Roman" w:hAnsi="Times New Roman" w:cs="Times New Roman"/>
          <w:sz w:val="28"/>
          <w:szCs w:val="28"/>
          <w:vertAlign w:val="subscript"/>
        </w:rPr>
        <w:t>j</w:t>
      </w:r>
      <w:proofErr w:type="spellEnd"/>
      <w:r>
        <w:rPr>
          <w:rFonts w:ascii="Times New Roman" w:eastAsia="Times New Roman" w:hAnsi="Times New Roman" w:cs="Times New Roman"/>
          <w:sz w:val="28"/>
          <w:szCs w:val="28"/>
        </w:rPr>
        <w:t xml:space="preserve">) is covariance of returns of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 and </w:t>
      </w:r>
      <w:proofErr w:type="spellStart"/>
      <w:r>
        <w:rPr>
          <w:rFonts w:ascii="Times New Roman" w:eastAsia="Times New Roman" w:hAnsi="Times New Roman" w:cs="Times New Roman"/>
          <w:i/>
          <w:sz w:val="28"/>
          <w:szCs w:val="28"/>
        </w:rPr>
        <w:t>j</w:t>
      </w:r>
      <w:r>
        <w:rPr>
          <w:rFonts w:ascii="Times New Roman" w:eastAsia="Times New Roman" w:hAnsi="Times New Roman" w:cs="Times New Roman"/>
          <w:sz w:val="28"/>
          <w:szCs w:val="28"/>
          <w:vertAlign w:val="superscript"/>
        </w:rPr>
        <w:t>th</w:t>
      </w:r>
      <w:proofErr w:type="spellEnd"/>
      <w:r>
        <w:rPr>
          <w:rFonts w:ascii="Times New Roman" w:eastAsia="Times New Roman" w:hAnsi="Times New Roman" w:cs="Times New Roman"/>
          <w:sz w:val="28"/>
          <w:szCs w:val="28"/>
        </w:rPr>
        <w:t xml:space="preserve"> asset.</w:t>
      </w:r>
    </w:p>
    <w:p w:rsidR="003A30E4" w:rsidRDefault="003A30E4">
      <w:pPr>
        <w:pStyle w:val="Heading3"/>
        <w:keepNext w:val="0"/>
        <w:keepLines w:val="0"/>
        <w:spacing w:before="280"/>
        <w:rPr>
          <w:rFonts w:ascii="Times New Roman" w:eastAsia="Times New Roman" w:hAnsi="Times New Roman" w:cs="Times New Roman"/>
          <w:b/>
          <w:color w:val="000000"/>
          <w:sz w:val="26"/>
          <w:szCs w:val="26"/>
        </w:rPr>
      </w:pPr>
      <w:bookmarkStart w:id="13" w:name="_q5jer39z4rdi" w:colFirst="0" w:colLast="0"/>
      <w:bookmarkEnd w:id="13"/>
    </w:p>
    <w:p w:rsidR="003A30E4" w:rsidRDefault="003A30E4">
      <w:pPr>
        <w:pStyle w:val="Heading3"/>
        <w:keepNext w:val="0"/>
        <w:keepLines w:val="0"/>
        <w:spacing w:before="60"/>
        <w:rPr>
          <w:rFonts w:ascii="Times New Roman" w:eastAsia="Times New Roman" w:hAnsi="Times New Roman" w:cs="Times New Roman"/>
          <w:color w:val="000000"/>
          <w:sz w:val="26"/>
          <w:szCs w:val="26"/>
        </w:rPr>
      </w:pPr>
      <w:bookmarkStart w:id="14" w:name="_qv3xtr5maimg" w:colFirst="0" w:colLast="0"/>
      <w:bookmarkEnd w:id="14"/>
    </w:p>
    <w:p w:rsidR="003A30E4" w:rsidRDefault="00C8458C">
      <w:pPr>
        <w:pStyle w:val="Heading3"/>
        <w:keepNext w:val="0"/>
        <w:keepLines w:val="0"/>
        <w:spacing w:before="60"/>
        <w:rPr>
          <w:rFonts w:ascii="Times New Roman" w:eastAsia="Times New Roman" w:hAnsi="Times New Roman" w:cs="Times New Roman"/>
          <w:color w:val="000000"/>
          <w:sz w:val="26"/>
          <w:szCs w:val="26"/>
        </w:rPr>
      </w:pPr>
      <w:bookmarkStart w:id="15" w:name="_ym43yarnm12a" w:colFirst="0" w:colLast="0"/>
      <w:bookmarkEnd w:id="15"/>
      <w:r>
        <w:rPr>
          <w:rFonts w:ascii="Times New Roman" w:eastAsia="Times New Roman" w:hAnsi="Times New Roman" w:cs="Times New Roman"/>
          <w:color w:val="000000"/>
          <w:sz w:val="26"/>
          <w:szCs w:val="26"/>
        </w:rPr>
        <w:t>The covariance matrix is:</w:t>
      </w:r>
    </w:p>
    <w:p w:rsidR="003A30E4" w:rsidRDefault="003A30E4"/>
    <w:tbl>
      <w:tblPr>
        <w:tblStyle w:val="a9"/>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800"/>
        <w:gridCol w:w="1515"/>
        <w:gridCol w:w="1260"/>
        <w:gridCol w:w="1230"/>
        <w:gridCol w:w="2040"/>
      </w:tblGrid>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Covariance Matrix</w:t>
            </w:r>
          </w:p>
        </w:tc>
        <w:tc>
          <w:tcPr>
            <w:tcW w:w="180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CHENNPETRO</w:t>
            </w:r>
          </w:p>
        </w:tc>
        <w:tc>
          <w:tcPr>
            <w:tcW w:w="1515"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FORTIS</w:t>
            </w:r>
          </w:p>
        </w:tc>
        <w:tc>
          <w:tcPr>
            <w:tcW w:w="126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GODREJCP</w:t>
            </w:r>
          </w:p>
        </w:tc>
        <w:tc>
          <w:tcPr>
            <w:tcW w:w="12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JKPAPER</w:t>
            </w:r>
          </w:p>
          <w:p w:rsidR="003A30E4" w:rsidRDefault="003A30E4">
            <w:pPr>
              <w:widowControl w:val="0"/>
              <w:spacing w:line="240" w:lineRule="auto"/>
              <w:jc w:val="center"/>
              <w:rPr>
                <w:b/>
              </w:rPr>
            </w:pPr>
          </w:p>
        </w:tc>
        <w:tc>
          <w:tcPr>
            <w:tcW w:w="204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 xml:space="preserve">OBEROIRLTY </w:t>
            </w:r>
          </w:p>
        </w:tc>
      </w:tr>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 xml:space="preserve">CHENNPETRO </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0.001912285583</w:t>
            </w:r>
          </w:p>
          <w:p w:rsidR="003A30E4" w:rsidRDefault="003A30E4">
            <w:pPr>
              <w:widowControl w:val="0"/>
              <w:jc w:val="center"/>
              <w:rPr>
                <w:rFonts w:ascii="Calibri" w:eastAsia="Calibri" w:hAnsi="Calibri" w:cs="Calibri"/>
              </w:rPr>
            </w:pPr>
          </w:p>
        </w:tc>
        <w:tc>
          <w:tcPr>
            <w:tcW w:w="151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3A30E4">
            <w:pPr>
              <w:widowControl w:val="0"/>
              <w:jc w:val="center"/>
              <w:rPr>
                <w:rFonts w:ascii="Calibri" w:eastAsia="Calibri" w:hAnsi="Calibri" w:cs="Calibri"/>
              </w:rPr>
            </w:pPr>
          </w:p>
          <w:p w:rsidR="003A30E4" w:rsidRDefault="00C8458C">
            <w:pPr>
              <w:widowControl w:val="0"/>
              <w:jc w:val="center"/>
              <w:rPr>
                <w:rFonts w:ascii="Calibri" w:eastAsia="Calibri" w:hAnsi="Calibri" w:cs="Calibri"/>
                <w:sz w:val="24"/>
                <w:szCs w:val="24"/>
              </w:rPr>
            </w:pPr>
            <w:r>
              <w:rPr>
                <w:rFonts w:ascii="Calibri" w:eastAsia="Calibri" w:hAnsi="Calibri" w:cs="Calibri"/>
              </w:rPr>
              <w:t>0.00004428527531</w:t>
            </w:r>
          </w:p>
        </w:tc>
        <w:tc>
          <w:tcPr>
            <w:tcW w:w="1260"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0.00013655166</w:t>
            </w:r>
          </w:p>
        </w:tc>
        <w:tc>
          <w:tcPr>
            <w:tcW w:w="1230"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0.00002245743572</w:t>
            </w:r>
          </w:p>
        </w:tc>
        <w:tc>
          <w:tcPr>
            <w:tcW w:w="2040"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0.00003285827486</w:t>
            </w:r>
          </w:p>
          <w:p w:rsidR="003A30E4" w:rsidRDefault="003A30E4">
            <w:pPr>
              <w:widowControl w:val="0"/>
              <w:jc w:val="center"/>
              <w:rPr>
                <w:rFonts w:ascii="Calibri" w:eastAsia="Calibri" w:hAnsi="Calibri" w:cs="Calibri"/>
              </w:rPr>
            </w:pPr>
          </w:p>
        </w:tc>
      </w:tr>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FORTIS</w:t>
            </w:r>
          </w:p>
        </w:tc>
        <w:tc>
          <w:tcPr>
            <w:tcW w:w="180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0.00003285827486</w:t>
            </w:r>
          </w:p>
          <w:p w:rsidR="003A30E4" w:rsidRDefault="003A30E4">
            <w:pPr>
              <w:widowControl w:val="0"/>
              <w:jc w:val="center"/>
              <w:rPr>
                <w:rFonts w:ascii="Calibri" w:eastAsia="Calibri" w:hAnsi="Calibri" w:cs="Calibri"/>
              </w:rPr>
            </w:pPr>
          </w:p>
        </w:tc>
        <w:tc>
          <w:tcPr>
            <w:tcW w:w="1515"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0.00004981360414</w:t>
            </w:r>
          </w:p>
        </w:tc>
        <w:tc>
          <w:tcPr>
            <w:tcW w:w="126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0.00004911992468</w:t>
            </w:r>
          </w:p>
        </w:tc>
        <w:tc>
          <w:tcPr>
            <w:tcW w:w="123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0.00002821879923</w:t>
            </w:r>
          </w:p>
        </w:tc>
        <w:tc>
          <w:tcPr>
            <w:tcW w:w="204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0.0005810555583</w:t>
            </w:r>
          </w:p>
          <w:p w:rsidR="003A30E4" w:rsidRDefault="003A30E4">
            <w:pPr>
              <w:widowControl w:val="0"/>
              <w:jc w:val="center"/>
              <w:rPr>
                <w:rFonts w:ascii="Calibri" w:eastAsia="Calibri" w:hAnsi="Calibri" w:cs="Calibri"/>
              </w:rPr>
            </w:pPr>
          </w:p>
        </w:tc>
      </w:tr>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GODREJCP</w:t>
            </w:r>
          </w:p>
        </w:tc>
        <w:tc>
          <w:tcPr>
            <w:tcW w:w="180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0.00013655166</w:t>
            </w:r>
          </w:p>
          <w:p w:rsidR="003A30E4" w:rsidRDefault="003A30E4">
            <w:pPr>
              <w:widowControl w:val="0"/>
              <w:jc w:val="center"/>
              <w:rPr>
                <w:rFonts w:ascii="Calibri" w:eastAsia="Calibri" w:hAnsi="Calibri" w:cs="Calibri"/>
              </w:rPr>
            </w:pPr>
          </w:p>
        </w:tc>
        <w:tc>
          <w:tcPr>
            <w:tcW w:w="1515"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0.0001048423085</w:t>
            </w:r>
          </w:p>
        </w:tc>
        <w:tc>
          <w:tcPr>
            <w:tcW w:w="126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0.0005162963189</w:t>
            </w:r>
          </w:p>
        </w:tc>
        <w:tc>
          <w:tcPr>
            <w:tcW w:w="123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0.0001143887869</w:t>
            </w:r>
          </w:p>
        </w:tc>
        <w:tc>
          <w:tcPr>
            <w:tcW w:w="204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0.00004911992468</w:t>
            </w:r>
          </w:p>
          <w:p w:rsidR="003A30E4" w:rsidRDefault="003A30E4">
            <w:pPr>
              <w:widowControl w:val="0"/>
              <w:jc w:val="center"/>
              <w:rPr>
                <w:rFonts w:ascii="Calibri" w:eastAsia="Calibri" w:hAnsi="Calibri" w:cs="Calibri"/>
              </w:rPr>
            </w:pPr>
          </w:p>
        </w:tc>
      </w:tr>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JKPAPER</w:t>
            </w:r>
          </w:p>
        </w:tc>
        <w:tc>
          <w:tcPr>
            <w:tcW w:w="180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0.00002245743572</w:t>
            </w:r>
          </w:p>
        </w:tc>
        <w:tc>
          <w:tcPr>
            <w:tcW w:w="1515"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0.00004928405693</w:t>
            </w:r>
          </w:p>
        </w:tc>
        <w:tc>
          <w:tcPr>
            <w:tcW w:w="126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0.0001143887869</w:t>
            </w:r>
          </w:p>
        </w:tc>
        <w:tc>
          <w:tcPr>
            <w:tcW w:w="123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0.0005933441907</w:t>
            </w:r>
          </w:p>
        </w:tc>
        <w:tc>
          <w:tcPr>
            <w:tcW w:w="204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0.00002821879923</w:t>
            </w:r>
          </w:p>
          <w:p w:rsidR="003A30E4" w:rsidRDefault="003A30E4">
            <w:pPr>
              <w:widowControl w:val="0"/>
              <w:jc w:val="center"/>
              <w:rPr>
                <w:rFonts w:ascii="Calibri" w:eastAsia="Calibri" w:hAnsi="Calibri" w:cs="Calibri"/>
              </w:rPr>
            </w:pPr>
          </w:p>
        </w:tc>
      </w:tr>
      <w:tr w:rsidR="003A30E4">
        <w:tc>
          <w:tcPr>
            <w:tcW w:w="1830" w:type="dxa"/>
            <w:shd w:val="clear" w:color="auto" w:fill="auto"/>
            <w:tcMar>
              <w:top w:w="100" w:type="dxa"/>
              <w:left w:w="100" w:type="dxa"/>
              <w:bottom w:w="100" w:type="dxa"/>
              <w:right w:w="100" w:type="dxa"/>
            </w:tcMar>
          </w:tcPr>
          <w:p w:rsidR="003A30E4" w:rsidRDefault="00C8458C">
            <w:pPr>
              <w:widowControl w:val="0"/>
              <w:spacing w:line="240" w:lineRule="auto"/>
              <w:jc w:val="center"/>
              <w:rPr>
                <w:b/>
              </w:rPr>
            </w:pPr>
            <w:r>
              <w:rPr>
                <w:b/>
              </w:rPr>
              <w:t xml:space="preserve">OBEROIRLTY </w:t>
            </w:r>
          </w:p>
        </w:tc>
        <w:tc>
          <w:tcPr>
            <w:tcW w:w="180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0.00004428527531</w:t>
            </w:r>
          </w:p>
        </w:tc>
        <w:tc>
          <w:tcPr>
            <w:tcW w:w="1515"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0.0009057513897</w:t>
            </w:r>
          </w:p>
        </w:tc>
        <w:tc>
          <w:tcPr>
            <w:tcW w:w="126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0.0001048423085</w:t>
            </w:r>
          </w:p>
        </w:tc>
        <w:tc>
          <w:tcPr>
            <w:tcW w:w="123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sz w:val="24"/>
                <w:szCs w:val="24"/>
              </w:rPr>
            </w:pPr>
            <w:r>
              <w:rPr>
                <w:rFonts w:ascii="Calibri" w:eastAsia="Calibri" w:hAnsi="Calibri" w:cs="Calibri"/>
              </w:rPr>
              <w:t>0.00004928405693</w:t>
            </w:r>
          </w:p>
        </w:tc>
        <w:tc>
          <w:tcPr>
            <w:tcW w:w="2040" w:type="dxa"/>
            <w:tcBorders>
              <w:bottom w:val="single" w:sz="6" w:space="0" w:color="000000"/>
              <w:right w:val="single" w:sz="6" w:space="0" w:color="000000"/>
            </w:tcBorders>
            <w:tcMar>
              <w:top w:w="0" w:type="dxa"/>
              <w:left w:w="40" w:type="dxa"/>
              <w:bottom w:w="0" w:type="dxa"/>
              <w:right w:w="40" w:type="dxa"/>
            </w:tcMar>
            <w:vAlign w:val="bottom"/>
          </w:tcPr>
          <w:p w:rsidR="003A30E4" w:rsidRDefault="00C8458C">
            <w:pPr>
              <w:widowControl w:val="0"/>
              <w:jc w:val="center"/>
              <w:rPr>
                <w:rFonts w:ascii="Calibri" w:eastAsia="Calibri" w:hAnsi="Calibri" w:cs="Calibri"/>
              </w:rPr>
            </w:pPr>
            <w:r>
              <w:rPr>
                <w:rFonts w:ascii="Calibri" w:eastAsia="Calibri" w:hAnsi="Calibri" w:cs="Calibri"/>
              </w:rPr>
              <w:t>0.0000498136041</w:t>
            </w:r>
          </w:p>
          <w:p w:rsidR="003A30E4" w:rsidRDefault="003A30E4">
            <w:pPr>
              <w:widowControl w:val="0"/>
              <w:jc w:val="center"/>
              <w:rPr>
                <w:rFonts w:ascii="Calibri" w:eastAsia="Calibri" w:hAnsi="Calibri" w:cs="Calibri"/>
              </w:rPr>
            </w:pPr>
          </w:p>
        </w:tc>
      </w:tr>
    </w:tbl>
    <w:p w:rsidR="003A30E4" w:rsidRDefault="003A30E4">
      <w:pPr>
        <w:pStyle w:val="Heading3"/>
        <w:keepNext w:val="0"/>
        <w:keepLines w:val="0"/>
        <w:spacing w:before="0" w:after="0" w:line="271" w:lineRule="auto"/>
        <w:ind w:left="100" w:right="140"/>
        <w:jc w:val="both"/>
        <w:rPr>
          <w:rFonts w:ascii="Times New Roman" w:eastAsia="Times New Roman" w:hAnsi="Times New Roman" w:cs="Times New Roman"/>
          <w:color w:val="000000"/>
          <w:sz w:val="26"/>
          <w:szCs w:val="26"/>
        </w:rPr>
      </w:pPr>
      <w:bookmarkStart w:id="16" w:name="_h3ifvhokgds5" w:colFirst="0" w:colLast="0"/>
      <w:bookmarkEnd w:id="16"/>
    </w:p>
    <w:p w:rsidR="003A30E4" w:rsidRDefault="00C8458C">
      <w:pPr>
        <w:pStyle w:val="Heading3"/>
        <w:keepNext w:val="0"/>
        <w:keepLines w:val="0"/>
        <w:spacing w:before="0" w:after="0" w:line="271" w:lineRule="auto"/>
        <w:ind w:left="100" w:right="140"/>
        <w:jc w:val="both"/>
        <w:rPr>
          <w:rFonts w:ascii="Times New Roman" w:eastAsia="Times New Roman" w:hAnsi="Times New Roman" w:cs="Times New Roman"/>
          <w:color w:val="000000"/>
          <w:sz w:val="26"/>
          <w:szCs w:val="26"/>
        </w:rPr>
      </w:pPr>
      <w:bookmarkStart w:id="17" w:name="_9bfwmfefrfjo" w:colFirst="0" w:colLast="0"/>
      <w:bookmarkEnd w:id="17"/>
      <w:r>
        <w:rPr>
          <w:rFonts w:ascii="Times New Roman" w:eastAsia="Times New Roman" w:hAnsi="Times New Roman" w:cs="Times New Roman"/>
          <w:color w:val="000000"/>
          <w:sz w:val="26"/>
          <w:szCs w:val="26"/>
        </w:rPr>
        <w:t xml:space="preserve">For the financial year 13-14, in the equally weighted portfolio, return, standard deviation and </w:t>
      </w:r>
      <w:proofErr w:type="spellStart"/>
      <w:r>
        <w:rPr>
          <w:rFonts w:ascii="Times New Roman" w:eastAsia="Times New Roman" w:hAnsi="Times New Roman" w:cs="Times New Roman"/>
          <w:color w:val="000000"/>
          <w:sz w:val="26"/>
          <w:szCs w:val="26"/>
        </w:rPr>
        <w:t>sharpe</w:t>
      </w:r>
      <w:proofErr w:type="spellEnd"/>
      <w:r>
        <w:rPr>
          <w:rFonts w:ascii="Times New Roman" w:eastAsia="Times New Roman" w:hAnsi="Times New Roman" w:cs="Times New Roman"/>
          <w:color w:val="000000"/>
          <w:sz w:val="26"/>
          <w:szCs w:val="26"/>
        </w:rPr>
        <w:t xml:space="preserve"> ratio were 0.68, 0.24 and 2.52 respectively.</w:t>
      </w:r>
    </w:p>
    <w:p w:rsidR="003A30E4" w:rsidRDefault="00C8458C">
      <w:pPr>
        <w:pStyle w:val="Heading3"/>
        <w:keepNext w:val="0"/>
        <w:keepLines w:val="0"/>
        <w:spacing w:before="160" w:after="0" w:line="271" w:lineRule="auto"/>
        <w:ind w:left="100" w:right="140"/>
        <w:jc w:val="both"/>
        <w:rPr>
          <w:rFonts w:ascii="Times New Roman" w:eastAsia="Times New Roman" w:hAnsi="Times New Roman" w:cs="Times New Roman"/>
          <w:color w:val="000000"/>
          <w:sz w:val="26"/>
          <w:szCs w:val="26"/>
        </w:rPr>
      </w:pPr>
      <w:bookmarkStart w:id="18" w:name="_un84pnjrrll" w:colFirst="0" w:colLast="0"/>
      <w:bookmarkEnd w:id="18"/>
      <w:r>
        <w:rPr>
          <w:rFonts w:ascii="Times New Roman" w:eastAsia="Times New Roman" w:hAnsi="Times New Roman" w:cs="Times New Roman"/>
          <w:color w:val="000000"/>
          <w:sz w:val="26"/>
          <w:szCs w:val="26"/>
        </w:rPr>
        <w:t>The usage of optimal weights rather than equal weights increases the retu</w:t>
      </w:r>
      <w:r w:rsidR="005574AD">
        <w:rPr>
          <w:rFonts w:ascii="Times New Roman" w:eastAsia="Times New Roman" w:hAnsi="Times New Roman" w:cs="Times New Roman"/>
          <w:color w:val="000000"/>
          <w:sz w:val="26"/>
          <w:szCs w:val="26"/>
        </w:rPr>
        <w:t xml:space="preserve">rn, the standard deviation and </w:t>
      </w:r>
      <w:r>
        <w:rPr>
          <w:rFonts w:ascii="Times New Roman" w:eastAsia="Times New Roman" w:hAnsi="Times New Roman" w:cs="Times New Roman"/>
          <w:color w:val="000000"/>
          <w:sz w:val="26"/>
          <w:szCs w:val="26"/>
        </w:rPr>
        <w:t xml:space="preserve">the </w:t>
      </w:r>
      <w:proofErr w:type="spellStart"/>
      <w:r>
        <w:rPr>
          <w:rFonts w:ascii="Times New Roman" w:eastAsia="Times New Roman" w:hAnsi="Times New Roman" w:cs="Times New Roman"/>
          <w:color w:val="000000"/>
          <w:sz w:val="26"/>
          <w:szCs w:val="26"/>
        </w:rPr>
        <w:t>sharpe</w:t>
      </w:r>
      <w:proofErr w:type="spellEnd"/>
      <w:r>
        <w:rPr>
          <w:rFonts w:ascii="Times New Roman" w:eastAsia="Times New Roman" w:hAnsi="Times New Roman" w:cs="Times New Roman"/>
          <w:color w:val="000000"/>
          <w:sz w:val="26"/>
          <w:szCs w:val="26"/>
        </w:rPr>
        <w:t xml:space="preserve"> ratio considerably. This implies that the return over risk free investment is superior in case of optimal portfolio though a bit riskier.</w:t>
      </w:r>
    </w:p>
    <w:p w:rsidR="003A30E4" w:rsidRDefault="003A30E4"/>
    <w:p w:rsidR="003A30E4" w:rsidRDefault="003A30E4">
      <w:pPr>
        <w:pStyle w:val="Heading3"/>
        <w:keepNext w:val="0"/>
        <w:keepLines w:val="0"/>
        <w:spacing w:before="280"/>
        <w:rPr>
          <w:rFonts w:ascii="Times New Roman" w:eastAsia="Times New Roman" w:hAnsi="Times New Roman" w:cs="Times New Roman"/>
          <w:b/>
          <w:color w:val="000000"/>
          <w:sz w:val="26"/>
          <w:szCs w:val="26"/>
        </w:rPr>
      </w:pPr>
      <w:bookmarkStart w:id="19" w:name="_vrfz3cr59qih" w:colFirst="0" w:colLast="0"/>
      <w:bookmarkEnd w:id="19"/>
    </w:p>
    <w:p w:rsidR="003A30E4" w:rsidRDefault="003A30E4">
      <w:pPr>
        <w:pStyle w:val="Heading3"/>
        <w:keepNext w:val="0"/>
        <w:keepLines w:val="0"/>
        <w:spacing w:before="280"/>
        <w:rPr>
          <w:rFonts w:ascii="Times New Roman" w:eastAsia="Times New Roman" w:hAnsi="Times New Roman" w:cs="Times New Roman"/>
          <w:b/>
          <w:color w:val="000000"/>
          <w:sz w:val="26"/>
          <w:szCs w:val="26"/>
        </w:rPr>
      </w:pPr>
      <w:bookmarkStart w:id="20" w:name="_kh173hbz5055" w:colFirst="0" w:colLast="0"/>
      <w:bookmarkEnd w:id="20"/>
    </w:p>
    <w:p w:rsidR="003A30E4" w:rsidRDefault="003A30E4">
      <w:pPr>
        <w:pStyle w:val="Heading3"/>
        <w:keepNext w:val="0"/>
        <w:keepLines w:val="0"/>
        <w:spacing w:before="280"/>
        <w:rPr>
          <w:rFonts w:ascii="Times New Roman" w:eastAsia="Times New Roman" w:hAnsi="Times New Roman" w:cs="Times New Roman"/>
          <w:b/>
          <w:color w:val="000000"/>
          <w:sz w:val="26"/>
          <w:szCs w:val="26"/>
        </w:rPr>
      </w:pPr>
      <w:bookmarkStart w:id="21" w:name="_n7bup1sz5418" w:colFirst="0" w:colLast="0"/>
      <w:bookmarkEnd w:id="21"/>
    </w:p>
    <w:p w:rsidR="003A30E4" w:rsidRDefault="003A30E4">
      <w:pPr>
        <w:pStyle w:val="Heading3"/>
        <w:keepNext w:val="0"/>
        <w:keepLines w:val="0"/>
        <w:spacing w:before="280"/>
        <w:rPr>
          <w:rFonts w:ascii="Times New Roman" w:eastAsia="Times New Roman" w:hAnsi="Times New Roman" w:cs="Times New Roman"/>
          <w:b/>
          <w:color w:val="000000"/>
          <w:sz w:val="26"/>
          <w:szCs w:val="26"/>
        </w:rPr>
      </w:pPr>
      <w:bookmarkStart w:id="22" w:name="_bcpls9ae0f9h" w:colFirst="0" w:colLast="0"/>
      <w:bookmarkEnd w:id="22"/>
    </w:p>
    <w:p w:rsidR="003A30E4" w:rsidRDefault="003A30E4">
      <w:pPr>
        <w:pStyle w:val="Heading3"/>
        <w:keepNext w:val="0"/>
        <w:keepLines w:val="0"/>
        <w:spacing w:before="280"/>
        <w:rPr>
          <w:rFonts w:ascii="Times New Roman" w:eastAsia="Times New Roman" w:hAnsi="Times New Roman" w:cs="Times New Roman"/>
          <w:b/>
          <w:color w:val="000000"/>
          <w:sz w:val="26"/>
          <w:szCs w:val="26"/>
        </w:rPr>
      </w:pPr>
      <w:bookmarkStart w:id="23" w:name="_jytp6p3c29zy" w:colFirst="0" w:colLast="0"/>
      <w:bookmarkEnd w:id="23"/>
    </w:p>
    <w:p w:rsidR="003A30E4" w:rsidRDefault="00C8458C">
      <w:pPr>
        <w:pStyle w:val="Heading3"/>
        <w:keepNext w:val="0"/>
        <w:keepLines w:val="0"/>
        <w:spacing w:before="200"/>
        <w:rPr>
          <w:rFonts w:ascii="Times New Roman" w:eastAsia="Times New Roman" w:hAnsi="Times New Roman" w:cs="Times New Roman"/>
          <w:b/>
          <w:color w:val="000000"/>
          <w:sz w:val="26"/>
          <w:szCs w:val="26"/>
        </w:rPr>
      </w:pPr>
      <w:bookmarkStart w:id="24" w:name="_oor863w4koo9" w:colFirst="0" w:colLast="0"/>
      <w:bookmarkStart w:id="25" w:name="_egwtlg3pkms1" w:colFirst="0" w:colLast="0"/>
      <w:bookmarkEnd w:id="24"/>
      <w:bookmarkEnd w:id="25"/>
      <w:r>
        <w:br w:type="page"/>
      </w:r>
    </w:p>
    <w:p w:rsidR="003A30E4" w:rsidRDefault="007075B3">
      <w:pPr>
        <w:pStyle w:val="Heading3"/>
        <w:keepNext w:val="0"/>
        <w:keepLines w:val="0"/>
        <w:spacing w:before="200"/>
        <w:rPr>
          <w:rFonts w:ascii="Times New Roman" w:eastAsia="Times New Roman" w:hAnsi="Times New Roman" w:cs="Times New Roman"/>
          <w:b/>
          <w:color w:val="000000"/>
          <w:sz w:val="26"/>
          <w:szCs w:val="26"/>
        </w:rPr>
      </w:pPr>
      <w:bookmarkStart w:id="26" w:name="_owa2evt719me" w:colFirst="0" w:colLast="0"/>
      <w:bookmarkEnd w:id="26"/>
      <w:r>
        <w:rPr>
          <w:rFonts w:ascii="Times New Roman" w:eastAsia="Times New Roman" w:hAnsi="Times New Roman" w:cs="Times New Roman"/>
          <w:b/>
          <w:color w:val="000000"/>
          <w:sz w:val="26"/>
          <w:szCs w:val="26"/>
        </w:rPr>
        <w:lastRenderedPageBreak/>
        <w:t>6)    Analysis of Portfolio f</w:t>
      </w:r>
      <w:r w:rsidR="00C8458C">
        <w:rPr>
          <w:rFonts w:ascii="Times New Roman" w:eastAsia="Times New Roman" w:hAnsi="Times New Roman" w:cs="Times New Roman"/>
          <w:b/>
          <w:color w:val="000000"/>
          <w:sz w:val="26"/>
          <w:szCs w:val="26"/>
        </w:rPr>
        <w:t>or 5 Years:</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5-year portfolio has been created considering 5 companies: </w:t>
      </w:r>
      <w:r>
        <w:rPr>
          <w:rFonts w:ascii="Times New Roman" w:eastAsia="Times New Roman" w:hAnsi="Times New Roman" w:cs="Times New Roman"/>
          <w:b/>
          <w:sz w:val="28"/>
          <w:szCs w:val="28"/>
        </w:rPr>
        <w:t>Chennai Petroleum Corporation Ltd, Oberoi Realty Ltd, Godrej Consumer Products Ltd, JK Paper Ltd, Fortis Healthcare Ltd.</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portfolio for the 5 years thus, has the optimal weights as given below.</w:t>
      </w:r>
    </w:p>
    <w:p w:rsidR="003A30E4" w:rsidRDefault="003A30E4">
      <w:pPr>
        <w:rPr>
          <w:rFonts w:ascii="Times New Roman" w:eastAsia="Times New Roman" w:hAnsi="Times New Roman" w:cs="Times New Roman"/>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Companies in Portfolio</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Annualized Returns</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Equal Weights          (w =0.2)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Optimal Weights</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Chennai Petroleum Corporation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0.383321722 </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0.200743 </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Oberoi Realty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0.134530631</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Godrej Consumer Products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0.179177455</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0.047085 </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JK paper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0.487699787</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0.639861 </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Fortis Healthcare Ltd</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0.243822476 </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0.112311 </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Portfolio return</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0.285710414 </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0.424829707 </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Portfolio standard Deviation</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0.246079953</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0.3179938 </w:t>
            </w:r>
          </w:p>
        </w:tc>
      </w:tr>
      <w:tr w:rsidR="003A30E4">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b/>
              </w:rPr>
            </w:pPr>
            <w:r>
              <w:rPr>
                <w:rFonts w:ascii="Times New Roman" w:eastAsia="Times New Roman" w:hAnsi="Times New Roman" w:cs="Times New Roman"/>
                <w:b/>
              </w:rPr>
              <w:t>Portfolio Sharpe ratio</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0.876586701 </w:t>
            </w:r>
          </w:p>
        </w:tc>
        <w:tc>
          <w:tcPr>
            <w:tcW w:w="2340" w:type="dxa"/>
            <w:shd w:val="clear" w:color="auto" w:fill="auto"/>
            <w:tcMar>
              <w:top w:w="100" w:type="dxa"/>
              <w:left w:w="100" w:type="dxa"/>
              <w:bottom w:w="100" w:type="dxa"/>
              <w:right w:w="100" w:type="dxa"/>
            </w:tcMar>
          </w:tcPr>
          <w:p w:rsidR="003A30E4" w:rsidRDefault="00C8458C">
            <w:pPr>
              <w:widowControl w:val="0"/>
              <w:jc w:val="center"/>
              <w:rPr>
                <w:rFonts w:ascii="Times New Roman" w:eastAsia="Times New Roman" w:hAnsi="Times New Roman" w:cs="Times New Roman"/>
              </w:rPr>
            </w:pPr>
            <w:r>
              <w:rPr>
                <w:rFonts w:ascii="Times New Roman" w:eastAsia="Times New Roman" w:hAnsi="Times New Roman" w:cs="Times New Roman"/>
              </w:rPr>
              <w:t xml:space="preserve">1.115838446 </w:t>
            </w:r>
          </w:p>
        </w:tc>
      </w:tr>
    </w:tbl>
    <w:p w:rsidR="003A30E4" w:rsidRDefault="003A30E4">
      <w:pPr>
        <w:pStyle w:val="Subtitle"/>
        <w:spacing w:after="0" w:line="271" w:lineRule="auto"/>
        <w:ind w:right="140"/>
        <w:jc w:val="both"/>
        <w:rPr>
          <w:rFonts w:ascii="Times New Roman" w:eastAsia="Times New Roman" w:hAnsi="Times New Roman" w:cs="Times New Roman"/>
        </w:rPr>
      </w:pPr>
      <w:bookmarkStart w:id="27" w:name="_vb476c6x0t83" w:colFirst="0" w:colLast="0"/>
      <w:bookmarkEnd w:id="27"/>
    </w:p>
    <w:p w:rsidR="003A30E4" w:rsidRDefault="00C8458C">
      <w:pPr>
        <w:rPr>
          <w:rFonts w:ascii="Times New Roman" w:eastAsia="Times New Roman" w:hAnsi="Times New Roman" w:cs="Times New Roman"/>
          <w:b/>
          <w:sz w:val="28"/>
          <w:szCs w:val="28"/>
          <w:u w:val="single"/>
        </w:rPr>
      </w:pPr>
      <w:r>
        <w:rPr>
          <w:rFonts w:ascii="Times New Roman" w:eastAsia="Times New Roman" w:hAnsi="Times New Roman" w:cs="Times New Roman"/>
          <w:b/>
          <w:color w:val="000000"/>
          <w:sz w:val="28"/>
          <w:szCs w:val="28"/>
          <w:u w:val="single"/>
        </w:rPr>
        <w:t>Analysis:</w:t>
      </w: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In the 5-year portfolio made by considering equal weights, the </w:t>
      </w:r>
      <w:r>
        <w:rPr>
          <w:rFonts w:ascii="Times New Roman" w:eastAsia="Times New Roman" w:hAnsi="Times New Roman" w:cs="Times New Roman"/>
          <w:b/>
          <w:color w:val="000000"/>
          <w:sz w:val="28"/>
          <w:szCs w:val="28"/>
        </w:rPr>
        <w:t>portfolio return</w:t>
      </w:r>
      <w:r>
        <w:rPr>
          <w:rFonts w:ascii="Times New Roman" w:eastAsia="Times New Roman" w:hAnsi="Times New Roman" w:cs="Times New Roman"/>
          <w:color w:val="000000"/>
          <w:sz w:val="28"/>
          <w:szCs w:val="28"/>
        </w:rPr>
        <w:t xml:space="preserve"> is </w:t>
      </w:r>
      <w:r>
        <w:rPr>
          <w:rFonts w:ascii="Times New Roman" w:eastAsia="Times New Roman" w:hAnsi="Times New Roman" w:cs="Times New Roman"/>
          <w:b/>
          <w:color w:val="000000"/>
          <w:sz w:val="28"/>
          <w:szCs w:val="28"/>
        </w:rPr>
        <w:t>0.285 (28.5%)</w:t>
      </w:r>
      <w:r>
        <w:rPr>
          <w:rFonts w:ascii="Times New Roman" w:eastAsia="Times New Roman" w:hAnsi="Times New Roman" w:cs="Times New Roman"/>
          <w:color w:val="000000"/>
          <w:sz w:val="28"/>
          <w:szCs w:val="28"/>
        </w:rPr>
        <w:t xml:space="preserve"> with associated </w:t>
      </w:r>
      <w:r>
        <w:rPr>
          <w:rFonts w:ascii="Times New Roman" w:eastAsia="Times New Roman" w:hAnsi="Times New Roman" w:cs="Times New Roman"/>
          <w:b/>
          <w:color w:val="000000"/>
          <w:sz w:val="28"/>
          <w:szCs w:val="28"/>
        </w:rPr>
        <w:t>risk</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0.246 (24.6%)</w:t>
      </w:r>
      <w:r>
        <w:rPr>
          <w:rFonts w:ascii="Times New Roman" w:eastAsia="Times New Roman" w:hAnsi="Times New Roman" w:cs="Times New Roman"/>
          <w:color w:val="000000"/>
          <w:sz w:val="28"/>
          <w:szCs w:val="28"/>
        </w:rPr>
        <w:t xml:space="preserve"> and the </w:t>
      </w:r>
      <w:r>
        <w:rPr>
          <w:rFonts w:ascii="Times New Roman" w:eastAsia="Times New Roman" w:hAnsi="Times New Roman" w:cs="Times New Roman"/>
          <w:b/>
          <w:color w:val="000000"/>
          <w:sz w:val="28"/>
          <w:szCs w:val="28"/>
        </w:rPr>
        <w:t>adjusted risk or Sharpe ratio</w:t>
      </w:r>
      <w:r>
        <w:rPr>
          <w:rFonts w:ascii="Times New Roman" w:eastAsia="Times New Roman" w:hAnsi="Times New Roman" w:cs="Times New Roman"/>
          <w:color w:val="000000"/>
          <w:sz w:val="28"/>
          <w:szCs w:val="28"/>
        </w:rPr>
        <w:t xml:space="preserve"> as </w:t>
      </w:r>
      <w:r>
        <w:rPr>
          <w:rFonts w:ascii="Times New Roman" w:eastAsia="Times New Roman" w:hAnsi="Times New Roman" w:cs="Times New Roman"/>
          <w:b/>
          <w:color w:val="000000"/>
          <w:sz w:val="28"/>
          <w:szCs w:val="28"/>
        </w:rPr>
        <w:t>0.8765</w:t>
      </w:r>
      <w:r>
        <w:rPr>
          <w:rFonts w:ascii="Times New Roman" w:eastAsia="Times New Roman" w:hAnsi="Times New Roman" w:cs="Times New Roman"/>
          <w:color w:val="000000"/>
          <w:sz w:val="28"/>
          <w:szCs w:val="28"/>
        </w:rPr>
        <w:t>. By optimizing the portfolio, the</w:t>
      </w:r>
      <w:r>
        <w:rPr>
          <w:rFonts w:ascii="Times New Roman" w:eastAsia="Times New Roman" w:hAnsi="Times New Roman" w:cs="Times New Roman"/>
          <w:b/>
          <w:color w:val="000000"/>
          <w:sz w:val="28"/>
          <w:szCs w:val="28"/>
        </w:rPr>
        <w:t xml:space="preserve"> return</w:t>
      </w:r>
      <w:r>
        <w:rPr>
          <w:rFonts w:ascii="Times New Roman" w:eastAsia="Times New Roman" w:hAnsi="Times New Roman" w:cs="Times New Roman"/>
          <w:color w:val="000000"/>
          <w:sz w:val="28"/>
          <w:szCs w:val="28"/>
        </w:rPr>
        <w:t xml:space="preserve"> increased to </w:t>
      </w:r>
      <w:r>
        <w:rPr>
          <w:rFonts w:ascii="Times New Roman" w:eastAsia="Times New Roman" w:hAnsi="Times New Roman" w:cs="Times New Roman"/>
          <w:b/>
          <w:color w:val="000000"/>
          <w:sz w:val="28"/>
          <w:szCs w:val="28"/>
        </w:rPr>
        <w:t>0.4248 (42.48%)</w:t>
      </w:r>
      <w:r>
        <w:rPr>
          <w:rFonts w:ascii="Times New Roman" w:eastAsia="Times New Roman" w:hAnsi="Times New Roman" w:cs="Times New Roman"/>
          <w:color w:val="000000"/>
          <w:sz w:val="28"/>
          <w:szCs w:val="28"/>
        </w:rPr>
        <w:t xml:space="preserve"> with increased </w:t>
      </w:r>
      <w:r>
        <w:rPr>
          <w:rFonts w:ascii="Times New Roman" w:eastAsia="Times New Roman" w:hAnsi="Times New Roman" w:cs="Times New Roman"/>
          <w:b/>
          <w:color w:val="000000"/>
          <w:sz w:val="28"/>
          <w:szCs w:val="28"/>
        </w:rPr>
        <w:t>risk</w:t>
      </w:r>
      <w:r>
        <w:rPr>
          <w:rFonts w:ascii="Times New Roman" w:eastAsia="Times New Roman" w:hAnsi="Times New Roman" w:cs="Times New Roman"/>
          <w:color w:val="000000"/>
          <w:sz w:val="28"/>
          <w:szCs w:val="28"/>
        </w:rPr>
        <w:t xml:space="preserve"> of </w:t>
      </w:r>
      <w:r>
        <w:rPr>
          <w:rFonts w:ascii="Times New Roman" w:eastAsia="Times New Roman" w:hAnsi="Times New Roman" w:cs="Times New Roman"/>
          <w:b/>
          <w:color w:val="000000"/>
          <w:sz w:val="28"/>
          <w:szCs w:val="28"/>
        </w:rPr>
        <w:t>0.3179 (31.79%)</w:t>
      </w:r>
      <w:r>
        <w:rPr>
          <w:rFonts w:ascii="Times New Roman" w:eastAsia="Times New Roman" w:hAnsi="Times New Roman" w:cs="Times New Roman"/>
          <w:color w:val="000000"/>
          <w:sz w:val="28"/>
          <w:szCs w:val="28"/>
        </w:rPr>
        <w:t xml:space="preserve"> and increased </w:t>
      </w:r>
      <w:r>
        <w:rPr>
          <w:rFonts w:ascii="Times New Roman" w:eastAsia="Times New Roman" w:hAnsi="Times New Roman" w:cs="Times New Roman"/>
          <w:b/>
          <w:color w:val="000000"/>
          <w:sz w:val="28"/>
          <w:szCs w:val="28"/>
        </w:rPr>
        <w:t>Sharpe ratio</w:t>
      </w:r>
      <w:r>
        <w:rPr>
          <w:rFonts w:ascii="Times New Roman" w:eastAsia="Times New Roman" w:hAnsi="Times New Roman" w:cs="Times New Roman"/>
          <w:color w:val="000000"/>
          <w:sz w:val="28"/>
          <w:szCs w:val="28"/>
        </w:rPr>
        <w:t xml:space="preserve"> to </w:t>
      </w:r>
      <w:r>
        <w:rPr>
          <w:rFonts w:ascii="Times New Roman" w:eastAsia="Times New Roman" w:hAnsi="Times New Roman" w:cs="Times New Roman"/>
          <w:b/>
          <w:color w:val="000000"/>
          <w:sz w:val="28"/>
          <w:szCs w:val="28"/>
        </w:rPr>
        <w:t>1.115</w:t>
      </w:r>
      <w:r>
        <w:rPr>
          <w:rFonts w:ascii="Times New Roman" w:eastAsia="Times New Roman" w:hAnsi="Times New Roman" w:cs="Times New Roman"/>
          <w:color w:val="000000"/>
          <w:sz w:val="28"/>
          <w:szCs w:val="28"/>
        </w:rPr>
        <w:t>. Though the risk has increased in the optimal portfolio, the increased returns have compensated for it and even the increased Sharpe ratio has compensated for the same.</w:t>
      </w:r>
    </w:p>
    <w:p w:rsidR="003A30E4" w:rsidRDefault="003A30E4">
      <w:pPr>
        <w:rPr>
          <w:rFonts w:ascii="Times New Roman" w:eastAsia="Times New Roman" w:hAnsi="Times New Roman" w:cs="Times New Roman"/>
          <w:sz w:val="28"/>
          <w:szCs w:val="28"/>
        </w:rPr>
      </w:pP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Here we see that the usage of optimal weights rather than equal weights has increased the return, increased the standard deviation i.e. risk and increased the </w:t>
      </w:r>
      <w:proofErr w:type="spellStart"/>
      <w:r>
        <w:rPr>
          <w:rFonts w:ascii="Times New Roman" w:eastAsia="Times New Roman" w:hAnsi="Times New Roman" w:cs="Times New Roman"/>
          <w:color w:val="000000"/>
          <w:sz w:val="28"/>
          <w:szCs w:val="28"/>
        </w:rPr>
        <w:lastRenderedPageBreak/>
        <w:t>sharpe</w:t>
      </w:r>
      <w:proofErr w:type="spellEnd"/>
      <w:r>
        <w:rPr>
          <w:rFonts w:ascii="Times New Roman" w:eastAsia="Times New Roman" w:hAnsi="Times New Roman" w:cs="Times New Roman"/>
          <w:color w:val="000000"/>
          <w:sz w:val="28"/>
          <w:szCs w:val="28"/>
        </w:rPr>
        <w:t xml:space="preserve"> ratio. This implies that the return over risk free investment is superior in case of optimal portfolio.</w:t>
      </w:r>
    </w:p>
    <w:p w:rsidR="003A30E4" w:rsidRDefault="003A30E4">
      <w:pPr>
        <w:rPr>
          <w:rFonts w:ascii="Times New Roman" w:eastAsia="Times New Roman" w:hAnsi="Times New Roman" w:cs="Times New Roman"/>
          <w:sz w:val="28"/>
          <w:szCs w:val="28"/>
        </w:rPr>
      </w:pPr>
    </w:p>
    <w:p w:rsidR="003A30E4" w:rsidRDefault="00C8458C">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As the annual returns of </w:t>
      </w:r>
      <w:r>
        <w:rPr>
          <w:rFonts w:ascii="Times New Roman" w:eastAsia="Times New Roman" w:hAnsi="Times New Roman" w:cs="Times New Roman"/>
          <w:b/>
          <w:color w:val="000000"/>
          <w:sz w:val="28"/>
          <w:szCs w:val="28"/>
        </w:rPr>
        <w:t>Oberoi Realty Ltd.</w:t>
      </w:r>
      <w:r>
        <w:rPr>
          <w:rFonts w:ascii="Times New Roman" w:eastAsia="Times New Roman" w:hAnsi="Times New Roman" w:cs="Times New Roman"/>
          <w:color w:val="000000"/>
          <w:sz w:val="28"/>
          <w:szCs w:val="28"/>
        </w:rPr>
        <w:t xml:space="preserve"> are quite less compared to the other two companies in the portfolio, they haven't been considered in the optimal portfolio.</w:t>
      </w:r>
    </w:p>
    <w:p w:rsidR="003A30E4" w:rsidRDefault="003A30E4">
      <w:pPr>
        <w:rPr>
          <w:rFonts w:ascii="Times New Roman" w:eastAsia="Times New Roman" w:hAnsi="Times New Roman" w:cs="Times New Roman"/>
          <w:sz w:val="28"/>
          <w:szCs w:val="28"/>
        </w:rPr>
      </w:pPr>
    </w:p>
    <w:p w:rsidR="00436374" w:rsidRDefault="00C8458C" w:rsidP="0043637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optimal weights for </w:t>
      </w:r>
      <w:r>
        <w:rPr>
          <w:rFonts w:ascii="Times New Roman" w:eastAsia="Times New Roman" w:hAnsi="Times New Roman" w:cs="Times New Roman"/>
          <w:b/>
          <w:color w:val="000000"/>
          <w:sz w:val="28"/>
          <w:szCs w:val="28"/>
        </w:rPr>
        <w:t>Chennai Petroleum Corporation Ltd</w:t>
      </w:r>
      <w:r>
        <w:rPr>
          <w:rFonts w:ascii="Times New Roman" w:eastAsia="Times New Roman" w:hAnsi="Times New Roman" w:cs="Times New Roman"/>
          <w:color w:val="000000"/>
          <w:sz w:val="28"/>
          <w:szCs w:val="28"/>
        </w:rPr>
        <w:t xml:space="preserve"> for FY 13-14, 14-15, </w:t>
      </w:r>
      <w:r w:rsidR="009B5564">
        <w:rPr>
          <w:rFonts w:ascii="Times New Roman" w:eastAsia="Times New Roman" w:hAnsi="Times New Roman" w:cs="Times New Roman"/>
          <w:color w:val="000000"/>
          <w:sz w:val="28"/>
          <w:szCs w:val="28"/>
        </w:rPr>
        <w:t xml:space="preserve">and 5 </w:t>
      </w:r>
      <w:proofErr w:type="spellStart"/>
      <w:r w:rsidR="009B5564">
        <w:rPr>
          <w:rFonts w:ascii="Times New Roman" w:eastAsia="Times New Roman" w:hAnsi="Times New Roman" w:cs="Times New Roman"/>
          <w:color w:val="000000"/>
          <w:sz w:val="28"/>
          <w:szCs w:val="28"/>
        </w:rPr>
        <w:t>yr</w:t>
      </w:r>
      <w:proofErr w:type="spellEnd"/>
      <w:r w:rsidR="009B5564">
        <w:rPr>
          <w:rFonts w:ascii="Times New Roman" w:eastAsia="Times New Roman" w:hAnsi="Times New Roman" w:cs="Times New Roman"/>
          <w:color w:val="000000"/>
          <w:sz w:val="28"/>
          <w:szCs w:val="28"/>
        </w:rPr>
        <w:t xml:space="preserve"> portfolio are 0, 0</w:t>
      </w:r>
      <w:r>
        <w:rPr>
          <w:rFonts w:ascii="Times New Roman" w:eastAsia="Times New Roman" w:hAnsi="Times New Roman" w:cs="Times New Roman"/>
          <w:color w:val="000000"/>
          <w:sz w:val="28"/>
          <w:szCs w:val="28"/>
        </w:rPr>
        <w:t xml:space="preserve"> and 0.155883 respectively. This shows that the company</w:t>
      </w:r>
      <w:r w:rsidR="00672F34">
        <w:rPr>
          <w:rFonts w:ascii="Times New Roman" w:eastAsia="Times New Roman" w:hAnsi="Times New Roman" w:cs="Times New Roman"/>
          <w:color w:val="000000"/>
          <w:sz w:val="28"/>
          <w:szCs w:val="28"/>
        </w:rPr>
        <w:t xml:space="preserve"> didn’t</w:t>
      </w:r>
      <w:r>
        <w:rPr>
          <w:rFonts w:ascii="Times New Roman" w:eastAsia="Times New Roman" w:hAnsi="Times New Roman" w:cs="Times New Roman"/>
          <w:color w:val="000000"/>
          <w:sz w:val="28"/>
          <w:szCs w:val="28"/>
        </w:rPr>
        <w:t xml:space="preserve"> performed well during FY 1</w:t>
      </w:r>
      <w:r w:rsidR="00672F34">
        <w:rPr>
          <w:rFonts w:ascii="Times New Roman" w:eastAsia="Times New Roman" w:hAnsi="Times New Roman" w:cs="Times New Roman"/>
          <w:color w:val="000000"/>
          <w:sz w:val="28"/>
          <w:szCs w:val="28"/>
        </w:rPr>
        <w:t>3-14</w:t>
      </w:r>
      <w:r>
        <w:rPr>
          <w:rFonts w:ascii="Times New Roman" w:eastAsia="Times New Roman" w:hAnsi="Times New Roman" w:cs="Times New Roman"/>
          <w:color w:val="000000"/>
          <w:sz w:val="28"/>
          <w:szCs w:val="28"/>
        </w:rPr>
        <w:t xml:space="preserve"> and </w:t>
      </w:r>
      <w:r w:rsidR="00672F34">
        <w:rPr>
          <w:rFonts w:ascii="Times New Roman" w:eastAsia="Times New Roman" w:hAnsi="Times New Roman" w:cs="Times New Roman"/>
          <w:color w:val="000000"/>
          <w:sz w:val="28"/>
          <w:szCs w:val="28"/>
        </w:rPr>
        <w:t>14-15</w:t>
      </w:r>
      <w:r>
        <w:rPr>
          <w:rFonts w:ascii="Times New Roman" w:eastAsia="Times New Roman" w:hAnsi="Times New Roman" w:cs="Times New Roman"/>
          <w:color w:val="000000"/>
          <w:sz w:val="28"/>
          <w:szCs w:val="28"/>
        </w:rPr>
        <w:t xml:space="preserve">. It wasn't profitable to invest in the company during FY 13-14 and 14-15. </w:t>
      </w:r>
    </w:p>
    <w:p w:rsidR="00436374" w:rsidRDefault="00436374" w:rsidP="00436374">
      <w:pPr>
        <w:rPr>
          <w:rFonts w:ascii="Times New Roman" w:eastAsia="Times New Roman" w:hAnsi="Times New Roman" w:cs="Times New Roman"/>
          <w:color w:val="000000"/>
          <w:sz w:val="28"/>
          <w:szCs w:val="28"/>
        </w:rPr>
      </w:pPr>
    </w:p>
    <w:p w:rsidR="00436374" w:rsidRDefault="00C8458C" w:rsidP="0043637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optimal weights for </w:t>
      </w:r>
      <w:r>
        <w:rPr>
          <w:rFonts w:ascii="Times New Roman" w:eastAsia="Times New Roman" w:hAnsi="Times New Roman" w:cs="Times New Roman"/>
          <w:b/>
          <w:color w:val="000000"/>
          <w:sz w:val="28"/>
          <w:szCs w:val="28"/>
        </w:rPr>
        <w:t>Oberoi Realty Ltd</w:t>
      </w:r>
      <w:r w:rsidR="009B5564">
        <w:rPr>
          <w:rFonts w:ascii="Times New Roman" w:eastAsia="Times New Roman" w:hAnsi="Times New Roman" w:cs="Times New Roman"/>
          <w:color w:val="000000"/>
          <w:sz w:val="28"/>
          <w:szCs w:val="28"/>
        </w:rPr>
        <w:t xml:space="preserve"> for FY 13-14, 14-15</w:t>
      </w:r>
      <w:r>
        <w:rPr>
          <w:rFonts w:ascii="Times New Roman" w:eastAsia="Times New Roman" w:hAnsi="Times New Roman" w:cs="Times New Roman"/>
          <w:color w:val="000000"/>
          <w:sz w:val="28"/>
          <w:szCs w:val="28"/>
        </w:rPr>
        <w:t xml:space="preserve"> and 5 </w:t>
      </w:r>
      <w:proofErr w:type="spellStart"/>
      <w:r>
        <w:rPr>
          <w:rFonts w:ascii="Times New Roman" w:eastAsia="Times New Roman" w:hAnsi="Times New Roman" w:cs="Times New Roman"/>
          <w:color w:val="000000"/>
          <w:sz w:val="28"/>
          <w:szCs w:val="28"/>
        </w:rPr>
        <w:t>yr</w:t>
      </w:r>
      <w:proofErr w:type="spellEnd"/>
      <w:r w:rsidR="009B5564">
        <w:rPr>
          <w:rFonts w:ascii="Times New Roman" w:eastAsia="Times New Roman" w:hAnsi="Times New Roman" w:cs="Times New Roman"/>
          <w:color w:val="000000"/>
          <w:sz w:val="28"/>
          <w:szCs w:val="28"/>
        </w:rPr>
        <w:t xml:space="preserve"> portfolio are 0. 286030642, 0</w:t>
      </w:r>
      <w:r>
        <w:rPr>
          <w:rFonts w:ascii="Times New Roman" w:eastAsia="Times New Roman" w:hAnsi="Times New Roman" w:cs="Times New Roman"/>
          <w:color w:val="000000"/>
          <w:sz w:val="28"/>
          <w:szCs w:val="28"/>
        </w:rPr>
        <w:t xml:space="preserve"> and 0 respectively. This shows that the company performed well only during FY 13-14.</w:t>
      </w:r>
    </w:p>
    <w:p w:rsidR="00436374" w:rsidRDefault="00436374" w:rsidP="00436374">
      <w:pPr>
        <w:rPr>
          <w:rFonts w:ascii="Times New Roman" w:eastAsia="Times New Roman" w:hAnsi="Times New Roman" w:cs="Times New Roman"/>
          <w:color w:val="000000"/>
          <w:sz w:val="28"/>
          <w:szCs w:val="28"/>
        </w:rPr>
      </w:pPr>
    </w:p>
    <w:p w:rsidR="003A30E4" w:rsidRDefault="00C8458C" w:rsidP="00436374">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optimal weights for </w:t>
      </w:r>
      <w:r>
        <w:rPr>
          <w:rFonts w:ascii="Times New Roman" w:eastAsia="Times New Roman" w:hAnsi="Times New Roman" w:cs="Times New Roman"/>
          <w:b/>
          <w:color w:val="000000"/>
          <w:sz w:val="28"/>
          <w:szCs w:val="28"/>
        </w:rPr>
        <w:t>Godrej Consumer Products Ltd</w:t>
      </w:r>
      <w:r>
        <w:rPr>
          <w:rFonts w:ascii="Times New Roman" w:eastAsia="Times New Roman" w:hAnsi="Times New Roman" w:cs="Times New Roman"/>
          <w:color w:val="000000"/>
          <w:sz w:val="28"/>
          <w:szCs w:val="28"/>
        </w:rPr>
        <w:t xml:space="preserve"> for FY 13-14, 14-15, and 5 </w:t>
      </w:r>
      <w:proofErr w:type="spellStart"/>
      <w:r>
        <w:rPr>
          <w:rFonts w:ascii="Times New Roman" w:eastAsia="Times New Roman" w:hAnsi="Times New Roman" w:cs="Times New Roman"/>
          <w:color w:val="000000"/>
          <w:sz w:val="28"/>
          <w:szCs w:val="28"/>
        </w:rPr>
        <w:t>yr</w:t>
      </w:r>
      <w:proofErr w:type="spellEnd"/>
      <w:r>
        <w:rPr>
          <w:rFonts w:ascii="Times New Roman" w:eastAsia="Times New Roman" w:hAnsi="Times New Roman" w:cs="Times New Roman"/>
          <w:color w:val="000000"/>
          <w:sz w:val="28"/>
          <w:szCs w:val="28"/>
        </w:rPr>
        <w:t xml:space="preserve"> portfolio are 0, 0, and 0.047085 respectively. This shows that the company </w:t>
      </w:r>
      <w:r w:rsidR="00E0750E">
        <w:rPr>
          <w:rFonts w:ascii="Times New Roman" w:eastAsia="Times New Roman" w:hAnsi="Times New Roman" w:cs="Times New Roman"/>
          <w:color w:val="000000"/>
          <w:sz w:val="28"/>
          <w:szCs w:val="28"/>
        </w:rPr>
        <w:t>performed quite well during 5 year.</w:t>
      </w:r>
      <w:r>
        <w:rPr>
          <w:rFonts w:ascii="Times New Roman" w:eastAsia="Times New Roman" w:hAnsi="Times New Roman" w:cs="Times New Roman"/>
          <w:color w:val="000000"/>
          <w:sz w:val="28"/>
          <w:szCs w:val="28"/>
        </w:rPr>
        <w:t xml:space="preserve"> It wasn't profitable to invest in the company during FY 13-14, 1</w:t>
      </w:r>
      <w:r w:rsidR="00E0750E">
        <w:rPr>
          <w:rFonts w:ascii="Times New Roman" w:eastAsia="Times New Roman" w:hAnsi="Times New Roman" w:cs="Times New Roman"/>
          <w:color w:val="000000"/>
          <w:sz w:val="28"/>
          <w:szCs w:val="28"/>
        </w:rPr>
        <w:t>4-15</w:t>
      </w:r>
      <w:r>
        <w:rPr>
          <w:rFonts w:ascii="Times New Roman" w:eastAsia="Times New Roman" w:hAnsi="Times New Roman" w:cs="Times New Roman"/>
          <w:color w:val="000000"/>
          <w:sz w:val="28"/>
          <w:szCs w:val="28"/>
        </w:rPr>
        <w:t xml:space="preserve">. Long term investment (5 </w:t>
      </w:r>
      <w:proofErr w:type="spellStart"/>
      <w:r>
        <w:rPr>
          <w:rFonts w:ascii="Times New Roman" w:eastAsia="Times New Roman" w:hAnsi="Times New Roman" w:cs="Times New Roman"/>
          <w:color w:val="000000"/>
          <w:sz w:val="28"/>
          <w:szCs w:val="28"/>
        </w:rPr>
        <w:t>yr</w:t>
      </w:r>
      <w:proofErr w:type="spellEnd"/>
      <w:r>
        <w:rPr>
          <w:rFonts w:ascii="Times New Roman" w:eastAsia="Times New Roman" w:hAnsi="Times New Roman" w:cs="Times New Roman"/>
          <w:color w:val="000000"/>
          <w:sz w:val="28"/>
          <w:szCs w:val="28"/>
        </w:rPr>
        <w:t>) in the company turned out to be profitable for the investors.</w:t>
      </w:r>
    </w:p>
    <w:p w:rsidR="003A30E4" w:rsidRDefault="00C8458C">
      <w:pPr>
        <w:pStyle w:val="Subtitle"/>
        <w:spacing w:before="160" w:line="240" w:lineRule="auto"/>
        <w:ind w:right="140"/>
        <w:jc w:val="both"/>
        <w:rPr>
          <w:rFonts w:ascii="Times New Roman" w:eastAsia="Times New Roman" w:hAnsi="Times New Roman" w:cs="Times New Roman"/>
          <w:b/>
          <w:color w:val="000000"/>
        </w:rPr>
      </w:pPr>
      <w:bookmarkStart w:id="28" w:name="_q1a5ssro9a5p" w:colFirst="0" w:colLast="0"/>
      <w:bookmarkStart w:id="29" w:name="_26joop38x3t5" w:colFirst="0" w:colLast="0"/>
      <w:bookmarkEnd w:id="28"/>
      <w:bookmarkEnd w:id="29"/>
      <w:r>
        <w:rPr>
          <w:rFonts w:ascii="Times New Roman" w:eastAsia="Times New Roman" w:hAnsi="Times New Roman" w:cs="Times New Roman"/>
          <w:b/>
          <w:color w:val="000000"/>
        </w:rPr>
        <w:lastRenderedPageBreak/>
        <w:t>Conclusion</w:t>
      </w:r>
    </w:p>
    <w:p w:rsidR="003A30E4" w:rsidRDefault="00C8458C">
      <w:pPr>
        <w:pStyle w:val="Subtitle"/>
        <w:spacing w:before="160" w:line="240" w:lineRule="auto"/>
        <w:ind w:right="1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this report, we chose five different companies from different sectors of the market and analyzed the performance of the stocks and compared their performance to the market and that perceived by the investors. We tried to justify which portfolio worked better for an investor for a particular time period or whether the investor was well of just by investing in the government bonds instead. We tried to gauge asset’s performance relative to risk as well as the minimum rate of return that any investor expects from the market accounting for the time value of money. We have analyzed the assets individually and also in a portfolio. We compared the equally weighted portfolio with the optimized portfolio using Excel and found the optimal solution that maximizes the Sharpe Ratio of the portfolio constrained by the weights of the portfolio.</w:t>
      </w:r>
    </w:p>
    <w:p w:rsidR="003A30E4" w:rsidRDefault="00C8458C">
      <w:pPr>
        <w:pStyle w:val="Subtitle"/>
        <w:spacing w:before="160" w:after="0" w:line="240" w:lineRule="auto"/>
        <w:ind w:right="140"/>
        <w:jc w:val="both"/>
        <w:rPr>
          <w:rFonts w:ascii="Times New Roman" w:eastAsia="Times New Roman" w:hAnsi="Times New Roman" w:cs="Times New Roman"/>
          <w:color w:val="000000"/>
          <w:sz w:val="28"/>
          <w:szCs w:val="28"/>
        </w:rPr>
      </w:pPr>
      <w:bookmarkStart w:id="30" w:name="_pve4invqlxi1" w:colFirst="0" w:colLast="0"/>
      <w:bookmarkEnd w:id="30"/>
      <w:r>
        <w:rPr>
          <w:rFonts w:ascii="Times New Roman" w:eastAsia="Times New Roman" w:hAnsi="Times New Roman" w:cs="Times New Roman"/>
          <w:color w:val="000000"/>
          <w:sz w:val="28"/>
          <w:szCs w:val="28"/>
        </w:rPr>
        <w:t>Hence, we have used the following measures to evaluate the performance of various assets and portfolio of assets over different holding periods:</w:t>
      </w:r>
    </w:p>
    <w:p w:rsidR="003A30E4" w:rsidRDefault="00C8458C">
      <w:pPr>
        <w:numPr>
          <w:ilvl w:val="0"/>
          <w:numId w:val="2"/>
        </w:numPr>
        <w:rPr>
          <w:sz w:val="28"/>
          <w:szCs w:val="28"/>
        </w:rPr>
      </w:pPr>
      <w:r>
        <w:rPr>
          <w:sz w:val="28"/>
          <w:szCs w:val="28"/>
        </w:rPr>
        <w:t>Annual return</w:t>
      </w:r>
    </w:p>
    <w:p w:rsidR="003A30E4" w:rsidRDefault="00C8458C">
      <w:pPr>
        <w:numPr>
          <w:ilvl w:val="0"/>
          <w:numId w:val="2"/>
        </w:numPr>
        <w:rPr>
          <w:sz w:val="28"/>
          <w:szCs w:val="28"/>
        </w:rPr>
      </w:pPr>
      <w:r>
        <w:rPr>
          <w:sz w:val="28"/>
          <w:szCs w:val="28"/>
        </w:rPr>
        <w:t>Sharpe Ratio</w:t>
      </w:r>
    </w:p>
    <w:p w:rsidR="003A30E4" w:rsidRDefault="00C8458C">
      <w:pPr>
        <w:numPr>
          <w:ilvl w:val="0"/>
          <w:numId w:val="2"/>
        </w:numPr>
        <w:rPr>
          <w:sz w:val="28"/>
          <w:szCs w:val="28"/>
        </w:rPr>
      </w:pPr>
      <w:r>
        <w:rPr>
          <w:sz w:val="28"/>
          <w:szCs w:val="28"/>
        </w:rPr>
        <w:t>CAPM Model</w:t>
      </w:r>
    </w:p>
    <w:p w:rsidR="003A30E4" w:rsidRDefault="00C8458C">
      <w:pPr>
        <w:numPr>
          <w:ilvl w:val="0"/>
          <w:numId w:val="2"/>
        </w:numPr>
        <w:rPr>
          <w:sz w:val="28"/>
          <w:szCs w:val="28"/>
        </w:rPr>
      </w:pPr>
      <w:r>
        <w:rPr>
          <w:sz w:val="28"/>
          <w:szCs w:val="28"/>
        </w:rPr>
        <w:t>Standard Deviation</w:t>
      </w:r>
    </w:p>
    <w:p w:rsidR="003A30E4" w:rsidRDefault="00C8458C">
      <w:pPr>
        <w:pStyle w:val="Subtitle"/>
        <w:spacing w:before="180" w:after="0" w:line="240" w:lineRule="auto"/>
        <w:ind w:right="140"/>
        <w:jc w:val="both"/>
        <w:rPr>
          <w:rFonts w:ascii="Times New Roman" w:eastAsia="Times New Roman" w:hAnsi="Times New Roman" w:cs="Times New Roman"/>
          <w:color w:val="000000"/>
          <w:sz w:val="28"/>
          <w:szCs w:val="28"/>
        </w:rPr>
      </w:pPr>
      <w:bookmarkStart w:id="31" w:name="_ogr1xv7jl2w4" w:colFirst="0" w:colLast="0"/>
      <w:bookmarkEnd w:id="31"/>
      <w:r>
        <w:rPr>
          <w:rFonts w:ascii="Times New Roman" w:eastAsia="Times New Roman" w:hAnsi="Times New Roman" w:cs="Times New Roman"/>
          <w:color w:val="000000"/>
          <w:sz w:val="28"/>
          <w:szCs w:val="28"/>
        </w:rPr>
        <w:t>The above parameters have been used to perform an analysis of the chosen company stocks and portfolios of various stocks with different weights.</w:t>
      </w:r>
    </w:p>
    <w:p w:rsidR="003A30E4" w:rsidRDefault="003A30E4">
      <w:pPr>
        <w:pStyle w:val="Subtitle"/>
        <w:spacing w:before="160"/>
        <w:jc w:val="both"/>
        <w:rPr>
          <w:rFonts w:ascii="Times New Roman" w:eastAsia="Times New Roman" w:hAnsi="Times New Roman" w:cs="Times New Roman"/>
          <w:color w:val="000000"/>
          <w:sz w:val="22"/>
          <w:szCs w:val="22"/>
        </w:rPr>
      </w:pPr>
      <w:bookmarkStart w:id="32" w:name="_uap7uycgnjfc" w:colFirst="0" w:colLast="0"/>
      <w:bookmarkEnd w:id="32"/>
    </w:p>
    <w:p w:rsidR="003A30E4" w:rsidRDefault="00C8458C">
      <w:pPr>
        <w:pStyle w:val="Subtitle"/>
        <w:rPr>
          <w:rFonts w:ascii="Times New Roman" w:eastAsia="Times New Roman" w:hAnsi="Times New Roman" w:cs="Times New Roman"/>
          <w:b/>
          <w:color w:val="000000"/>
        </w:rPr>
      </w:pPr>
      <w:bookmarkStart w:id="33" w:name="_xwt7bfz9yg8k" w:colFirst="0" w:colLast="0"/>
      <w:bookmarkEnd w:id="33"/>
      <w:r>
        <w:br w:type="page"/>
      </w:r>
    </w:p>
    <w:p w:rsidR="003A30E4" w:rsidRDefault="00C8458C">
      <w:pPr>
        <w:pStyle w:val="Subtitle"/>
        <w:rPr>
          <w:rFonts w:ascii="Times New Roman" w:eastAsia="Times New Roman" w:hAnsi="Times New Roman" w:cs="Times New Roman"/>
          <w:b/>
          <w:color w:val="000000"/>
          <w:sz w:val="28"/>
          <w:szCs w:val="28"/>
        </w:rPr>
      </w:pPr>
      <w:bookmarkStart w:id="34" w:name="_s0ojsqibvzhy" w:colFirst="0" w:colLast="0"/>
      <w:bookmarkEnd w:id="34"/>
      <w:r>
        <w:rPr>
          <w:rFonts w:ascii="Times New Roman" w:eastAsia="Times New Roman" w:hAnsi="Times New Roman" w:cs="Times New Roman"/>
          <w:b/>
          <w:color w:val="000000"/>
          <w:sz w:val="28"/>
          <w:szCs w:val="28"/>
        </w:rPr>
        <w:lastRenderedPageBreak/>
        <w:t>References</w:t>
      </w:r>
    </w:p>
    <w:p w:rsidR="003A30E4" w:rsidRDefault="00B40922">
      <w:pPr>
        <w:numPr>
          <w:ilvl w:val="0"/>
          <w:numId w:val="3"/>
        </w:numPr>
        <w:ind w:left="0"/>
        <w:rPr>
          <w:rFonts w:ascii="Times New Roman" w:eastAsia="Times New Roman" w:hAnsi="Times New Roman" w:cs="Times New Roman"/>
          <w:sz w:val="28"/>
          <w:szCs w:val="28"/>
        </w:rPr>
      </w:pPr>
      <w:hyperlink r:id="rId12">
        <w:r w:rsidR="00C8458C">
          <w:rPr>
            <w:rFonts w:ascii="Times New Roman" w:eastAsia="Times New Roman" w:hAnsi="Times New Roman" w:cs="Times New Roman"/>
            <w:color w:val="1155CC"/>
            <w:sz w:val="28"/>
            <w:szCs w:val="28"/>
            <w:u w:val="single"/>
          </w:rPr>
          <w:t>https://www.investopedia.com/terms/s/sharperatio.asp</w:t>
        </w:r>
      </w:hyperlink>
    </w:p>
    <w:p w:rsidR="003A30E4" w:rsidRDefault="00B40922">
      <w:pPr>
        <w:numPr>
          <w:ilvl w:val="0"/>
          <w:numId w:val="3"/>
        </w:numPr>
        <w:ind w:left="0"/>
        <w:rPr>
          <w:rFonts w:ascii="Times New Roman" w:eastAsia="Times New Roman" w:hAnsi="Times New Roman" w:cs="Times New Roman"/>
          <w:sz w:val="28"/>
          <w:szCs w:val="28"/>
        </w:rPr>
      </w:pPr>
      <w:hyperlink r:id="rId13">
        <w:r w:rsidR="00C8458C">
          <w:rPr>
            <w:rFonts w:ascii="Times New Roman" w:eastAsia="Times New Roman" w:hAnsi="Times New Roman" w:cs="Times New Roman"/>
            <w:color w:val="1155CC"/>
            <w:sz w:val="28"/>
            <w:szCs w:val="28"/>
            <w:u w:val="single"/>
          </w:rPr>
          <w:t>http://financialmanagementpro.com/standard-deviation-of-portfolio/</w:t>
        </w:r>
      </w:hyperlink>
    </w:p>
    <w:p w:rsidR="003A30E4" w:rsidRDefault="00B40922">
      <w:pPr>
        <w:numPr>
          <w:ilvl w:val="0"/>
          <w:numId w:val="3"/>
        </w:numPr>
        <w:ind w:left="0"/>
        <w:rPr>
          <w:rFonts w:ascii="Times New Roman" w:eastAsia="Times New Roman" w:hAnsi="Times New Roman" w:cs="Times New Roman"/>
          <w:sz w:val="28"/>
          <w:szCs w:val="28"/>
        </w:rPr>
      </w:pPr>
      <w:hyperlink r:id="rId14">
        <w:r w:rsidR="00C8458C">
          <w:rPr>
            <w:color w:val="1155CC"/>
            <w:sz w:val="28"/>
            <w:szCs w:val="28"/>
            <w:u w:val="single"/>
          </w:rPr>
          <w:t>https://en.wikipedia.org/wiki/Chennai_Petroleum_Corporation</w:t>
        </w:r>
      </w:hyperlink>
    </w:p>
    <w:p w:rsidR="003A30E4" w:rsidRDefault="003A30E4">
      <w:pPr>
        <w:rPr>
          <w:rFonts w:ascii="Times New Roman" w:eastAsia="Times New Roman" w:hAnsi="Times New Roman" w:cs="Times New Roman"/>
          <w:sz w:val="24"/>
          <w:szCs w:val="24"/>
        </w:rPr>
      </w:pPr>
    </w:p>
    <w:sectPr w:rsidR="003A30E4">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4FB" w:rsidRDefault="008E14FB">
      <w:pPr>
        <w:spacing w:line="240" w:lineRule="auto"/>
      </w:pPr>
      <w:r>
        <w:separator/>
      </w:r>
    </w:p>
  </w:endnote>
  <w:endnote w:type="continuationSeparator" w:id="0">
    <w:p w:rsidR="008E14FB" w:rsidRDefault="008E1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922" w:rsidRDefault="00B40922">
    <w:pP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4FB" w:rsidRDefault="008E14FB">
      <w:pPr>
        <w:spacing w:line="240" w:lineRule="auto"/>
      </w:pPr>
      <w:r>
        <w:separator/>
      </w:r>
    </w:p>
  </w:footnote>
  <w:footnote w:type="continuationSeparator" w:id="0">
    <w:p w:rsidR="008E14FB" w:rsidRDefault="008E14FB">
      <w:pPr>
        <w:spacing w:line="240" w:lineRule="auto"/>
      </w:pPr>
      <w:r>
        <w:continuationSeparator/>
      </w:r>
    </w:p>
  </w:footnote>
  <w:footnote w:id="1">
    <w:p w:rsidR="00B40922" w:rsidRDefault="00B40922">
      <w:pPr>
        <w:spacing w:line="240" w:lineRule="auto"/>
        <w:rPr>
          <w:sz w:val="20"/>
          <w:szCs w:val="20"/>
        </w:rPr>
      </w:pPr>
      <w:r>
        <w:rPr>
          <w:vertAlign w:val="superscript"/>
        </w:rPr>
        <w:footnoteRef/>
      </w:r>
      <w:r>
        <w:rPr>
          <w:sz w:val="20"/>
          <w:szCs w:val="20"/>
        </w:rPr>
        <w:t xml:space="preserve"> "Beta Definition - Investopedia." 2 Apr. 2019, </w:t>
      </w:r>
      <w:hyperlink r:id="rId1">
        <w:r>
          <w:rPr>
            <w:color w:val="1155CC"/>
            <w:sz w:val="20"/>
            <w:szCs w:val="20"/>
            <w:u w:val="single"/>
          </w:rPr>
          <w:t>https://www.investopedia.com/terms/b/beta.asp</w:t>
        </w:r>
      </w:hyperlink>
      <w:r>
        <w:rPr>
          <w:sz w:val="20"/>
          <w:szCs w:val="20"/>
        </w:rPr>
        <w:t>. Accessed 13 Apr. 2019.</w:t>
      </w:r>
    </w:p>
  </w:footnote>
  <w:footnote w:id="2">
    <w:p w:rsidR="00B40922" w:rsidRDefault="00B40922">
      <w:pPr>
        <w:spacing w:line="240" w:lineRule="auto"/>
        <w:rPr>
          <w:sz w:val="20"/>
          <w:szCs w:val="20"/>
        </w:rPr>
      </w:pPr>
      <w:r>
        <w:rPr>
          <w:vertAlign w:val="superscript"/>
        </w:rPr>
        <w:footnoteRef/>
      </w:r>
      <w:r>
        <w:rPr>
          <w:sz w:val="20"/>
          <w:szCs w:val="20"/>
        </w:rPr>
        <w:t xml:space="preserve"> "Expected Return - Investopedia." 26 Mar. 2018, </w:t>
      </w:r>
      <w:hyperlink r:id="rId2">
        <w:r>
          <w:rPr>
            <w:color w:val="1155CC"/>
            <w:sz w:val="20"/>
            <w:szCs w:val="20"/>
            <w:u w:val="single"/>
          </w:rPr>
          <w:t>https://www.investopedia.com/terms/e/expectedreturn.asp</w:t>
        </w:r>
      </w:hyperlink>
      <w:r>
        <w:rPr>
          <w:sz w:val="20"/>
          <w:szCs w:val="20"/>
        </w:rPr>
        <w:t>. Accessed 13 Apr. 2019.</w:t>
      </w:r>
    </w:p>
  </w:footnote>
  <w:footnote w:id="3">
    <w:p w:rsidR="00B40922" w:rsidRDefault="00B40922">
      <w:pPr>
        <w:spacing w:line="240" w:lineRule="auto"/>
        <w:rPr>
          <w:sz w:val="20"/>
          <w:szCs w:val="20"/>
        </w:rPr>
      </w:pPr>
      <w:r>
        <w:rPr>
          <w:vertAlign w:val="superscript"/>
        </w:rPr>
        <w:footnoteRef/>
      </w:r>
      <w:r>
        <w:rPr>
          <w:sz w:val="20"/>
          <w:szCs w:val="20"/>
        </w:rPr>
        <w:t xml:space="preserve"> "Required Rate of Return – RRR Definition - Investopedia." 12 Feb. 2019, </w:t>
      </w:r>
      <w:hyperlink r:id="rId3">
        <w:r>
          <w:rPr>
            <w:color w:val="1155CC"/>
            <w:sz w:val="20"/>
            <w:szCs w:val="20"/>
            <w:u w:val="single"/>
          </w:rPr>
          <w:t>https://www.investopedia.com/terms/r/requiredrateofreturn.asp</w:t>
        </w:r>
      </w:hyperlink>
      <w:r>
        <w:rPr>
          <w:sz w:val="20"/>
          <w:szCs w:val="20"/>
        </w:rPr>
        <w:t>. Accessed 13 Apr. 2019.</w:t>
      </w:r>
    </w:p>
  </w:footnote>
  <w:footnote w:id="4">
    <w:p w:rsidR="00B40922" w:rsidRDefault="00B40922">
      <w:pPr>
        <w:spacing w:line="240" w:lineRule="auto"/>
        <w:rPr>
          <w:sz w:val="20"/>
          <w:szCs w:val="20"/>
        </w:rPr>
      </w:pPr>
      <w:r>
        <w:rPr>
          <w:vertAlign w:val="superscript"/>
        </w:rPr>
        <w:footnoteRef/>
      </w:r>
      <w:r>
        <w:rPr>
          <w:sz w:val="20"/>
          <w:szCs w:val="20"/>
        </w:rPr>
        <w:t xml:space="preserve"> "Sharpe Ratio Definition - Investopedia." 7 Apr. 2019, </w:t>
      </w:r>
      <w:hyperlink r:id="rId4">
        <w:r>
          <w:rPr>
            <w:color w:val="1155CC"/>
            <w:sz w:val="20"/>
            <w:szCs w:val="20"/>
            <w:u w:val="single"/>
          </w:rPr>
          <w:t>https://www.investopedia.com/terms/s/sharperatio.asp</w:t>
        </w:r>
      </w:hyperlink>
      <w:r>
        <w:rPr>
          <w:sz w:val="20"/>
          <w:szCs w:val="20"/>
        </w:rPr>
        <w:t>. Accessed 13 Apr. 2019.</w:t>
      </w:r>
    </w:p>
  </w:footnote>
  <w:footnote w:id="5">
    <w:p w:rsidR="00B40922" w:rsidRDefault="00B40922">
      <w:pPr>
        <w:spacing w:line="240" w:lineRule="auto"/>
        <w:rPr>
          <w:sz w:val="20"/>
          <w:szCs w:val="20"/>
        </w:rPr>
      </w:pPr>
      <w:r>
        <w:rPr>
          <w:vertAlign w:val="superscript"/>
        </w:rPr>
        <w:footnoteRef/>
      </w:r>
      <w:r>
        <w:rPr>
          <w:sz w:val="20"/>
          <w:szCs w:val="20"/>
        </w:rPr>
        <w:t xml:space="preserve"> "Capital Asset Pricing Model (CAPM) - Investopedia." 2 Apr. 2019, </w:t>
      </w:r>
      <w:hyperlink r:id="rId5">
        <w:r>
          <w:rPr>
            <w:color w:val="1155CC"/>
            <w:sz w:val="20"/>
            <w:szCs w:val="20"/>
            <w:u w:val="single"/>
          </w:rPr>
          <w:t>https://www.investopedia.com/terms/c/capm.asp</w:t>
        </w:r>
      </w:hyperlink>
      <w:r>
        <w:rPr>
          <w:sz w:val="20"/>
          <w:szCs w:val="20"/>
        </w:rPr>
        <w:t>. Accessed 13 Apr. 2019.</w:t>
      </w:r>
    </w:p>
  </w:footnote>
  <w:footnote w:id="6">
    <w:p w:rsidR="00B40922" w:rsidRDefault="00B40922">
      <w:pPr>
        <w:spacing w:line="240" w:lineRule="auto"/>
        <w:rPr>
          <w:sz w:val="20"/>
          <w:szCs w:val="20"/>
        </w:rPr>
      </w:pPr>
      <w:r>
        <w:rPr>
          <w:vertAlign w:val="superscript"/>
        </w:rPr>
        <w:footnoteRef/>
      </w:r>
      <w:r>
        <w:rPr>
          <w:sz w:val="20"/>
          <w:szCs w:val="20"/>
        </w:rPr>
        <w:t xml:space="preserve"> "Chennai Petroleum Corporation - Wikipedia." </w:t>
      </w:r>
      <w:hyperlink r:id="rId6">
        <w:r>
          <w:rPr>
            <w:color w:val="1155CC"/>
            <w:sz w:val="20"/>
            <w:szCs w:val="20"/>
            <w:u w:val="single"/>
          </w:rPr>
          <w:t>https://en.wikipedia.org/wiki/Chennai_Petroleum_Corporation</w:t>
        </w:r>
      </w:hyperlink>
      <w:r>
        <w:rPr>
          <w:sz w:val="20"/>
          <w:szCs w:val="20"/>
        </w:rPr>
        <w:t>. Accessed 13 Apr. 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922" w:rsidRDefault="00B409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63CA8"/>
    <w:multiLevelType w:val="multilevel"/>
    <w:tmpl w:val="8D7E9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86E3BAF"/>
    <w:multiLevelType w:val="multilevel"/>
    <w:tmpl w:val="BCB05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7996293"/>
    <w:multiLevelType w:val="multilevel"/>
    <w:tmpl w:val="D06A2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4DB5FBF"/>
    <w:multiLevelType w:val="multilevel"/>
    <w:tmpl w:val="D21E5E4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0E4"/>
    <w:rsid w:val="0004219A"/>
    <w:rsid w:val="000B673B"/>
    <w:rsid w:val="000C0499"/>
    <w:rsid w:val="000F5301"/>
    <w:rsid w:val="001F08D2"/>
    <w:rsid w:val="002413FD"/>
    <w:rsid w:val="0030651A"/>
    <w:rsid w:val="003A30E4"/>
    <w:rsid w:val="00436374"/>
    <w:rsid w:val="004C3937"/>
    <w:rsid w:val="004D07C0"/>
    <w:rsid w:val="005574AD"/>
    <w:rsid w:val="005D5530"/>
    <w:rsid w:val="0060253C"/>
    <w:rsid w:val="00672F34"/>
    <w:rsid w:val="007075B3"/>
    <w:rsid w:val="008C7EB8"/>
    <w:rsid w:val="008E14FB"/>
    <w:rsid w:val="009B5564"/>
    <w:rsid w:val="00B40922"/>
    <w:rsid w:val="00C8458C"/>
    <w:rsid w:val="00E0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409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409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9374">
      <w:bodyDiv w:val="1"/>
      <w:marLeft w:val="0"/>
      <w:marRight w:val="0"/>
      <w:marTop w:val="0"/>
      <w:marBottom w:val="0"/>
      <w:divBdr>
        <w:top w:val="none" w:sz="0" w:space="0" w:color="auto"/>
        <w:left w:val="none" w:sz="0" w:space="0" w:color="auto"/>
        <w:bottom w:val="none" w:sz="0" w:space="0" w:color="auto"/>
        <w:right w:val="none" w:sz="0" w:space="0" w:color="auto"/>
      </w:divBdr>
    </w:div>
    <w:div w:id="481896562">
      <w:bodyDiv w:val="1"/>
      <w:marLeft w:val="0"/>
      <w:marRight w:val="0"/>
      <w:marTop w:val="0"/>
      <w:marBottom w:val="0"/>
      <w:divBdr>
        <w:top w:val="none" w:sz="0" w:space="0" w:color="auto"/>
        <w:left w:val="none" w:sz="0" w:space="0" w:color="auto"/>
        <w:bottom w:val="none" w:sz="0" w:space="0" w:color="auto"/>
        <w:right w:val="none" w:sz="0" w:space="0" w:color="auto"/>
      </w:divBdr>
    </w:div>
    <w:div w:id="818496844">
      <w:bodyDiv w:val="1"/>
      <w:marLeft w:val="0"/>
      <w:marRight w:val="0"/>
      <w:marTop w:val="0"/>
      <w:marBottom w:val="0"/>
      <w:divBdr>
        <w:top w:val="none" w:sz="0" w:space="0" w:color="auto"/>
        <w:left w:val="none" w:sz="0" w:space="0" w:color="auto"/>
        <w:bottom w:val="none" w:sz="0" w:space="0" w:color="auto"/>
        <w:right w:val="none" w:sz="0" w:space="0" w:color="auto"/>
      </w:divBdr>
    </w:div>
    <w:div w:id="985358519">
      <w:bodyDiv w:val="1"/>
      <w:marLeft w:val="0"/>
      <w:marRight w:val="0"/>
      <w:marTop w:val="0"/>
      <w:marBottom w:val="0"/>
      <w:divBdr>
        <w:top w:val="none" w:sz="0" w:space="0" w:color="auto"/>
        <w:left w:val="none" w:sz="0" w:space="0" w:color="auto"/>
        <w:bottom w:val="none" w:sz="0" w:space="0" w:color="auto"/>
        <w:right w:val="none" w:sz="0" w:space="0" w:color="auto"/>
      </w:divBdr>
    </w:div>
    <w:div w:id="1025836708">
      <w:bodyDiv w:val="1"/>
      <w:marLeft w:val="0"/>
      <w:marRight w:val="0"/>
      <w:marTop w:val="0"/>
      <w:marBottom w:val="0"/>
      <w:divBdr>
        <w:top w:val="none" w:sz="0" w:space="0" w:color="auto"/>
        <w:left w:val="none" w:sz="0" w:space="0" w:color="auto"/>
        <w:bottom w:val="none" w:sz="0" w:space="0" w:color="auto"/>
        <w:right w:val="none" w:sz="0" w:space="0" w:color="auto"/>
      </w:divBdr>
    </w:div>
    <w:div w:id="1297755920">
      <w:bodyDiv w:val="1"/>
      <w:marLeft w:val="0"/>
      <w:marRight w:val="0"/>
      <w:marTop w:val="0"/>
      <w:marBottom w:val="0"/>
      <w:divBdr>
        <w:top w:val="none" w:sz="0" w:space="0" w:color="auto"/>
        <w:left w:val="none" w:sz="0" w:space="0" w:color="auto"/>
        <w:bottom w:val="none" w:sz="0" w:space="0" w:color="auto"/>
        <w:right w:val="none" w:sz="0" w:space="0" w:color="auto"/>
      </w:divBdr>
    </w:div>
    <w:div w:id="1658724102">
      <w:bodyDiv w:val="1"/>
      <w:marLeft w:val="0"/>
      <w:marRight w:val="0"/>
      <w:marTop w:val="0"/>
      <w:marBottom w:val="0"/>
      <w:divBdr>
        <w:top w:val="none" w:sz="0" w:space="0" w:color="auto"/>
        <w:left w:val="none" w:sz="0" w:space="0" w:color="auto"/>
        <w:bottom w:val="none" w:sz="0" w:space="0" w:color="auto"/>
        <w:right w:val="none" w:sz="0" w:space="0" w:color="auto"/>
      </w:divBdr>
    </w:div>
    <w:div w:id="1868717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seindia.com/index_nse.htm" TargetMode="External"/><Relationship Id="rId13" Type="http://schemas.openxmlformats.org/officeDocument/2006/relationships/hyperlink" Target="http://financialmanagementpro.com/standard-deviation-of-portfoli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nvestopedia.com/terms/s/sharperatio.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Chennai_Petroleum_Corporat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nvestopedia.com/terms/r/requiredrateofreturn.asp" TargetMode="External"/><Relationship Id="rId2" Type="http://schemas.openxmlformats.org/officeDocument/2006/relationships/hyperlink" Target="https://www.investopedia.com/terms/e/expectedreturn.asp" TargetMode="External"/><Relationship Id="rId1" Type="http://schemas.openxmlformats.org/officeDocument/2006/relationships/hyperlink" Target="https://www.investopedia.com/terms/b/beta.asp" TargetMode="External"/><Relationship Id="rId6" Type="http://schemas.openxmlformats.org/officeDocument/2006/relationships/hyperlink" Target="https://en.wikipedia.org/wiki/Chennai_Petroleum_Corporation" TargetMode="External"/><Relationship Id="rId5" Type="http://schemas.openxmlformats.org/officeDocument/2006/relationships/hyperlink" Target="https://www.investopedia.com/terms/c/capm.asp" TargetMode="External"/><Relationship Id="rId4" Type="http://schemas.openxmlformats.org/officeDocument/2006/relationships/hyperlink" Target="https://www.investopedia.com/terms/s/sharperati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 singhal</dc:creator>
  <cp:lastModifiedBy>Umesh</cp:lastModifiedBy>
  <cp:revision>2</cp:revision>
  <dcterms:created xsi:type="dcterms:W3CDTF">2019-04-15T19:21:00Z</dcterms:created>
  <dcterms:modified xsi:type="dcterms:W3CDTF">2019-04-15T19:21:00Z</dcterms:modified>
</cp:coreProperties>
</file>