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BC" w:rsidRPr="00E94AE2" w:rsidRDefault="002366BC" w:rsidP="002366BC">
      <w:pPr>
        <w:spacing w:line="480" w:lineRule="auto"/>
        <w:jc w:val="right"/>
      </w:pPr>
      <w:r w:rsidRPr="00E94AE2">
        <w:t>Moti Begna</w:t>
      </w:r>
    </w:p>
    <w:p w:rsidR="002366BC" w:rsidRPr="00E94AE2" w:rsidRDefault="002366BC" w:rsidP="002366BC">
      <w:pPr>
        <w:spacing w:line="480" w:lineRule="auto"/>
        <w:jc w:val="right"/>
      </w:pPr>
      <w:r w:rsidRPr="00E94AE2">
        <w:t>FSOS 3101</w:t>
      </w:r>
    </w:p>
    <w:p w:rsidR="002366BC" w:rsidRPr="00E94AE2" w:rsidRDefault="002366BC" w:rsidP="002366BC">
      <w:pPr>
        <w:spacing w:line="480" w:lineRule="auto"/>
        <w:jc w:val="right"/>
      </w:pPr>
      <w:r>
        <w:t>11/8/2019</w:t>
      </w:r>
    </w:p>
    <w:p w:rsidR="002366BC" w:rsidRDefault="002366BC">
      <w:pPr>
        <w:rPr>
          <w:b/>
          <w:u w:val="single"/>
        </w:rPr>
      </w:pPr>
    </w:p>
    <w:p w:rsidR="004A5246" w:rsidRDefault="00DD76CB">
      <w:pPr>
        <w:rPr>
          <w:b/>
          <w:u w:val="single"/>
        </w:rPr>
      </w:pPr>
      <w:r>
        <w:rPr>
          <w:b/>
          <w:u w:val="single"/>
        </w:rPr>
        <w:t>Worksheet 2: Personal Cash Flow Statement</w:t>
      </w:r>
      <w:r>
        <w:rPr>
          <w:b/>
        </w:rPr>
        <w:t xml:space="preserve"> </w:t>
      </w:r>
      <w:r>
        <w:t>(12 points)</w:t>
      </w:r>
    </w:p>
    <w:p w:rsidR="004A5246" w:rsidRDefault="004A5246">
      <w:pPr>
        <w:rPr>
          <w:b/>
          <w:u w:val="single"/>
        </w:rPr>
      </w:pPr>
    </w:p>
    <w:p w:rsidR="004A5246" w:rsidRDefault="00DD76CB">
      <w:pPr>
        <w:rPr>
          <w:color w:val="333333"/>
          <w:highlight w:val="white"/>
        </w:rPr>
      </w:pPr>
      <w:r>
        <w:rPr>
          <w:u w:val="single"/>
        </w:rPr>
        <w:t>Directions:</w:t>
      </w:r>
      <w:r>
        <w:t xml:space="preserve">  Prepare an income and expense cash flow statement for a month. Answer response questions below. </w:t>
      </w:r>
    </w:p>
    <w:p w:rsidR="004A5246" w:rsidRDefault="00DD76CB">
      <w:r>
        <w:rPr>
          <w:color w:val="333333"/>
          <w:highlight w:val="white"/>
        </w:rPr>
        <w:t xml:space="preserve">*All worksheet answers </w:t>
      </w:r>
      <w:r>
        <w:rPr>
          <w:b/>
          <w:color w:val="333333"/>
          <w:highlight w:val="white"/>
        </w:rPr>
        <w:t xml:space="preserve">MUST be TYPED </w:t>
      </w:r>
      <w:r w:rsidR="002D3F7E">
        <w:rPr>
          <w:color w:val="333333"/>
          <w:highlight w:val="white"/>
        </w:rPr>
        <w:t>or 2</w:t>
      </w:r>
      <w:r>
        <w:rPr>
          <w:color w:val="333333"/>
          <w:highlight w:val="white"/>
        </w:rPr>
        <w:t xml:space="preserve"> points will be take off for each assignment turned in not typed (i.e., handwriting)</w:t>
      </w:r>
    </w:p>
    <w:p w:rsidR="004A5246" w:rsidRDefault="004A5246"/>
    <w:tbl>
      <w:tblPr>
        <w:tblStyle w:val="a"/>
        <w:tblW w:w="100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1575"/>
        <w:gridCol w:w="270"/>
        <w:gridCol w:w="675"/>
        <w:gridCol w:w="2475"/>
        <w:gridCol w:w="1575"/>
        <w:gridCol w:w="600"/>
      </w:tblGrid>
      <w:tr w:rsidR="004A5246">
        <w:trPr>
          <w:trHeight w:val="240"/>
        </w:trPr>
        <w:tc>
          <w:tcPr>
            <w:tcW w:w="4725" w:type="dxa"/>
            <w:gridSpan w:val="3"/>
            <w:shd w:val="clear" w:color="auto" w:fill="auto"/>
            <w:vAlign w:val="bottom"/>
          </w:tcPr>
          <w:p w:rsidR="004A5246" w:rsidRDefault="00DD76CB">
            <w:pPr>
              <w:jc w:val="center"/>
            </w:pPr>
            <w:r>
              <w:rPr>
                <w:b/>
              </w:rPr>
              <w:t>Cash Inflows</w:t>
            </w:r>
          </w:p>
        </w:tc>
        <w:tc>
          <w:tcPr>
            <w:tcW w:w="675" w:type="dxa"/>
            <w:tcBorders>
              <w:left w:val="nil"/>
            </w:tcBorders>
            <w:shd w:val="clear" w:color="auto" w:fill="D9D9D9"/>
            <w:vAlign w:val="bottom"/>
          </w:tcPr>
          <w:p w:rsidR="004A5246" w:rsidRDefault="004A5246">
            <w:pPr>
              <w:jc w:val="center"/>
            </w:pPr>
          </w:p>
        </w:tc>
        <w:tc>
          <w:tcPr>
            <w:tcW w:w="4650" w:type="dxa"/>
            <w:gridSpan w:val="3"/>
            <w:shd w:val="clear" w:color="auto" w:fill="auto"/>
            <w:vAlign w:val="bottom"/>
          </w:tcPr>
          <w:p w:rsidR="004A5246" w:rsidRDefault="00DD76CB">
            <w:pPr>
              <w:jc w:val="center"/>
            </w:pPr>
            <w:r>
              <w:rPr>
                <w:b/>
              </w:rPr>
              <w:t>Cash Outflows</w:t>
            </w:r>
          </w:p>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DD76CB">
            <w:pPr>
              <w:jc w:val="center"/>
              <w:rPr>
                <w:b/>
              </w:rPr>
            </w:pPr>
            <w:r>
              <w:rPr>
                <w:b/>
              </w:rPr>
              <w:t>Monthly</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pPr>
              <w:jc w:val="center"/>
            </w:pPr>
          </w:p>
        </w:tc>
        <w:tc>
          <w:tcPr>
            <w:tcW w:w="2475" w:type="dxa"/>
            <w:shd w:val="clear" w:color="auto" w:fill="auto"/>
            <w:vAlign w:val="bottom"/>
          </w:tcPr>
          <w:p w:rsidR="004A5246" w:rsidRDefault="004A5246"/>
        </w:tc>
        <w:tc>
          <w:tcPr>
            <w:tcW w:w="1575" w:type="dxa"/>
            <w:tcBorders>
              <w:right w:val="nil"/>
            </w:tcBorders>
            <w:shd w:val="clear" w:color="auto" w:fill="auto"/>
            <w:vAlign w:val="bottom"/>
          </w:tcPr>
          <w:p w:rsidR="004A5246" w:rsidRDefault="00DD76CB">
            <w:pPr>
              <w:jc w:val="center"/>
              <w:rPr>
                <w:b/>
              </w:rPr>
            </w:pPr>
            <w:r>
              <w:rPr>
                <w:b/>
              </w:rPr>
              <w:t>Monthly</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Pr="002366BC" w:rsidRDefault="002366BC">
            <w:r>
              <w:t xml:space="preserve">Salary </w:t>
            </w:r>
          </w:p>
        </w:tc>
        <w:tc>
          <w:tcPr>
            <w:tcW w:w="1575" w:type="dxa"/>
            <w:tcBorders>
              <w:right w:val="nil"/>
            </w:tcBorders>
            <w:shd w:val="clear" w:color="auto" w:fill="auto"/>
            <w:vAlign w:val="bottom"/>
          </w:tcPr>
          <w:p w:rsidR="004A5246" w:rsidRDefault="002366BC" w:rsidP="002366BC">
            <w:r>
              <w:t>840</w:t>
            </w:r>
            <w:r w:rsidR="007C6304">
              <w:t>.00</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 xml:space="preserve">Utilities </w:t>
            </w:r>
          </w:p>
        </w:tc>
        <w:tc>
          <w:tcPr>
            <w:tcW w:w="1575" w:type="dxa"/>
            <w:tcBorders>
              <w:right w:val="nil"/>
            </w:tcBorders>
            <w:shd w:val="clear" w:color="auto" w:fill="auto"/>
            <w:vAlign w:val="bottom"/>
          </w:tcPr>
          <w:p w:rsidR="004A5246" w:rsidRDefault="002366BC" w:rsidP="002366BC">
            <w:r>
              <w:t>50</w:t>
            </w:r>
            <w:r w:rsidR="007C6304">
              <w:t>.00</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Music Subscription</w:t>
            </w:r>
          </w:p>
        </w:tc>
        <w:tc>
          <w:tcPr>
            <w:tcW w:w="1575" w:type="dxa"/>
            <w:tcBorders>
              <w:right w:val="nil"/>
            </w:tcBorders>
            <w:shd w:val="clear" w:color="auto" w:fill="auto"/>
            <w:vAlign w:val="bottom"/>
          </w:tcPr>
          <w:p w:rsidR="004A5246" w:rsidRDefault="002366BC" w:rsidP="002366BC">
            <w:r>
              <w:t>7.99</w:t>
            </w:r>
            <w:r w:rsidR="00DD76CB">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Netflix Subscription</w:t>
            </w:r>
          </w:p>
        </w:tc>
        <w:tc>
          <w:tcPr>
            <w:tcW w:w="1575" w:type="dxa"/>
            <w:tcBorders>
              <w:right w:val="nil"/>
            </w:tcBorders>
            <w:shd w:val="clear" w:color="auto" w:fill="auto"/>
            <w:vAlign w:val="bottom"/>
          </w:tcPr>
          <w:p w:rsidR="004A5246" w:rsidRDefault="002366BC">
            <w:r>
              <w:t>13.99</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Gym membership</w:t>
            </w:r>
          </w:p>
        </w:tc>
        <w:tc>
          <w:tcPr>
            <w:tcW w:w="1575" w:type="dxa"/>
            <w:tcBorders>
              <w:right w:val="nil"/>
            </w:tcBorders>
            <w:shd w:val="clear" w:color="auto" w:fill="auto"/>
            <w:vAlign w:val="bottom"/>
          </w:tcPr>
          <w:p w:rsidR="004A5246" w:rsidRDefault="002366BC" w:rsidP="002366BC">
            <w:r>
              <w:t>10.00</w:t>
            </w:r>
            <w:r w:rsidR="00DD76CB">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Alcohol</w:t>
            </w:r>
          </w:p>
        </w:tc>
        <w:tc>
          <w:tcPr>
            <w:tcW w:w="1575" w:type="dxa"/>
            <w:tcBorders>
              <w:right w:val="nil"/>
            </w:tcBorders>
            <w:shd w:val="clear" w:color="auto" w:fill="auto"/>
            <w:vAlign w:val="bottom"/>
          </w:tcPr>
          <w:p w:rsidR="004A5246" w:rsidRDefault="002366BC" w:rsidP="002366BC">
            <w:r>
              <w:t>~80.00</w:t>
            </w:r>
            <w:r w:rsidR="00DD76CB">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2366BC" w:rsidRDefault="002366BC">
            <w:r>
              <w:t>Groceries</w:t>
            </w:r>
          </w:p>
        </w:tc>
        <w:tc>
          <w:tcPr>
            <w:tcW w:w="1575" w:type="dxa"/>
            <w:tcBorders>
              <w:right w:val="nil"/>
            </w:tcBorders>
            <w:shd w:val="clear" w:color="auto" w:fill="auto"/>
            <w:vAlign w:val="bottom"/>
          </w:tcPr>
          <w:p w:rsidR="004A5246" w:rsidRDefault="002366BC" w:rsidP="002366BC">
            <w:r>
              <w:t>50.00</w:t>
            </w:r>
            <w:r w:rsidR="00DD76CB">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7C6304" w:rsidRDefault="007C6304">
            <w:r>
              <w:t>Eating out</w:t>
            </w:r>
          </w:p>
        </w:tc>
        <w:tc>
          <w:tcPr>
            <w:tcW w:w="1575" w:type="dxa"/>
            <w:tcBorders>
              <w:right w:val="nil"/>
            </w:tcBorders>
            <w:shd w:val="clear" w:color="auto" w:fill="auto"/>
            <w:vAlign w:val="bottom"/>
          </w:tcPr>
          <w:p w:rsidR="004A5246" w:rsidRDefault="007C6304">
            <w:r>
              <w:t>80.00</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7C6304" w:rsidRDefault="007C6304">
            <w:r>
              <w:t>Entertainment</w:t>
            </w:r>
          </w:p>
        </w:tc>
        <w:tc>
          <w:tcPr>
            <w:tcW w:w="1575" w:type="dxa"/>
            <w:tcBorders>
              <w:right w:val="nil"/>
            </w:tcBorders>
            <w:shd w:val="clear" w:color="auto" w:fill="auto"/>
            <w:vAlign w:val="bottom"/>
          </w:tcPr>
          <w:p w:rsidR="004A5246" w:rsidRDefault="007C6304" w:rsidP="007C6304">
            <w:r>
              <w:t>100.00</w:t>
            </w:r>
            <w:r w:rsidR="00DD76CB">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Pr="007C6304" w:rsidRDefault="007C6304">
            <w:r w:rsidRPr="007C6304">
              <w:t>Transportation</w:t>
            </w:r>
          </w:p>
        </w:tc>
        <w:tc>
          <w:tcPr>
            <w:tcW w:w="1575" w:type="dxa"/>
            <w:tcBorders>
              <w:right w:val="nil"/>
            </w:tcBorders>
            <w:shd w:val="clear" w:color="auto" w:fill="auto"/>
            <w:vAlign w:val="bottom"/>
          </w:tcPr>
          <w:p w:rsidR="004A5246" w:rsidRDefault="007C6304" w:rsidP="007C6304">
            <w:r>
              <w:t>35.00</w:t>
            </w:r>
          </w:p>
        </w:tc>
        <w:tc>
          <w:tcPr>
            <w:tcW w:w="600" w:type="dxa"/>
            <w:tcBorders>
              <w:left w:val="nil"/>
            </w:tcBorders>
            <w:shd w:val="clear" w:color="auto" w:fill="auto"/>
            <w:vAlign w:val="bottom"/>
          </w:tcPr>
          <w:p w:rsidR="004A5246" w:rsidRDefault="004A5246"/>
        </w:tc>
      </w:tr>
      <w:tr w:rsidR="004A5246">
        <w:trPr>
          <w:trHeight w:val="260"/>
        </w:trPr>
        <w:tc>
          <w:tcPr>
            <w:tcW w:w="2880" w:type="dxa"/>
            <w:shd w:val="clear" w:color="auto" w:fill="auto"/>
            <w:vAlign w:val="bottom"/>
          </w:tcPr>
          <w:p w:rsidR="004A5246" w:rsidRDefault="004A5246">
            <w:pPr>
              <w:rPr>
                <w:b/>
                <w:i/>
              </w:rPr>
            </w:pPr>
          </w:p>
        </w:tc>
        <w:tc>
          <w:tcPr>
            <w:tcW w:w="1575" w:type="dxa"/>
            <w:tcBorders>
              <w:right w:val="nil"/>
            </w:tcBorders>
            <w:shd w:val="clear" w:color="auto" w:fill="auto"/>
            <w:vAlign w:val="bottom"/>
          </w:tcPr>
          <w:p w:rsidR="004A5246" w:rsidRDefault="004A5246">
            <w:pPr>
              <w:jc w:val="right"/>
            </w:pP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60"/>
        </w:trPr>
        <w:tc>
          <w:tcPr>
            <w:tcW w:w="2880" w:type="dxa"/>
            <w:shd w:val="clear" w:color="auto" w:fill="auto"/>
            <w:vAlign w:val="bottom"/>
          </w:tcPr>
          <w:p w:rsidR="004A5246" w:rsidRDefault="004A5246">
            <w:pPr>
              <w:rPr>
                <w:i/>
              </w:rPr>
            </w:pPr>
          </w:p>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5A4FBC">
            <w:r>
              <w:rPr>
                <w:b/>
              </w:rPr>
              <w:t>Total Cash Inflows</w:t>
            </w:r>
          </w:p>
        </w:tc>
        <w:tc>
          <w:tcPr>
            <w:tcW w:w="1575" w:type="dxa"/>
            <w:tcBorders>
              <w:right w:val="nil"/>
            </w:tcBorders>
            <w:shd w:val="clear" w:color="auto" w:fill="auto"/>
            <w:vAlign w:val="bottom"/>
          </w:tcPr>
          <w:p w:rsidR="004A5246" w:rsidRDefault="007C6304">
            <w:r>
              <w:t>840.00</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DD76CB">
            <w:pPr>
              <w:jc w:val="right"/>
            </w:pPr>
            <w:r>
              <w:t xml:space="preserve"> </w:t>
            </w:r>
          </w:p>
        </w:tc>
        <w:tc>
          <w:tcPr>
            <w:tcW w:w="600" w:type="dxa"/>
            <w:tcBorders>
              <w:left w:val="nil"/>
            </w:tcBorders>
            <w:shd w:val="clear" w:color="auto" w:fill="auto"/>
            <w:vAlign w:val="bottom"/>
          </w:tcPr>
          <w:p w:rsidR="004A5246" w:rsidRDefault="004A5246"/>
        </w:tc>
      </w:tr>
      <w:tr w:rsidR="004A5246">
        <w:trPr>
          <w:trHeight w:val="260"/>
        </w:trPr>
        <w:tc>
          <w:tcPr>
            <w:tcW w:w="2880" w:type="dxa"/>
            <w:shd w:val="clear" w:color="auto" w:fill="auto"/>
            <w:vAlign w:val="bottom"/>
          </w:tcPr>
          <w:p w:rsidR="004A5246" w:rsidRDefault="004A5246">
            <w:pPr>
              <w:rPr>
                <w:b/>
                <w:u w:val="single"/>
              </w:rPr>
            </w:pPr>
          </w:p>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4A5246">
            <w:pPr>
              <w:jc w:val="right"/>
            </w:pP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rPr>
            </w:pPr>
          </w:p>
        </w:tc>
        <w:tc>
          <w:tcPr>
            <w:tcW w:w="1575" w:type="dxa"/>
            <w:tcBorders>
              <w:right w:val="nil"/>
            </w:tcBorders>
            <w:shd w:val="clear" w:color="auto" w:fill="auto"/>
            <w:vAlign w:val="bottom"/>
          </w:tcPr>
          <w:p w:rsidR="004A5246" w:rsidRDefault="004A5246">
            <w:pPr>
              <w:jc w:val="right"/>
            </w:pP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4A5246">
            <w:pPr>
              <w:rPr>
                <w:b/>
                <w:u w:val="single"/>
              </w:rPr>
            </w:pPr>
          </w:p>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DD76CB">
            <w:pPr>
              <w:rPr>
                <w:b/>
              </w:rPr>
            </w:pPr>
            <w:r>
              <w:rPr>
                <w:b/>
              </w:rPr>
              <w:t>Total Cash Outflows</w:t>
            </w:r>
          </w:p>
        </w:tc>
        <w:tc>
          <w:tcPr>
            <w:tcW w:w="1575" w:type="dxa"/>
            <w:tcBorders>
              <w:right w:val="nil"/>
            </w:tcBorders>
            <w:shd w:val="clear" w:color="auto" w:fill="auto"/>
            <w:vAlign w:val="bottom"/>
          </w:tcPr>
          <w:p w:rsidR="004A5246" w:rsidRDefault="007C6304">
            <w:r>
              <w:t>426.98</w:t>
            </w:r>
          </w:p>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DD76CB">
            <w:pPr>
              <w:rPr>
                <w:b/>
                <w:u w:val="single"/>
              </w:rPr>
            </w:pPr>
            <w:r>
              <w:rPr>
                <w:b/>
                <w:u w:val="single"/>
              </w:rPr>
              <w:t>TOTALS</w:t>
            </w:r>
          </w:p>
        </w:tc>
        <w:tc>
          <w:tcPr>
            <w:tcW w:w="1575" w:type="dxa"/>
            <w:tcBorders>
              <w:right w:val="nil"/>
            </w:tcBorders>
            <w:shd w:val="clear" w:color="auto" w:fill="auto"/>
            <w:vAlign w:val="bottom"/>
          </w:tcPr>
          <w:p w:rsidR="004A5246" w:rsidRDefault="004A5246"/>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600" w:type="dxa"/>
            <w:tcBorders>
              <w:left w:val="nil"/>
            </w:tcBorders>
            <w:shd w:val="clear" w:color="auto" w:fill="auto"/>
            <w:vAlign w:val="bottom"/>
          </w:tcPr>
          <w:p w:rsidR="004A5246" w:rsidRDefault="004A5246"/>
        </w:tc>
      </w:tr>
      <w:tr w:rsidR="004A5246">
        <w:trPr>
          <w:trHeight w:val="240"/>
        </w:trPr>
        <w:tc>
          <w:tcPr>
            <w:tcW w:w="2880" w:type="dxa"/>
            <w:shd w:val="clear" w:color="auto" w:fill="auto"/>
            <w:vAlign w:val="bottom"/>
          </w:tcPr>
          <w:p w:rsidR="004A5246" w:rsidRDefault="005A4FBC">
            <w:pPr>
              <w:rPr>
                <w:b/>
              </w:rPr>
            </w:pPr>
            <w:r>
              <w:rPr>
                <w:b/>
              </w:rPr>
              <w:t xml:space="preserve">Monthly </w:t>
            </w:r>
            <w:r w:rsidR="00DD76CB">
              <w:rPr>
                <w:b/>
              </w:rPr>
              <w:t>Net Cash Flow</w:t>
            </w:r>
            <w:r>
              <w:rPr>
                <w:b/>
              </w:rPr>
              <w:t>:</w:t>
            </w:r>
          </w:p>
        </w:tc>
        <w:tc>
          <w:tcPr>
            <w:tcW w:w="1575" w:type="dxa"/>
            <w:tcBorders>
              <w:right w:val="nil"/>
            </w:tcBorders>
            <w:shd w:val="clear" w:color="auto" w:fill="auto"/>
            <w:vAlign w:val="bottom"/>
          </w:tcPr>
          <w:p w:rsidR="004A5246" w:rsidRDefault="007C6304" w:rsidP="007C6304">
            <w:r>
              <w:t>840</w:t>
            </w:r>
            <w:r>
              <w:t>.00</w:t>
            </w:r>
          </w:p>
        </w:tc>
        <w:tc>
          <w:tcPr>
            <w:tcW w:w="270" w:type="dxa"/>
            <w:tcBorders>
              <w:left w:val="nil"/>
            </w:tcBorders>
            <w:shd w:val="clear" w:color="auto" w:fill="auto"/>
            <w:vAlign w:val="bottom"/>
          </w:tcPr>
          <w:p w:rsidR="004A5246" w:rsidRDefault="004A5246"/>
        </w:tc>
        <w:tc>
          <w:tcPr>
            <w:tcW w:w="675" w:type="dxa"/>
            <w:tcBorders>
              <w:left w:val="nil"/>
            </w:tcBorders>
            <w:shd w:val="clear" w:color="auto" w:fill="D9D9D9"/>
            <w:vAlign w:val="bottom"/>
          </w:tcPr>
          <w:p w:rsidR="004A5246" w:rsidRDefault="004A5246"/>
        </w:tc>
        <w:tc>
          <w:tcPr>
            <w:tcW w:w="2475" w:type="dxa"/>
            <w:shd w:val="clear" w:color="auto" w:fill="auto"/>
            <w:vAlign w:val="bottom"/>
          </w:tcPr>
          <w:p w:rsidR="004A5246" w:rsidRDefault="004A5246"/>
        </w:tc>
        <w:tc>
          <w:tcPr>
            <w:tcW w:w="1575" w:type="dxa"/>
            <w:tcBorders>
              <w:right w:val="nil"/>
            </w:tcBorders>
            <w:shd w:val="clear" w:color="auto" w:fill="auto"/>
            <w:vAlign w:val="bottom"/>
          </w:tcPr>
          <w:p w:rsidR="004A5246" w:rsidRDefault="004A5246"/>
        </w:tc>
        <w:tc>
          <w:tcPr>
            <w:tcW w:w="600" w:type="dxa"/>
            <w:tcBorders>
              <w:left w:val="nil"/>
            </w:tcBorders>
            <w:shd w:val="clear" w:color="auto" w:fill="auto"/>
            <w:vAlign w:val="bottom"/>
          </w:tcPr>
          <w:p w:rsidR="004A5246" w:rsidRDefault="004A5246"/>
        </w:tc>
      </w:tr>
      <w:tr w:rsidR="007C6304">
        <w:trPr>
          <w:trHeight w:val="240"/>
        </w:trPr>
        <w:tc>
          <w:tcPr>
            <w:tcW w:w="2880" w:type="dxa"/>
            <w:shd w:val="clear" w:color="auto" w:fill="auto"/>
            <w:vAlign w:val="bottom"/>
          </w:tcPr>
          <w:p w:rsidR="007C6304" w:rsidRDefault="007C6304" w:rsidP="007C6304">
            <w:pPr>
              <w:rPr>
                <w:b/>
              </w:rPr>
            </w:pPr>
          </w:p>
        </w:tc>
        <w:tc>
          <w:tcPr>
            <w:tcW w:w="1575" w:type="dxa"/>
            <w:tcBorders>
              <w:right w:val="nil"/>
            </w:tcBorders>
            <w:shd w:val="clear" w:color="auto" w:fill="auto"/>
            <w:vAlign w:val="bottom"/>
          </w:tcPr>
          <w:p w:rsidR="007C6304" w:rsidRDefault="007C6304" w:rsidP="007C6304">
            <w:r>
              <w:t xml:space="preserve">- </w:t>
            </w:r>
            <w:r>
              <w:t>426.98</w:t>
            </w:r>
          </w:p>
        </w:tc>
        <w:tc>
          <w:tcPr>
            <w:tcW w:w="270" w:type="dxa"/>
            <w:tcBorders>
              <w:left w:val="nil"/>
            </w:tcBorders>
            <w:shd w:val="clear" w:color="auto" w:fill="auto"/>
            <w:vAlign w:val="bottom"/>
          </w:tcPr>
          <w:p w:rsidR="007C6304" w:rsidRDefault="007C6304" w:rsidP="007C6304"/>
        </w:tc>
        <w:tc>
          <w:tcPr>
            <w:tcW w:w="675" w:type="dxa"/>
            <w:tcBorders>
              <w:left w:val="nil"/>
            </w:tcBorders>
            <w:shd w:val="clear" w:color="auto" w:fill="D9D9D9"/>
            <w:vAlign w:val="bottom"/>
          </w:tcPr>
          <w:p w:rsidR="007C6304" w:rsidRDefault="007C6304" w:rsidP="007C6304"/>
        </w:tc>
        <w:tc>
          <w:tcPr>
            <w:tcW w:w="2475" w:type="dxa"/>
            <w:shd w:val="clear" w:color="auto" w:fill="auto"/>
            <w:vAlign w:val="bottom"/>
          </w:tcPr>
          <w:p w:rsidR="007C6304" w:rsidRDefault="007C6304" w:rsidP="007C6304"/>
        </w:tc>
        <w:tc>
          <w:tcPr>
            <w:tcW w:w="1575" w:type="dxa"/>
            <w:tcBorders>
              <w:right w:val="nil"/>
            </w:tcBorders>
            <w:shd w:val="clear" w:color="auto" w:fill="auto"/>
            <w:vAlign w:val="bottom"/>
          </w:tcPr>
          <w:p w:rsidR="007C6304" w:rsidRDefault="007C6304" w:rsidP="007C6304"/>
        </w:tc>
        <w:tc>
          <w:tcPr>
            <w:tcW w:w="600" w:type="dxa"/>
            <w:tcBorders>
              <w:left w:val="nil"/>
            </w:tcBorders>
            <w:shd w:val="clear" w:color="auto" w:fill="auto"/>
            <w:vAlign w:val="bottom"/>
          </w:tcPr>
          <w:p w:rsidR="007C6304" w:rsidRDefault="007C6304" w:rsidP="007C6304"/>
        </w:tc>
      </w:tr>
      <w:tr w:rsidR="007C6304">
        <w:trPr>
          <w:trHeight w:val="240"/>
        </w:trPr>
        <w:tc>
          <w:tcPr>
            <w:tcW w:w="2880" w:type="dxa"/>
            <w:shd w:val="clear" w:color="auto" w:fill="auto"/>
            <w:vAlign w:val="bottom"/>
          </w:tcPr>
          <w:p w:rsidR="007C6304" w:rsidRDefault="007C6304" w:rsidP="007C6304">
            <w:pPr>
              <w:rPr>
                <w:b/>
              </w:rPr>
            </w:pPr>
          </w:p>
        </w:tc>
        <w:tc>
          <w:tcPr>
            <w:tcW w:w="1575" w:type="dxa"/>
            <w:tcBorders>
              <w:right w:val="nil"/>
            </w:tcBorders>
            <w:shd w:val="clear" w:color="auto" w:fill="auto"/>
            <w:vAlign w:val="bottom"/>
          </w:tcPr>
          <w:p w:rsidR="007C6304" w:rsidRDefault="007C6304" w:rsidP="007C6304">
            <w:r>
              <w:t>= 413.02</w:t>
            </w:r>
          </w:p>
        </w:tc>
        <w:tc>
          <w:tcPr>
            <w:tcW w:w="270" w:type="dxa"/>
            <w:tcBorders>
              <w:left w:val="nil"/>
            </w:tcBorders>
            <w:shd w:val="clear" w:color="auto" w:fill="auto"/>
            <w:vAlign w:val="bottom"/>
          </w:tcPr>
          <w:p w:rsidR="007C6304" w:rsidRDefault="007C6304" w:rsidP="007C6304"/>
        </w:tc>
        <w:tc>
          <w:tcPr>
            <w:tcW w:w="675" w:type="dxa"/>
            <w:tcBorders>
              <w:left w:val="nil"/>
            </w:tcBorders>
            <w:shd w:val="clear" w:color="auto" w:fill="D9D9D9"/>
            <w:vAlign w:val="bottom"/>
          </w:tcPr>
          <w:p w:rsidR="007C6304" w:rsidRDefault="007C6304" w:rsidP="007C6304"/>
        </w:tc>
        <w:tc>
          <w:tcPr>
            <w:tcW w:w="2475" w:type="dxa"/>
            <w:shd w:val="clear" w:color="auto" w:fill="auto"/>
            <w:vAlign w:val="bottom"/>
          </w:tcPr>
          <w:p w:rsidR="007C6304" w:rsidRDefault="007C6304" w:rsidP="007C6304"/>
        </w:tc>
        <w:tc>
          <w:tcPr>
            <w:tcW w:w="1575" w:type="dxa"/>
            <w:tcBorders>
              <w:right w:val="nil"/>
            </w:tcBorders>
            <w:shd w:val="clear" w:color="auto" w:fill="auto"/>
            <w:vAlign w:val="bottom"/>
          </w:tcPr>
          <w:p w:rsidR="007C6304" w:rsidRDefault="007C6304" w:rsidP="007C6304"/>
        </w:tc>
        <w:tc>
          <w:tcPr>
            <w:tcW w:w="600" w:type="dxa"/>
            <w:tcBorders>
              <w:left w:val="nil"/>
            </w:tcBorders>
            <w:shd w:val="clear" w:color="auto" w:fill="auto"/>
            <w:vAlign w:val="bottom"/>
          </w:tcPr>
          <w:p w:rsidR="007C6304" w:rsidRDefault="007C6304" w:rsidP="007C6304"/>
        </w:tc>
      </w:tr>
    </w:tbl>
    <w:p w:rsidR="004A5246" w:rsidRDefault="00DD76CB">
      <w:pPr>
        <w:rPr>
          <w:b/>
          <w:u w:val="single"/>
        </w:rPr>
      </w:pPr>
      <w:r>
        <w:rPr>
          <w:b/>
          <w:u w:val="single"/>
        </w:rPr>
        <w:lastRenderedPageBreak/>
        <w:t xml:space="preserve">Response Questions:  </w:t>
      </w:r>
      <w:r>
        <w:t>(</w:t>
      </w:r>
      <w:r>
        <w:rPr>
          <w:b/>
        </w:rPr>
        <w:t>2 points</w:t>
      </w:r>
      <w:r>
        <w:t xml:space="preserve"> for question 1 and </w:t>
      </w:r>
      <w:r>
        <w:rPr>
          <w:b/>
        </w:rPr>
        <w:t>4 points</w:t>
      </w:r>
      <w:r>
        <w:t xml:space="preserve"> for question 2)</w:t>
      </w:r>
    </w:p>
    <w:p w:rsidR="004A5246" w:rsidRDefault="004A5246">
      <w:pPr>
        <w:rPr>
          <w:b/>
          <w:u w:val="single"/>
        </w:rPr>
      </w:pPr>
    </w:p>
    <w:p w:rsidR="004A5246" w:rsidRDefault="004A5246">
      <w:pPr>
        <w:rPr>
          <w:b/>
          <w:u w:val="single"/>
        </w:rPr>
      </w:pPr>
    </w:p>
    <w:p w:rsidR="004A5246" w:rsidRDefault="00DD76CB">
      <w:pPr>
        <w:numPr>
          <w:ilvl w:val="0"/>
          <w:numId w:val="2"/>
        </w:numPr>
      </w:pPr>
      <w:r>
        <w:t>What surprises you about your cash flow statement</w:t>
      </w:r>
      <w:r w:rsidR="005614C3">
        <w:t xml:space="preserve"> and monthly net cash flow amount</w:t>
      </w:r>
      <w:r>
        <w:t>?  Discuss 2 things that surprised you.</w:t>
      </w:r>
    </w:p>
    <w:p w:rsidR="007C6304" w:rsidRDefault="007C6304" w:rsidP="007C6304">
      <w:pPr>
        <w:ind w:left="720"/>
      </w:pPr>
    </w:p>
    <w:p w:rsidR="007C6304" w:rsidRDefault="007C6304" w:rsidP="007C6304">
      <w:pPr>
        <w:spacing w:line="480" w:lineRule="auto"/>
        <w:ind w:left="720"/>
      </w:pPr>
      <w:r>
        <w:t>One thing that should be mentioned is that my salary has recently increased within the past month (</w:t>
      </w:r>
      <w:r w:rsidR="00F43617">
        <w:t>which</w:t>
      </w:r>
      <w:r>
        <w:t xml:space="preserve"> </w:t>
      </w:r>
      <w:r w:rsidR="00F43617">
        <w:t>explains the discrepancy between worksheet 1 and this statement). That being said, t</w:t>
      </w:r>
      <w:r>
        <w:t xml:space="preserve">he most surprising thing about my cash flow statement is the fact that </w:t>
      </w:r>
      <w:r w:rsidR="00F43617">
        <w:t xml:space="preserve">I (will) actually have a surplus at the end of each month. This would allow me to add more into my savings at the end of each month, and perhaps even spend a little more on entertainment. Another surprising aspect of the statement was the realization that I spend roughly the same amount on eating out as I spend on alcohol, while the amount that I spend on groceries is significantly less. While this isn’t uncommon as a college student, it’s definitely something I wasn’t entirely aware of until I wrote it down. </w:t>
      </w:r>
    </w:p>
    <w:p w:rsidR="004A5246" w:rsidRDefault="004A5246"/>
    <w:p w:rsidR="004A5246" w:rsidRDefault="00DD76CB">
      <w:pPr>
        <w:numPr>
          <w:ilvl w:val="0"/>
          <w:numId w:val="2"/>
        </w:numPr>
      </w:pPr>
      <w:r>
        <w:t xml:space="preserve">Two parts to this question: </w:t>
      </w:r>
    </w:p>
    <w:p w:rsidR="009E5085" w:rsidRDefault="009E5085" w:rsidP="009E5085">
      <w:pPr>
        <w:ind w:left="1800" w:hanging="720"/>
        <w:contextualSpacing/>
      </w:pPr>
      <w:r>
        <w:t>a)</w:t>
      </w:r>
      <w:r>
        <w:tab/>
      </w:r>
      <w:r w:rsidR="00DD76CB">
        <w:t>Where would you like to make changes with your cash flow</w:t>
      </w:r>
      <w:r>
        <w:t xml:space="preserve"> statement? Provide 2 examples.</w:t>
      </w:r>
    </w:p>
    <w:p w:rsidR="00F43617" w:rsidRDefault="00F43617" w:rsidP="009E5085">
      <w:pPr>
        <w:ind w:left="1800" w:hanging="720"/>
        <w:contextualSpacing/>
      </w:pPr>
    </w:p>
    <w:p w:rsidR="00F43617" w:rsidRDefault="00F43617" w:rsidP="00F43617">
      <w:pPr>
        <w:spacing w:line="480" w:lineRule="auto"/>
        <w:ind w:left="1800" w:hanging="720"/>
        <w:contextualSpacing/>
      </w:pPr>
      <w:r>
        <w:t>As mentioned before, I spend less on groceries than I do on both alcohol and eating</w:t>
      </w:r>
    </w:p>
    <w:p w:rsidR="00F43617" w:rsidRDefault="00F43617" w:rsidP="00F43617">
      <w:pPr>
        <w:spacing w:line="480" w:lineRule="auto"/>
        <w:ind w:left="1080"/>
        <w:contextualSpacing/>
      </w:pPr>
      <w:r>
        <w:t>Out. Even though inexpensive grocery stores aren’t readily available where I live, I would like to focus on changing this</w:t>
      </w:r>
      <w:r w:rsidR="00AB3C9C">
        <w:t xml:space="preserve"> by eating out less and spending less on alcohol</w:t>
      </w:r>
      <w:r>
        <w:t xml:space="preserve">. </w:t>
      </w:r>
      <w:r w:rsidR="00AB3C9C">
        <w:t>Another change I would like to make is to spend less on transportation. Most of the amount that I spend on transportation comes from ordering Uber’s/</w:t>
      </w:r>
      <w:proofErr w:type="spellStart"/>
      <w:r w:rsidR="00AB3C9C">
        <w:t>Lyfts</w:t>
      </w:r>
      <w:proofErr w:type="spellEnd"/>
      <w:r w:rsidR="00AB3C9C">
        <w:t xml:space="preserve"> to get to places like downtown and St. Paul. While this is very convenient, it isn’t the best way that I could utilize available transportation if I was looking to cut my spending. </w:t>
      </w:r>
    </w:p>
    <w:p w:rsidR="00F43617" w:rsidRDefault="00F43617" w:rsidP="009E5085">
      <w:pPr>
        <w:ind w:left="1800" w:hanging="720"/>
        <w:contextualSpacing/>
      </w:pPr>
    </w:p>
    <w:p w:rsidR="00F43617" w:rsidRDefault="00F43617" w:rsidP="009E5085">
      <w:pPr>
        <w:ind w:left="1800" w:hanging="720"/>
        <w:contextualSpacing/>
      </w:pPr>
    </w:p>
    <w:p w:rsidR="004A5246" w:rsidRDefault="009E5085" w:rsidP="009E5085">
      <w:pPr>
        <w:ind w:left="1800" w:hanging="720"/>
        <w:contextualSpacing/>
      </w:pPr>
      <w:r>
        <w:lastRenderedPageBreak/>
        <w:t>b)</w:t>
      </w:r>
      <w:r>
        <w:tab/>
      </w:r>
      <w:r w:rsidR="00DD76CB">
        <w:t>For each change listed, provide a financial management strategy that you will use in order to make this change happen.</w:t>
      </w:r>
    </w:p>
    <w:p w:rsidR="004A5246" w:rsidRDefault="004A5246">
      <w:pPr>
        <w:ind w:left="720"/>
      </w:pPr>
    </w:p>
    <w:p w:rsidR="00AB3C9C" w:rsidRDefault="00AB3C9C" w:rsidP="00AB3C9C">
      <w:pPr>
        <w:spacing w:line="480" w:lineRule="auto"/>
        <w:ind w:left="1080"/>
      </w:pPr>
      <w:r>
        <w:t xml:space="preserve">An easy way to manage the first the issue is to simply buy more groceries so that I’m inclined cook more of my own meals rather than eating out as much as I currently do. This will however mean that I should probably find a better grocery store to go to (such as Cub) rather than buying my groceries at the closest Target to my apartment. In addition to this, I can also spend less money on alcohol when I go out by buying my own and drinking with friends at home before we go out. This way, I’ll be less prone to buying as many drinks as I do. </w:t>
      </w:r>
    </w:p>
    <w:p w:rsidR="004A5246" w:rsidRDefault="00AB3C9C" w:rsidP="00AB3C9C">
      <w:pPr>
        <w:spacing w:line="480" w:lineRule="auto"/>
        <w:ind w:left="1080"/>
      </w:pPr>
      <w:r>
        <w:t>To mitigate the amount that I spend on transportation, one plan would be to use that bus more to get to where I need to go. At the beginning of every semester, I buy a bus pass which I use to get to and from campus, however I don’t really use  it for anything other than that. By simply using this pass to get to wherever I need to go</w:t>
      </w:r>
      <w:bookmarkStart w:id="0" w:name="_GoBack"/>
      <w:bookmarkEnd w:id="0"/>
      <w:r w:rsidR="003B18EB">
        <w:t xml:space="preserve"> instead of ordering an Uber/Lyft, I can dramatically cut the amount I spend each month on transportation. </w:t>
      </w:r>
    </w:p>
    <w:sectPr w:rsidR="004A52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65E30"/>
    <w:multiLevelType w:val="multilevel"/>
    <w:tmpl w:val="51708C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B704B1"/>
    <w:multiLevelType w:val="multilevel"/>
    <w:tmpl w:val="5400E1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DF03AFD"/>
    <w:multiLevelType w:val="hybridMultilevel"/>
    <w:tmpl w:val="8F949EC4"/>
    <w:lvl w:ilvl="0" w:tplc="B664C2B0">
      <w:start w:val="8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A5246"/>
    <w:rsid w:val="002366BC"/>
    <w:rsid w:val="002D3F7E"/>
    <w:rsid w:val="003B18EB"/>
    <w:rsid w:val="004A5246"/>
    <w:rsid w:val="005614C3"/>
    <w:rsid w:val="005A4FBC"/>
    <w:rsid w:val="007C6304"/>
    <w:rsid w:val="009E5085"/>
    <w:rsid w:val="00AB3C9C"/>
    <w:rsid w:val="00DD76CB"/>
    <w:rsid w:val="00F4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27B9"/>
  <w15:docId w15:val="{56AE106A-3D72-4C3E-A2E8-CECDE0DB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C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5</cp:revision>
  <dcterms:created xsi:type="dcterms:W3CDTF">2018-06-18T17:54:00Z</dcterms:created>
  <dcterms:modified xsi:type="dcterms:W3CDTF">2019-11-09T02:42:00Z</dcterms:modified>
</cp:coreProperties>
</file>