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Phaeno Barcode &amp; DataMatrix Plan</w:t>
      </w:r>
    </w:p>
    <w:p>
      <w:pPr>
        <w:jc w:val="center"/>
      </w:pPr>
      <w:r>
        <w:rPr>
          <w:i/>
          <w:sz w:val="22"/>
        </w:rPr>
        <w:t>Recommended architecture for tube identification, scanning, printing, and duplicate-ID prevention</w:t>
      </w:r>
    </w:p>
    <w:p>
      <w:r>
        <w:t>Purpose: establish a simple, durable barcode standard for Phaeno laboratory operations and the PSeq Operations System (POS). The core principle is that the barcode identifies the physical container; the database determines what biological material is in that container.</w:t>
      </w:r>
    </w:p>
    <w:p>
      <w:pPr>
        <w:pStyle w:val="Heading1"/>
      </w:pPr>
      <w:r>
        <w:t>1. Recommended Standard</w:t>
      </w:r>
    </w:p>
    <w:p>
      <w:pPr>
        <w:pStyle w:val="ListBullet"/>
      </w:pPr>
      <w:r>
        <w:t>Use manufacturer-prebarcoded tubes whenever practical, especially for long-term sample storage.</w:t>
      </w:r>
    </w:p>
    <w:p>
      <w:pPr>
        <w:pStyle w:val="ListBullet"/>
      </w:pPr>
      <w:r>
        <w:t>Standardize on 2D DataMatrix for small tubes and other compact lab containers.</w:t>
      </w:r>
    </w:p>
    <w:p>
      <w:pPr>
        <w:pStyle w:val="ListBullet"/>
      </w:pPr>
      <w:r>
        <w:t>Use thermal-transfer printing for Phaeno-created labels; use 300 dpi or higher for small DataMatrix symbols.</w:t>
      </w:r>
    </w:p>
    <w:p>
      <w:pPr>
        <w:pStyle w:val="ListBullet"/>
      </w:pPr>
      <w:r>
        <w:t>Treat every barcode as an immutable container identifier, not as a carrier for patient, project, sample type, or other changing metadata.</w:t>
      </w:r>
    </w:p>
    <w:p>
      <w:pPr>
        <w:pStyle w:val="ListBullet"/>
      </w:pPr>
      <w:r>
        <w:t>Make the PSeq Operations System database the authoritative source for container identity.</w:t>
      </w:r>
    </w:p>
    <w:p>
      <w:pPr>
        <w:pStyle w:val="Heading1"/>
      </w:pPr>
      <w:r>
        <w:t>2. What DataMatrix Is</w:t>
      </w:r>
    </w:p>
    <w:p>
      <w:r>
        <w:t>DataMatrix is a compact two-dimensional barcode designed to encode information in a small square or rectangular symbol. It is well suited to laboratory tubes because it can be printed very small, supports error correction, and can be read from different orientations.</w:t>
      </w:r>
    </w:p>
    <w:p>
      <w:r>
        <w:t>For Phaeno, the DataMatrix should normally contain only a short identifier, for example:</w:t>
      </w:r>
    </w:p>
    <w:p>
      <w:r>
        <w:rPr>
          <w:rFonts w:ascii="Consolas" w:hAnsi="Consolas"/>
          <w:b/>
        </w:rPr>
        <w:t>PH-T-00001847</w:t>
      </w:r>
    </w:p>
    <w:p>
      <w:r>
        <w:t>The DataMatrix is simply the machine-readable representation of that string. The POS application does not need to understand the graphical pattern; the scanner decodes it and sends the identifier to the application.</w:t>
      </w:r>
    </w:p>
    <w:p>
      <w:pPr>
        <w:pStyle w:val="Heading1"/>
      </w:pPr>
      <w:r>
        <w:t>3. Container Identity vs. Sample Identity</w:t>
      </w:r>
    </w:p>
    <w:p>
      <w:r>
        <w:t>Keep physical container identity separate from biological sample identity. This makes aliquoting, transfers, storage moves, chain-of-custody, and future automation much easier.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Container</w:t>
            </w:r>
          </w:p>
        </w:tc>
        <w:tc>
          <w:tcPr>
            <w:tcW w:type="dxa" w:w="4968"/>
          </w:tcPr>
          <w:p>
            <w:r>
              <w:t>Sample / Content</w:t>
            </w:r>
          </w:p>
        </w:tc>
      </w:tr>
      <w:tr>
        <w:tc>
          <w:tcPr>
            <w:tcW w:type="dxa" w:w="4968"/>
          </w:tcPr>
          <w:p>
            <w:r>
              <w:t>Internal ContainerId (UUID)</w:t>
            </w:r>
          </w:p>
        </w:tc>
        <w:tc>
          <w:tcPr>
            <w:tcW w:type="dxa" w:w="4968"/>
          </w:tcPr>
          <w:p>
            <w:r>
              <w:t>SampleId / AccessionId</w:t>
            </w:r>
          </w:p>
        </w:tc>
      </w:tr>
      <w:tr>
        <w:tc>
          <w:tcPr>
            <w:tcW w:type="dxa" w:w="4968"/>
          </w:tcPr>
          <w:p>
            <w:r>
              <w:t>Barcode(s)</w:t>
            </w:r>
          </w:p>
        </w:tc>
        <w:tc>
          <w:tcPr>
            <w:tcW w:type="dxa" w:w="4968"/>
          </w:tcPr>
          <w:p>
            <w:r>
              <w:t>Sample type</w:t>
            </w:r>
          </w:p>
        </w:tc>
      </w:tr>
      <w:tr>
        <w:tc>
          <w:tcPr>
            <w:tcW w:type="dxa" w:w="4968"/>
          </w:tcPr>
          <w:p>
            <w:r>
              <w:t>Container type</w:t>
            </w:r>
          </w:p>
        </w:tc>
        <w:tc>
          <w:tcPr>
            <w:tcW w:type="dxa" w:w="4968"/>
          </w:tcPr>
          <w:p>
            <w:r>
              <w:t>Aliquot identity</w:t>
            </w:r>
          </w:p>
        </w:tc>
      </w:tr>
      <w:tr>
        <w:tc>
          <w:tcPr>
            <w:tcW w:type="dxa" w:w="4968"/>
          </w:tcPr>
          <w:p>
            <w:r>
              <w:t>Manufacturer / lot</w:t>
            </w:r>
          </w:p>
        </w:tc>
        <w:tc>
          <w:tcPr>
            <w:tcW w:type="dxa" w:w="4968"/>
          </w:tcPr>
          <w:p>
            <w:r>
              <w:t>Quantity / concentration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Customer / project</w:t>
            </w:r>
          </w:p>
        </w:tc>
      </w:tr>
      <w:tr>
        <w:tc>
          <w:tcPr>
            <w:tcW w:type="dxa" w:w="4968"/>
          </w:tcPr>
          <w:p>
            <w:r>
              <w:t>Current location</w:t>
            </w:r>
          </w:p>
        </w:tc>
        <w:tc>
          <w:tcPr>
            <w:tcW w:type="dxa" w:w="4968"/>
          </w:tcPr>
          <w:p>
            <w:r>
              <w:t>Other biological metadata</w:t>
            </w:r>
          </w:p>
        </w:tc>
      </w:tr>
    </w:tbl>
    <w:p>
      <w:pPr>
        <w:pStyle w:val="Heading1"/>
      </w:pPr>
      <w:r>
        <w:t>4. Recommended POS Data Model</w:t>
      </w:r>
    </w:p>
    <w:p>
      <w:pPr>
        <w:pStyle w:val="Heading2"/>
      </w:pPr>
      <w:r>
        <w:t>Container</w:t>
      </w:r>
    </w:p>
    <w:p>
      <w:r>
        <w:t>Use an internal UUID as the database primary key. Do not use the printed barcode itself as the database primary key.</w:t>
      </w:r>
    </w:p>
    <w:p>
      <w:pPr>
        <w:pStyle w:val="ListBullet"/>
      </w:pPr>
      <w:r>
        <w:t>Id (UUID)</w:t>
      </w:r>
    </w:p>
    <w:p>
      <w:pPr>
        <w:pStyle w:val="ListBullet"/>
      </w:pPr>
      <w:r>
        <w:t>ContainerType</w:t>
      </w:r>
    </w:p>
    <w:p>
      <w:pPr>
        <w:pStyle w:val="ListBullet"/>
      </w:pPr>
      <w:r>
        <w:t>Manufacturer</w:t>
      </w:r>
    </w:p>
    <w:p>
      <w:pPr>
        <w:pStyle w:val="ListBullet"/>
      </w:pPr>
      <w:r>
        <w:t>ManufacturerLot</w:t>
      </w:r>
    </w:p>
    <w:p>
      <w:pPr>
        <w:pStyle w:val="ListBullet"/>
      </w:pPr>
      <w:r>
        <w:t>Status</w:t>
      </w:r>
    </w:p>
    <w:p>
      <w:pPr>
        <w:pStyle w:val="ListBullet"/>
      </w:pPr>
      <w:r>
        <w:t>CreatedAt</w:t>
      </w:r>
    </w:p>
    <w:p>
      <w:pPr>
        <w:pStyle w:val="Heading2"/>
      </w:pPr>
      <w:r>
        <w:t>ContainerBarcode</w:t>
      </w:r>
    </w:p>
    <w:p>
      <w:pPr>
        <w:pStyle w:val="ListBullet"/>
      </w:pPr>
      <w:r>
        <w:t>Id</w:t>
      </w:r>
    </w:p>
    <w:p>
      <w:pPr>
        <w:pStyle w:val="ListBullet"/>
      </w:pPr>
      <w:r>
        <w:t>ContainerId</w:t>
      </w:r>
    </w:p>
    <w:p>
      <w:pPr>
        <w:pStyle w:val="ListBullet"/>
      </w:pPr>
      <w:r>
        <w:t>Namespace</w:t>
      </w:r>
    </w:p>
    <w:p>
      <w:pPr>
        <w:pStyle w:val="ListBullet"/>
      </w:pPr>
      <w:r>
        <w:t>Value</w:t>
      </w:r>
    </w:p>
    <w:p>
      <w:pPr>
        <w:pStyle w:val="ListBullet"/>
      </w:pPr>
      <w:r>
        <w:t>Symbology</w:t>
      </w:r>
    </w:p>
    <w:p>
      <w:pPr>
        <w:pStyle w:val="ListBullet"/>
      </w:pPr>
      <w:r>
        <w:t>Source</w:t>
      </w:r>
    </w:p>
    <w:p>
      <w:pPr>
        <w:pStyle w:val="ListBullet"/>
      </w:pPr>
      <w:r>
        <w:t>IsPrimary</w:t>
      </w:r>
    </w:p>
    <w:p>
      <w:r>
        <w:t>This model allows a container to carry a manufacturer barcode, a Phaeno-applied barcode, or both without changing the core container record.</w:t>
      </w:r>
    </w:p>
    <w:p>
      <w:pPr>
        <w:pStyle w:val="Heading1"/>
      </w:pPr>
      <w:r>
        <w:t>5. Barcode Namespace and Duplicate Prevention</w:t>
      </w:r>
    </w:p>
    <w:p>
      <w:r>
        <w:t>There are two distinct duplicate risks: duplicates among Phaeno-generated identifiers and collisions between identifiers supplied by different manufacturers.</w:t>
      </w:r>
    </w:p>
    <w:p>
      <w:pPr>
        <w:pStyle w:val="Heading2"/>
      </w:pPr>
      <w:r>
        <w:t>Phaeno-generated IDs</w:t>
      </w:r>
    </w:p>
    <w:p>
      <w:r>
        <w:t>The server/database should generate or reserve the identifier before printing. React or the printer should never independently invent a tube ID. A database uniqueness constraint prevents two operators or processes from receiving the same identifier even when they create containers simultaneously.</w:t>
      </w:r>
    </w:p>
    <w:p>
      <w:r>
        <w:rPr>
          <w:rFonts w:ascii="Consolas" w:hAnsi="Consolas"/>
        </w:rPr>
        <w:t>Example: UNIQUE (Namespace, Value)</w:t>
      </w:r>
    </w:p>
    <w:p>
      <w:pPr>
        <w:pStyle w:val="Heading2"/>
      </w:pPr>
      <w:r>
        <w:t>Manufacturer IDs</w:t>
      </w:r>
    </w:p>
    <w:p>
      <w:r>
        <w:t>Do not assume that every manufacturer's barcode namespace is globally coordinated. Store the barcode namespace together with the barcode value.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Namespace</w:t>
            </w:r>
          </w:p>
        </w:tc>
        <w:tc>
          <w:tcPr>
            <w:tcW w:type="dxa" w:w="4968"/>
          </w:tcPr>
          <w:p>
            <w:r>
              <w:t>Value</w:t>
            </w:r>
          </w:p>
        </w:tc>
      </w:tr>
      <w:tr>
        <w:tc>
          <w:tcPr>
            <w:tcW w:type="dxa" w:w="4968"/>
          </w:tcPr>
          <w:p>
            <w:r>
              <w:t>PHAENO</w:t>
            </w:r>
          </w:p>
        </w:tc>
        <w:tc>
          <w:tcPr>
            <w:tcW w:type="dxa" w:w="4968"/>
          </w:tcPr>
          <w:p>
            <w:r>
              <w:t>PH-T-00001847</w:t>
            </w:r>
          </w:p>
        </w:tc>
      </w:tr>
      <w:tr>
        <w:tc>
          <w:tcPr>
            <w:tcW w:type="dxa" w:w="4968"/>
          </w:tcPr>
          <w:p>
            <w:r>
              <w:t>EPPENDORF</w:t>
            </w:r>
          </w:p>
        </w:tc>
        <w:tc>
          <w:tcPr>
            <w:tcW w:type="dxa" w:w="4968"/>
          </w:tcPr>
          <w:p>
            <w:r>
              <w:t>003847192847</w:t>
            </w:r>
          </w:p>
        </w:tc>
      </w:tr>
      <w:tr>
        <w:tc>
          <w:tcPr>
            <w:tcW w:type="dxa" w:w="4968"/>
          </w:tcPr>
          <w:p>
            <w:r>
              <w:t>AZENTA</w:t>
            </w:r>
          </w:p>
        </w:tc>
        <w:tc>
          <w:tcPr>
            <w:tcW w:type="dxa" w:w="4968"/>
          </w:tcPr>
          <w:p>
            <w:r>
              <w:t>003847192847</w:t>
            </w:r>
          </w:p>
        </w:tc>
      </w:tr>
    </w:tbl>
    <w:p>
      <w:r>
        <w:t>The same numeric value can therefore exist in two manufacturer namespaces without being treated as the same physical identifier.</w:t>
      </w:r>
    </w:p>
    <w:p>
      <w:pPr>
        <w:pStyle w:val="Heading1"/>
      </w:pPr>
      <w:r>
        <w:t>6. Printing Workflow</w:t>
      </w:r>
    </w:p>
    <w:p>
      <w:r>
        <w:t>Recommended sequence for Phaeno-created labels:</w:t>
      </w:r>
    </w:p>
    <w:p>
      <w:pPr>
        <w:pStyle w:val="ListNumber"/>
      </w:pPr>
      <w:r>
        <w:t>Operator requests a new container in POS.</w:t>
      </w:r>
    </w:p>
    <w:p>
      <w:pPr>
        <w:pStyle w:val="ListNumber"/>
      </w:pPr>
      <w:r>
        <w:t>Server creates the Container record.</w:t>
      </w:r>
    </w:p>
    <w:p>
      <w:pPr>
        <w:pStyle w:val="ListNumber"/>
      </w:pPr>
      <w:r>
        <w:t>Database generates/reserves the Phaeno barcode value.</w:t>
      </w:r>
    </w:p>
    <w:p>
      <w:pPr>
        <w:pStyle w:val="ListNumber"/>
      </w:pPr>
      <w:r>
        <w:t>POS generates a DataMatrix symbol containing that value.</w:t>
      </w:r>
    </w:p>
    <w:p>
      <w:pPr>
        <w:pStyle w:val="ListNumber"/>
      </w:pPr>
      <w:r>
        <w:t>Label is printed using a 300 dpi or higher thermal-transfer printer and an appropriate laboratory-grade label/ribbon combination.</w:t>
      </w:r>
    </w:p>
    <w:p>
      <w:pPr>
        <w:pStyle w:val="ListNumber"/>
      </w:pPr>
      <w:r>
        <w:t>Operator applies the label to the tube.</w:t>
      </w:r>
    </w:p>
    <w:p>
      <w:pPr>
        <w:pStyle w:val="ListNumber"/>
      </w:pPr>
      <w:r>
        <w:t>Operator scans the newly printed label back into POS.</w:t>
      </w:r>
    </w:p>
    <w:p>
      <w:pPr>
        <w:pStyle w:val="ListNumber"/>
      </w:pPr>
      <w:r>
        <w:t>POS verifies that the scanned value matches the barcode reserved for that container.</w:t>
      </w:r>
    </w:p>
    <w:p>
      <w:pPr>
        <w:pStyle w:val="ListNumber"/>
      </w:pPr>
      <w:r>
        <w:t>Container becomes active.</w:t>
      </w:r>
    </w:p>
    <w:p>
      <w:pPr>
        <w:pStyle w:val="Heading1"/>
      </w:pPr>
      <w:r>
        <w:t>7. Scanning Workflow</w:t>
      </w:r>
    </w:p>
    <w:p>
      <w:r>
        <w:t>Most 2D USB scanners can operate in USB HID keyboard mode. In this mode, scanning a DataMatrix behaves like rapidly typing the decoded identifier followed by Enter. This allows the browser-based POS to support scanning without a vendor-specific SDK.</w:t>
      </w:r>
    </w:p>
    <w:p>
      <w:r>
        <w:t>Typical receiving flow:</w:t>
      </w:r>
    </w:p>
    <w:p>
      <w:pPr>
        <w:pStyle w:val="ListNumber"/>
      </w:pPr>
      <w:r>
        <w:t>Open Receive Samples.</w:t>
      </w:r>
    </w:p>
    <w:p>
      <w:pPr>
        <w:pStyle w:val="ListNumber"/>
      </w:pPr>
      <w:r>
        <w:t>Scan the tube.</w:t>
      </w:r>
    </w:p>
    <w:p>
      <w:pPr>
        <w:pStyle w:val="ListNumber"/>
      </w:pPr>
      <w:r>
        <w:t>POS receives the decoded barcode string.</w:t>
      </w:r>
    </w:p>
    <w:p>
      <w:pPr>
        <w:pStyle w:val="ListNumber"/>
      </w:pPr>
      <w:r>
        <w:t>POS searches ContainerBarcode using the appropriate namespace/value.</w:t>
      </w:r>
    </w:p>
    <w:p>
      <w:pPr>
        <w:pStyle w:val="ListNumber"/>
      </w:pPr>
      <w:r>
        <w:t>If found, display the container and associated sample information.</w:t>
      </w:r>
    </w:p>
    <w:p>
      <w:pPr>
        <w:pStyle w:val="ListNumber"/>
      </w:pPr>
      <w:r>
        <w:t>If unknown, offer the controlled workflow to register the container.</w:t>
      </w:r>
    </w:p>
    <w:p>
      <w:pPr>
        <w:pStyle w:val="Heading1"/>
      </w:pPr>
      <w:r>
        <w:t>8. Lab Movement Pattern</w:t>
      </w:r>
    </w:p>
    <w:p>
      <w:r>
        <w:t>Design scanning as a first-class interaction throughout POS. A useful general pattern is:</w:t>
      </w:r>
    </w:p>
    <w:p>
      <w:r>
        <w:rPr>
          <w:rFonts w:ascii="Consolas" w:hAnsi="Consolas"/>
          <w:b/>
        </w:rPr>
        <w:t>SCAN OBJECT  -&gt;  SCAN DESTINATION  -&gt;  CONFIRM</w:t>
      </w:r>
    </w:p>
    <w:p>
      <w:r>
        <w:t>Examples include receiving a tube, moving it to a freezer location, transferring it to a rack, creating an aliquot, or recording a processing step. This pattern provides a strong basis for inventory control and chain-of-custody.</w:t>
      </w:r>
    </w:p>
    <w:p>
      <w:pPr>
        <w:pStyle w:val="Heading1"/>
      </w:pPr>
      <w:r>
        <w:t>9. Equipment Guidance</w:t>
      </w:r>
    </w:p>
    <w:p>
      <w:pPr>
        <w:pStyle w:val="ListBullet"/>
      </w:pPr>
      <w:r>
        <w:t>2D scanner: must explicitly support DataMatrix; avoid 1D-only barcode scanners.</w:t>
      </w:r>
    </w:p>
    <w:p>
      <w:pPr>
        <w:pStyle w:val="ListBullet"/>
      </w:pPr>
      <w:r>
        <w:t>Printer: thermal-transfer rather than ordinary direct-thermal printing.</w:t>
      </w:r>
    </w:p>
    <w:p>
      <w:pPr>
        <w:pStyle w:val="ListBullet"/>
      </w:pPr>
      <w:r>
        <w:t>Resolution: 300 dpi minimum for small tube labels.</w:t>
      </w:r>
    </w:p>
    <w:p>
      <w:pPr>
        <w:pStyle w:val="ListBullet"/>
      </w:pPr>
      <w:r>
        <w:t>Labels/ribbons: choose laboratory-grade materials appropriate for expected temperature, moisture, solvents, and storage duration.</w:t>
      </w:r>
    </w:p>
    <w:p>
      <w:pPr>
        <w:pStyle w:val="ListBullet"/>
      </w:pPr>
      <w:r>
        <w:t>Prebarcoded tubes: preferred where practical because the permanent identifier is applied during manufacturing and reduces local labeling steps.</w:t>
      </w:r>
    </w:p>
    <w:p>
      <w:pPr>
        <w:pStyle w:val="Heading1"/>
      </w:pPr>
      <w:r>
        <w:t>10. Implementation Priorities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Priority</w:t>
            </w:r>
          </w:p>
        </w:tc>
        <w:tc>
          <w:tcPr>
            <w:tcW w:type="dxa" w:w="3312"/>
          </w:tcPr>
          <w:p>
            <w:r>
              <w:t>Capability</w:t>
            </w:r>
          </w:p>
        </w:tc>
        <w:tc>
          <w:tcPr>
            <w:tcW w:type="dxa" w:w="3312"/>
          </w:tcPr>
          <w:p>
            <w:r>
              <w:t>Recommendation</w:t>
            </w:r>
          </w:p>
        </w:tc>
      </w:tr>
      <w:tr>
        <w:tc>
          <w:tcPr>
            <w:tcW w:type="dxa" w:w="3312"/>
          </w:tcPr>
          <w:p>
            <w:r>
              <w:t>1</w:t>
            </w:r>
          </w:p>
        </w:tc>
        <w:tc>
          <w:tcPr>
            <w:tcW w:type="dxa" w:w="3312"/>
          </w:tcPr>
          <w:p>
            <w:r>
              <w:t>Data model</w:t>
            </w:r>
          </w:p>
        </w:tc>
        <w:tc>
          <w:tcPr>
            <w:tcW w:type="dxa" w:w="3312"/>
          </w:tcPr>
          <w:p>
            <w:r>
              <w:t>Container + ContainerBarcode + sample/content relationship</w:t>
            </w:r>
          </w:p>
        </w:tc>
      </w:tr>
      <w:tr>
        <w:tc>
          <w:tcPr>
            <w:tcW w:type="dxa" w:w="3312"/>
          </w:tcPr>
          <w:p>
            <w:r>
              <w:t>2</w:t>
            </w:r>
          </w:p>
        </w:tc>
        <w:tc>
          <w:tcPr>
            <w:tcW w:type="dxa" w:w="3312"/>
          </w:tcPr>
          <w:p>
            <w:r>
              <w:t>Uniqueness</w:t>
            </w:r>
          </w:p>
        </w:tc>
        <w:tc>
          <w:tcPr>
            <w:tcW w:type="dxa" w:w="3312"/>
          </w:tcPr>
          <w:p>
            <w:r>
              <w:t>Database-enforced Namespace + Value uniqueness</w:t>
            </w:r>
          </w:p>
        </w:tc>
      </w:tr>
      <w:tr>
        <w:tc>
          <w:tcPr>
            <w:tcW w:type="dxa" w:w="3312"/>
          </w:tcPr>
          <w:p>
            <w:r>
              <w:t>3</w:t>
            </w:r>
          </w:p>
        </w:tc>
        <w:tc>
          <w:tcPr>
            <w:tcW w:type="dxa" w:w="3312"/>
          </w:tcPr>
          <w:p>
            <w:r>
              <w:t>Scanning</w:t>
            </w:r>
          </w:p>
        </w:tc>
        <w:tc>
          <w:tcPr>
            <w:tcW w:type="dxa" w:w="3312"/>
          </w:tcPr>
          <w:p>
            <w:r>
              <w:t>2D DataMatrix scanner in HID keyboard mode</w:t>
            </w:r>
          </w:p>
        </w:tc>
      </w:tr>
      <w:tr>
        <w:tc>
          <w:tcPr>
            <w:tcW w:type="dxa" w:w="3312"/>
          </w:tcPr>
          <w:p>
            <w:r>
              <w:t>4</w:t>
            </w:r>
          </w:p>
        </w:tc>
        <w:tc>
          <w:tcPr>
            <w:tcW w:type="dxa" w:w="3312"/>
          </w:tcPr>
          <w:p>
            <w:r>
              <w:t>Receiving</w:t>
            </w:r>
          </w:p>
        </w:tc>
        <w:tc>
          <w:tcPr>
            <w:tcW w:type="dxa" w:w="3312"/>
          </w:tcPr>
          <w:p>
            <w:r>
              <w:t>Scan and resolve existing/unknown container</w:t>
            </w:r>
          </w:p>
        </w:tc>
      </w:tr>
      <w:tr>
        <w:tc>
          <w:tcPr>
            <w:tcW w:type="dxa" w:w="3312"/>
          </w:tcPr>
          <w:p>
            <w:r>
              <w:t>5</w:t>
            </w:r>
          </w:p>
        </w:tc>
        <w:tc>
          <w:tcPr>
            <w:tcW w:type="dxa" w:w="3312"/>
          </w:tcPr>
          <w:p>
            <w:r>
              <w:t>Printing</w:t>
            </w:r>
          </w:p>
        </w:tc>
        <w:tc>
          <w:tcPr>
            <w:tcW w:type="dxa" w:w="3312"/>
          </w:tcPr>
          <w:p>
            <w:r>
              <w:t>Server-reserved ID -&gt; DataMatrix -&gt; thermal-transfer label</w:t>
            </w:r>
          </w:p>
        </w:tc>
      </w:tr>
      <w:tr>
        <w:tc>
          <w:tcPr>
            <w:tcW w:type="dxa" w:w="3312"/>
          </w:tcPr>
          <w:p>
            <w:r>
              <w:t>6</w:t>
            </w:r>
          </w:p>
        </w:tc>
        <w:tc>
          <w:tcPr>
            <w:tcW w:type="dxa" w:w="3312"/>
          </w:tcPr>
          <w:p>
            <w:r>
              <w:t>Verification</w:t>
            </w:r>
          </w:p>
        </w:tc>
        <w:tc>
          <w:tcPr>
            <w:tcW w:type="dxa" w:w="3312"/>
          </w:tcPr>
          <w:p>
            <w:r>
              <w:t>Mandatory scan-back for newly printed labels</w:t>
            </w:r>
          </w:p>
        </w:tc>
      </w:tr>
      <w:tr>
        <w:tc>
          <w:tcPr>
            <w:tcW w:type="dxa" w:w="3312"/>
          </w:tcPr>
          <w:p>
            <w:r>
              <w:t>7</w:t>
            </w:r>
          </w:p>
        </w:tc>
        <w:tc>
          <w:tcPr>
            <w:tcW w:type="dxa" w:w="3312"/>
          </w:tcPr>
          <w:p>
            <w:r>
              <w:t>Movement</w:t>
            </w:r>
          </w:p>
        </w:tc>
        <w:tc>
          <w:tcPr>
            <w:tcW w:type="dxa" w:w="3312"/>
          </w:tcPr>
          <w:p>
            <w:r>
              <w:t>Scan object -&gt; scan destination -&gt; confirm</w:t>
            </w:r>
          </w:p>
        </w:tc>
      </w:tr>
    </w:tbl>
    <w:p>
      <w:pPr>
        <w:pStyle w:val="Heading1"/>
      </w:pPr>
      <w:r>
        <w:t>11. Recommended Phaeno Rule</w:t>
      </w:r>
    </w:p>
    <w:p>
      <w:r>
        <w:rPr>
          <w:b/>
          <w:sz w:val="24"/>
        </w:rPr>
        <w:t>The barcode identifies the container. The database identifies what is in the container.</w:t>
      </w:r>
    </w:p>
    <w:p>
      <w:r>
        <w:t>Keeping that rule consistent across POS will prevent the barcode scheme from becoming coupled to changing sample metadata and will leave room for future automation, robotics, racks, plates, and a broader laboratory operations system.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Phaeno - Barcode &amp; DataMatrix Plan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