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Phaeno POMS order and Trial operations</w:t>
      </w:r>
    </w:p>
    <w:p>
      <w:pPr>
        <w:pStyle w:val="Subtitle"/>
      </w:pPr>
      <w:r>
        <w:t>A practical guide from Company setup through delivery and Finance</w:t>
      </w:r>
    </w:p>
    <w:p>
      <w:r>
        <w:t>For Phaeno Commercial, Portal access, Laboratory, Result Release, Billing, Cash and Reconciliation users. Updated September 7, 2026.</w:t>
      </w:r>
    </w:p>
    <w:p>
      <w:r>
        <w:t>Use this guide to choose the correct workspace, understand who acts next, and carry work forward without repeating setup or creating another record. It covers the paid PSeq laboratory journey and the related Trial, Partner, shipping, data and Finance workflows.</w:t>
      </w:r>
    </w:p>
    <w:p>
      <w:pPr>
        <w:pStyle w:val="Heading2"/>
      </w:pPr>
      <w:r>
        <w:t>Setup is maintained once and applied to each order</w:t>
      </w:r>
    </w:p>
    <w:p>
      <w:r>
        <w:t>Order configuration defines the offerings, scientific requirements, sample shipping and defaults available for new work. Company setup defines a particular organization's people, departments, service access and readiness. Order intake is used for each paid Job: it captures the request, resolves its current blockers, and manages pricing and the quote.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1512"/>
        <w:gridCol w:w="3888"/>
        <w:gridCol w:w="4464"/>
      </w:tblGrid>
      <w:tr>
        <w:trPr>
          <w:cantSplit/>
          <w:tblHeader w:val="true"/>
        </w:trPr>
        <w:tc>
          <w:tcPr>
            <w:tcW w:type="dxa" w:w="1512"/>
            <w:vAlign w:val="center"/>
            <w:shd w:fill="17365D"/>
          </w:tcPr>
          <w:p>
            <w:pPr>
              <w:spacing w:after="60" w:line="240" w:lineRule="auto"/>
            </w:pPr>
            <w:r>
              <w:rPr>
                <w:b/>
                <w:color w:val="FFFFFF"/>
                <w:sz w:val="20"/>
              </w:rPr>
              <w:t>Work</w:t>
            </w:r>
          </w:p>
        </w:tc>
        <w:tc>
          <w:tcPr>
            <w:tcW w:type="dxa" w:w="3888"/>
            <w:vAlign w:val="center"/>
            <w:shd w:fill="17365D"/>
          </w:tcPr>
          <w:p>
            <w:pPr>
              <w:spacing w:after="60" w:line="240" w:lineRule="auto"/>
            </w:pPr>
            <w:r>
              <w:rPr>
                <w:b/>
                <w:color w:val="FFFFFF"/>
                <w:sz w:val="20"/>
              </w:rPr>
              <w:t>Commercial commitment</w:t>
            </w:r>
          </w:p>
        </w:tc>
        <w:tc>
          <w:tcPr>
            <w:tcW w:type="dxa" w:w="4464"/>
            <w:vAlign w:val="center"/>
            <w:shd w:fill="17365D"/>
          </w:tcPr>
          <w:p>
            <w:pPr>
              <w:spacing w:after="60" w:line="240" w:lineRule="auto"/>
            </w:pPr>
            <w:r>
              <w:rPr>
                <w:b/>
                <w:color w:val="FFFFFF"/>
                <w:sz w:val="20"/>
              </w:rPr>
              <w:t>Delivery and Finance</w:t>
            </w:r>
          </w:p>
        </w:tc>
      </w:tr>
      <w:tr>
        <w:trPr>
          <w:cantSplit/>
        </w:trPr>
        <w:tc>
          <w:tcPr>
            <w:tcW w:type="dxa" w:w="1512"/>
            <w:vAlign w:val="center"/>
            <w:shd w:fill="FFFFFF"/>
          </w:tcPr>
          <w:p>
            <w:pPr>
              <w:spacing w:after="60" w:line="240" w:lineRule="auto"/>
            </w:pPr>
            <w:r>
              <w:rPr>
                <w:b w:val="0"/>
                <w:color w:val="000000"/>
                <w:sz w:val="20"/>
              </w:rPr>
              <w:t>Paid PSeq Job</w:t>
            </w:r>
          </w:p>
        </w:tc>
        <w:tc>
          <w:tcPr>
            <w:tcW w:type="dxa" w:w="3888"/>
            <w:vAlign w:val="center"/>
            <w:shd w:fill="FFFFFF"/>
          </w:tcPr>
          <w:p>
            <w:pPr>
              <w:spacing w:after="60" w:line="240" w:lineRule="auto"/>
            </w:pPr>
            <w:r>
              <w:rPr>
                <w:b w:val="0"/>
                <w:color w:val="000000"/>
                <w:sz w:val="20"/>
              </w:rPr>
              <w:t>A Customer accepts a versioned quote, then finalizes the exact sample roster.</w:t>
            </w:r>
          </w:p>
        </w:tc>
        <w:tc>
          <w:tcPr>
            <w:tcW w:type="dxa" w:w="4464"/>
            <w:vAlign w:val="center"/>
            <w:shd w:fill="FFFFFF"/>
          </w:tcPr>
          <w:p>
            <w:pPr>
              <w:spacing w:after="60" w:line="240" w:lineRule="auto"/>
            </w:pPr>
            <w:r>
              <w:rPr>
                <w:b w:val="0"/>
                <w:color w:val="000000"/>
                <w:sz w:val="20"/>
              </w:rPr>
              <w:t>Scientific release is independent of payment. Native POMS Finance manages the invoice and cash.</w:t>
            </w:r>
          </w:p>
        </w:tc>
      </w:tr>
      <w:tr>
        <w:trPr>
          <w:cantSplit/>
        </w:trPr>
        <w:tc>
          <w:tcPr>
            <w:tcW w:type="dxa" w:w="1512"/>
            <w:vAlign w:val="center"/>
            <w:shd w:fill="F3F6F8"/>
          </w:tcPr>
          <w:p>
            <w:pPr>
              <w:spacing w:after="60" w:line="240" w:lineRule="auto"/>
            </w:pPr>
            <w:r>
              <w:rPr>
                <w:b w:val="0"/>
                <w:color w:val="000000"/>
                <w:sz w:val="20"/>
              </w:rPr>
              <w:t>Trial Project</w:t>
            </w:r>
          </w:p>
        </w:tc>
        <w:tc>
          <w:tcPr>
            <w:tcW w:type="dxa" w:w="3888"/>
            <w:vAlign w:val="center"/>
            <w:shd w:fill="F3F6F8"/>
          </w:tcPr>
          <w:p>
            <w:pPr>
              <w:spacing w:after="60" w:line="240" w:lineRule="auto"/>
            </w:pPr>
            <w:r>
              <w:rPr>
                <w:b w:val="0"/>
                <w:color w:val="000000"/>
                <w:sz w:val="20"/>
              </w:rPr>
              <w:t>Two different Phaeno approvers approve a defined scope; the Prospect organization administrator accepts it.</w:t>
            </w:r>
          </w:p>
        </w:tc>
        <w:tc>
          <w:tcPr>
            <w:tcW w:type="dxa" w:w="4464"/>
            <w:vAlign w:val="center"/>
            <w:shd w:fill="F3F6F8"/>
          </w:tcPr>
          <w:p>
            <w:pPr>
              <w:spacing w:after="60" w:line="240" w:lineRule="auto"/>
            </w:pPr>
            <w:r>
              <w:rPr>
                <w:b w:val="0"/>
                <w:color w:val="000000"/>
                <w:sz w:val="20"/>
              </w:rPr>
              <w:t>No charge, quote, invoice or payment gate. Trial scope, dates, sample allowance and closure control the evaluation.</w:t>
            </w:r>
          </w:p>
        </w:tc>
      </w:tr>
      <w:tr>
        <w:trPr>
          <w:cantSplit/>
        </w:trPr>
        <w:tc>
          <w:tcPr>
            <w:tcW w:type="dxa" w:w="1512"/>
            <w:vAlign w:val="center"/>
            <w:shd w:fill="FFFFFF"/>
          </w:tcPr>
          <w:p>
            <w:pPr>
              <w:spacing w:after="60" w:line="240" w:lineRule="auto"/>
            </w:pPr>
            <w:r>
              <w:rPr>
                <w:b w:val="0"/>
                <w:color w:val="000000"/>
                <w:sz w:val="20"/>
              </w:rPr>
              <w:t>Partner work</w:t>
            </w:r>
          </w:p>
        </w:tc>
        <w:tc>
          <w:tcPr>
            <w:tcW w:type="dxa" w:w="3888"/>
            <w:vAlign w:val="center"/>
            <w:shd w:fill="FFFFFF"/>
          </w:tcPr>
          <w:p>
            <w:pPr>
              <w:spacing w:after="60" w:line="240" w:lineRule="auto"/>
            </w:pPr>
            <w:r>
              <w:rPr>
                <w:b w:val="0"/>
                <w:color w:val="000000"/>
                <w:sz w:val="20"/>
              </w:rPr>
              <w:t>A placed kit order or an accepted Assembly quote defines the commitment.</w:t>
            </w:r>
          </w:p>
        </w:tc>
        <w:tc>
          <w:tcPr>
            <w:tcW w:type="dxa" w:w="4464"/>
            <w:vAlign w:val="center"/>
            <w:shd w:fill="FFFFFF"/>
          </w:tcPr>
          <w:p>
            <w:pPr>
              <w:spacing w:after="60" w:line="240" w:lineRule="auto"/>
            </w:pPr>
            <w:r>
              <w:rPr>
                <w:b w:val="0"/>
                <w:color w:val="000000"/>
                <w:sz w:val="20"/>
              </w:rPr>
              <w:t>Lab Ops fulfills or processes the work. Partner credit, release and accounting rules remain separate.</w:t>
            </w:r>
          </w:p>
        </w:tc>
      </w:tr>
    </w:tbl>
    <w:p>
      <w:pPr>
        <w:spacing w:after="20"/>
      </w:pPr>
    </w:p>
    <w:p>
      <w:pPr>
        <w:pStyle w:val="Heading2"/>
      </w:pPr>
      <w:r>
        <w:t>Keep the decisions separate</w:t>
      </w:r>
    </w:p>
    <w:p>
      <w:r>
        <w:t>Quote acceptance, sample finalization, physical receipt, scientific approval, result release, invoice issue, receipt entry, allocation and reconciliation are distinct facts. Completing one does not imply completion of the others. Follow the linked record and its available action rather than creating replacement work to bypass a blocker.</w:t>
      </w:r>
    </w:p>
    <w:p>
      <w:r>
        <w:t>PSeq evaluations and laboratory work are for research use only, not diagnostic procedures. Use coded sample references and approved laboratory procedures. Do not enter patient identifiers, PHI, credentials or unnecessary personal information in ordinary forms or notes.</w:t>
      </w:r>
    </w:p>
    <w:p>
      <w:pPr>
        <w:pStyle w:val="Heading1"/>
        <w:pageBreakBefore/>
      </w:pPr>
      <w:r>
        <w:t>Find the owning workspace</w:t>
      </w:r>
    </w:p>
    <w:p>
      <w:r>
        <w:t>Use the dashboard to identify current work, then open the record that owns the next decision. Availability follows your assigned roles and active organization and Department.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312"/>
        <w:gridCol w:w="5544"/>
        <w:gridCol w:w="1008"/>
      </w:tblGrid>
      <w:tr>
        <w:trPr>
          <w:cantSplit/>
          <w:tblHeader w:val="true"/>
        </w:trPr>
        <w:tc>
          <w:tcPr>
            <w:tcW w:type="dxa" w:w="3312"/>
            <w:vAlign w:val="center"/>
            <w:shd w:fill="17365D"/>
          </w:tcPr>
          <w:p>
            <w:pPr>
              <w:spacing w:after="60" w:line="240" w:lineRule="auto"/>
            </w:pPr>
            <w:r>
              <w:rPr>
                <w:b/>
                <w:color w:val="FFFFFF"/>
                <w:sz w:val="20"/>
              </w:rPr>
              <w:t>Task</w:t>
            </w:r>
          </w:p>
        </w:tc>
        <w:tc>
          <w:tcPr>
            <w:tcW w:type="dxa" w:w="5544"/>
            <w:vAlign w:val="center"/>
            <w:shd w:fill="17365D"/>
          </w:tcPr>
          <w:p>
            <w:pPr>
              <w:spacing w:after="60" w:line="240" w:lineRule="auto"/>
            </w:pPr>
            <w:r>
              <w:rPr>
                <w:b/>
                <w:color w:val="FFFFFF"/>
                <w:sz w:val="20"/>
              </w:rPr>
              <w:t>Owning workspace</w:t>
            </w:r>
          </w:p>
        </w:tc>
        <w:tc>
          <w:tcPr>
            <w:tcW w:type="dxa" w:w="1008"/>
            <w:vAlign w:val="center"/>
            <w:shd w:fill="17365D"/>
          </w:tcPr>
          <w:p>
            <w:pPr>
              <w:spacing w:after="60" w:line="240" w:lineRule="auto"/>
              <w:jc w:val="center"/>
            </w:pPr>
            <w:r>
              <w:rPr>
                <w:b/>
                <w:color w:val="FFFFFF"/>
                <w:sz w:val="20"/>
              </w:rPr>
              <w:t>Page</w:t>
            </w:r>
          </w:p>
        </w:tc>
      </w:tr>
      <w:tr>
        <w:trPr>
          <w:cantSplit/>
        </w:trPr>
        <w:tc>
          <w:tcPr>
            <w:tcW w:type="dxa" w:w="3312"/>
            <w:vAlign w:val="center"/>
            <w:shd w:fill="FFFFFF"/>
          </w:tcPr>
          <w:p>
            <w:pPr>
              <w:spacing w:after="60" w:line="240" w:lineRule="auto"/>
            </w:pPr>
            <w:r>
              <w:rPr>
                <w:b w:val="0"/>
                <w:color w:val="000000"/>
                <w:sz w:val="20"/>
              </w:rPr>
              <w:t>Maintain shared setup</w:t>
            </w:r>
          </w:p>
        </w:tc>
        <w:tc>
          <w:tcPr>
            <w:tcW w:type="dxa" w:w="5544"/>
            <w:vAlign w:val="center"/>
            <w:shd w:fill="FFFFFF"/>
          </w:tcPr>
          <w:p>
            <w:pPr>
              <w:spacing w:after="60" w:line="240" w:lineRule="auto"/>
            </w:pPr>
            <w:r>
              <w:rPr>
                <w:b w:val="0"/>
                <w:color w:val="000000"/>
                <w:sz w:val="20"/>
              </w:rPr>
              <w:t>Order configuration and File retention</w:t>
            </w:r>
          </w:p>
        </w:tc>
        <w:tc>
          <w:tcPr>
            <w:tcW w:type="dxa" w:w="1008"/>
            <w:vAlign w:val="center"/>
            <w:shd w:fill="FFFFFF"/>
          </w:tcPr>
          <w:p>
            <w:r>
              <w:rPr>
                <w:rFonts w:ascii="Calibri" w:hAnsi="Calibri"/>
                <w:sz w:val="18"/>
              </w:rPr>
              <w:t>3–4</w:t>
            </w:r>
          </w:p>
        </w:tc>
      </w:tr>
      <w:tr>
        <w:trPr>
          <w:cantSplit/>
        </w:trPr>
        <w:tc>
          <w:tcPr>
            <w:tcW w:type="dxa" w:w="3312"/>
            <w:vAlign w:val="center"/>
            <w:shd w:fill="F3F6F8"/>
          </w:tcPr>
          <w:p>
            <w:pPr>
              <w:spacing w:after="60" w:line="240" w:lineRule="auto"/>
            </w:pPr>
            <w:r>
              <w:rPr>
                <w:b w:val="0"/>
                <w:color w:val="000000"/>
                <w:sz w:val="20"/>
              </w:rPr>
              <w:t>Maintain Company access and complete requests</w:t>
            </w:r>
          </w:p>
        </w:tc>
        <w:tc>
          <w:tcPr>
            <w:tcW w:type="dxa" w:w="5544"/>
            <w:vAlign w:val="center"/>
            <w:shd w:fill="F3F6F8"/>
          </w:tcPr>
          <w:p>
            <w:pPr>
              <w:spacing w:after="60" w:line="240" w:lineRule="auto"/>
            </w:pPr>
            <w:r>
              <w:rPr>
                <w:b w:val="0"/>
                <w:color w:val="000000"/>
                <w:sz w:val="20"/>
              </w:rPr>
              <w:t>CRM Company and Requests</w:t>
            </w:r>
          </w:p>
        </w:tc>
        <w:tc>
          <w:tcPr>
            <w:tcW w:type="dxa" w:w="1008"/>
            <w:vAlign w:val="center"/>
            <w:shd w:fill="F3F6F8"/>
          </w:tcPr>
          <w:p>
            <w:r>
              <w:rPr>
                <w:rFonts w:ascii="Calibri" w:hAnsi="Calibri"/>
                <w:sz w:val="18"/>
              </w:rPr>
              <w:t>5</w:t>
            </w:r>
          </w:p>
        </w:tc>
      </w:tr>
      <w:tr>
        <w:trPr>
          <w:cantSplit/>
        </w:trPr>
        <w:tc>
          <w:tcPr>
            <w:tcW w:type="dxa" w:w="3312"/>
            <w:vAlign w:val="center"/>
            <w:shd w:fill="FFFFFF"/>
          </w:tcPr>
          <w:p>
            <w:pPr>
              <w:spacing w:after="60" w:line="240" w:lineRule="auto"/>
            </w:pPr>
            <w:r>
              <w:rPr>
                <w:b w:val="0"/>
                <w:color w:val="000000"/>
                <w:sz w:val="20"/>
              </w:rPr>
              <w:t>Start and price a paid Job</w:t>
            </w:r>
          </w:p>
        </w:tc>
        <w:tc>
          <w:tcPr>
            <w:tcW w:type="dxa" w:w="5544"/>
            <w:vAlign w:val="center"/>
            <w:shd w:fill="FFFFFF"/>
          </w:tcPr>
          <w:p>
            <w:pPr>
              <w:spacing w:after="60" w:line="240" w:lineRule="auto"/>
            </w:pPr>
            <w:r>
              <w:rPr>
                <w:b w:val="0"/>
                <w:color w:val="000000"/>
                <w:sz w:val="20"/>
              </w:rPr>
              <w:t>Order Ops &gt; Order intake</w:t>
            </w:r>
          </w:p>
        </w:tc>
        <w:tc>
          <w:tcPr>
            <w:tcW w:type="dxa" w:w="1008"/>
            <w:vAlign w:val="center"/>
            <w:shd w:fill="FFFFFF"/>
          </w:tcPr>
          <w:p>
            <w:r>
              <w:rPr>
                <w:rFonts w:ascii="Calibri" w:hAnsi="Calibri"/>
                <w:sz w:val="18"/>
              </w:rPr>
              <w:t>6–8</w:t>
            </w:r>
          </w:p>
        </w:tc>
      </w:tr>
      <w:tr>
        <w:trPr>
          <w:cantSplit/>
        </w:trPr>
        <w:tc>
          <w:tcPr>
            <w:tcW w:type="dxa" w:w="3312"/>
            <w:vAlign w:val="center"/>
            <w:shd w:fill="F3F6F8"/>
          </w:tcPr>
          <w:p>
            <w:pPr>
              <w:spacing w:after="60" w:line="240" w:lineRule="auto"/>
            </w:pPr>
            <w:r>
              <w:rPr>
                <w:b w:val="0"/>
                <w:color w:val="000000"/>
                <w:sz w:val="20"/>
              </w:rPr>
              <w:t>Accept a quote and prepare exact samples</w:t>
            </w:r>
          </w:p>
        </w:tc>
        <w:tc>
          <w:tcPr>
            <w:tcW w:type="dxa" w:w="5544"/>
            <w:vAlign w:val="center"/>
            <w:shd w:fill="F3F6F8"/>
          </w:tcPr>
          <w:p>
            <w:pPr>
              <w:spacing w:after="60" w:line="240" w:lineRule="auto"/>
            </w:pPr>
            <w:r>
              <w:rPr>
                <w:b w:val="0"/>
                <w:color w:val="000000"/>
                <w:sz w:val="20"/>
              </w:rPr>
              <w:t>Order detail and Customer Job</w:t>
            </w:r>
          </w:p>
        </w:tc>
        <w:tc>
          <w:tcPr>
            <w:tcW w:type="dxa" w:w="1008"/>
            <w:vAlign w:val="center"/>
            <w:shd w:fill="F3F6F8"/>
          </w:tcPr>
          <w:p>
            <w:r>
              <w:rPr>
                <w:rFonts w:ascii="Calibri" w:hAnsi="Calibri"/>
                <w:sz w:val="18"/>
              </w:rPr>
              <w:t>9</w:t>
            </w:r>
          </w:p>
        </w:tc>
      </w:tr>
      <w:tr>
        <w:trPr>
          <w:cantSplit/>
        </w:trPr>
        <w:tc>
          <w:tcPr>
            <w:tcW w:type="dxa" w:w="3312"/>
            <w:vAlign w:val="center"/>
            <w:shd w:fill="FFFFFF"/>
          </w:tcPr>
          <w:p>
            <w:pPr>
              <w:spacing w:after="60" w:line="240" w:lineRule="auto"/>
            </w:pPr>
            <w:r>
              <w:rPr>
                <w:b w:val="0"/>
                <w:color w:val="000000"/>
                <w:sz w:val="20"/>
              </w:rPr>
              <w:t>Prepare and receive a shipment</w:t>
            </w:r>
          </w:p>
        </w:tc>
        <w:tc>
          <w:tcPr>
            <w:tcW w:type="dxa" w:w="5544"/>
            <w:vAlign w:val="center"/>
            <w:shd w:fill="FFFFFF"/>
          </w:tcPr>
          <w:p>
            <w:pPr>
              <w:spacing w:after="60" w:line="240" w:lineRule="auto"/>
            </w:pPr>
            <w:r>
              <w:rPr>
                <w:b w:val="0"/>
                <w:color w:val="000000"/>
                <w:sz w:val="20"/>
              </w:rPr>
              <w:t>Shared shipment and Lab receipt</w:t>
            </w:r>
          </w:p>
        </w:tc>
        <w:tc>
          <w:tcPr>
            <w:tcW w:type="dxa" w:w="1008"/>
            <w:vAlign w:val="center"/>
            <w:shd w:fill="FFFFFF"/>
          </w:tcPr>
          <w:p>
            <w:r>
              <w:rPr>
                <w:rFonts w:ascii="Calibri" w:hAnsi="Calibri"/>
                <w:sz w:val="18"/>
              </w:rPr>
              <w:t>10–11</w:t>
            </w:r>
          </w:p>
        </w:tc>
      </w:tr>
      <w:tr>
        <w:trPr>
          <w:cantSplit/>
        </w:trPr>
        <w:tc>
          <w:tcPr>
            <w:tcW w:type="dxa" w:w="3312"/>
            <w:vAlign w:val="center"/>
            <w:shd w:fill="F3F6F8"/>
          </w:tcPr>
          <w:p>
            <w:pPr>
              <w:spacing w:after="60" w:line="240" w:lineRule="auto"/>
            </w:pPr>
            <w:r>
              <w:rPr>
                <w:b w:val="0"/>
                <w:color w:val="000000"/>
                <w:sz w:val="20"/>
              </w:rPr>
              <w:t>Define and operate a Trial</w:t>
            </w:r>
          </w:p>
        </w:tc>
        <w:tc>
          <w:tcPr>
            <w:tcW w:type="dxa" w:w="5544"/>
            <w:vAlign w:val="center"/>
            <w:shd w:fill="F3F6F8"/>
          </w:tcPr>
          <w:p>
            <w:pPr>
              <w:spacing w:after="60" w:line="240" w:lineRule="auto"/>
            </w:pPr>
            <w:r>
              <w:rPr>
                <w:b w:val="0"/>
                <w:color w:val="000000"/>
                <w:sz w:val="20"/>
              </w:rPr>
              <w:t>Order Ops &gt; Trial projects</w:t>
            </w:r>
          </w:p>
        </w:tc>
        <w:tc>
          <w:tcPr>
            <w:tcW w:type="dxa" w:w="1008"/>
            <w:vAlign w:val="center"/>
            <w:shd w:fill="F3F6F8"/>
          </w:tcPr>
          <w:p>
            <w:r>
              <w:rPr>
                <w:rFonts w:ascii="Calibri" w:hAnsi="Calibri"/>
                <w:sz w:val="18"/>
              </w:rPr>
              <w:t>12–14</w:t>
            </w:r>
          </w:p>
        </w:tc>
      </w:tr>
      <w:tr>
        <w:trPr>
          <w:cantSplit/>
        </w:trPr>
        <w:tc>
          <w:tcPr>
            <w:tcW w:type="dxa" w:w="3312"/>
            <w:vAlign w:val="center"/>
            <w:shd w:fill="FFFFFF"/>
          </w:tcPr>
          <w:p>
            <w:pPr>
              <w:spacing w:after="60" w:line="240" w:lineRule="auto"/>
            </w:pPr>
            <w:r>
              <w:rPr>
                <w:b w:val="0"/>
                <w:color w:val="000000"/>
                <w:sz w:val="20"/>
              </w:rPr>
              <w:t>Execute controlled science</w:t>
            </w:r>
          </w:p>
        </w:tc>
        <w:tc>
          <w:tcPr>
            <w:tcW w:type="dxa" w:w="5544"/>
            <w:vAlign w:val="center"/>
            <w:shd w:fill="FFFFFF"/>
          </w:tcPr>
          <w:p>
            <w:pPr>
              <w:spacing w:after="60" w:line="240" w:lineRule="auto"/>
            </w:pPr>
            <w:r>
              <w:rPr>
                <w:b w:val="0"/>
                <w:color w:val="000000"/>
                <w:sz w:val="20"/>
              </w:rPr>
              <w:t>Lab Ops work, Protocols and Batches</w:t>
            </w:r>
          </w:p>
        </w:tc>
        <w:tc>
          <w:tcPr>
            <w:tcW w:type="dxa" w:w="1008"/>
            <w:vAlign w:val="center"/>
            <w:shd w:fill="FFFFFF"/>
          </w:tcPr>
          <w:p>
            <w:r>
              <w:rPr>
                <w:rFonts w:ascii="Calibri" w:hAnsi="Calibri"/>
                <w:sz w:val="18"/>
              </w:rPr>
              <w:t>15</w:t>
            </w:r>
          </w:p>
        </w:tc>
      </w:tr>
      <w:tr>
        <w:trPr>
          <w:cantSplit/>
        </w:trPr>
        <w:tc>
          <w:tcPr>
            <w:tcW w:type="dxa" w:w="3312"/>
            <w:vAlign w:val="center"/>
            <w:shd w:fill="F3F6F8"/>
          </w:tcPr>
          <w:p>
            <w:pPr>
              <w:spacing w:after="60" w:line="240" w:lineRule="auto"/>
            </w:pPr>
            <w:r>
              <w:rPr>
                <w:b w:val="0"/>
                <w:color w:val="000000"/>
                <w:sz w:val="20"/>
              </w:rPr>
              <w:t>Release results and manage their retention</w:t>
            </w:r>
          </w:p>
        </w:tc>
        <w:tc>
          <w:tcPr>
            <w:tcW w:type="dxa" w:w="5544"/>
            <w:vAlign w:val="center"/>
            <w:shd w:fill="F3F6F8"/>
          </w:tcPr>
          <w:p>
            <w:pPr>
              <w:spacing w:after="60" w:line="240" w:lineRule="auto"/>
            </w:pPr>
            <w:r>
              <w:rPr>
                <w:b w:val="0"/>
                <w:color w:val="000000"/>
                <w:sz w:val="20"/>
              </w:rPr>
              <w:t>Result package and File retention</w:t>
            </w:r>
          </w:p>
        </w:tc>
        <w:tc>
          <w:tcPr>
            <w:tcW w:type="dxa" w:w="1008"/>
            <w:vAlign w:val="center"/>
            <w:shd w:fill="F3F6F8"/>
          </w:tcPr>
          <w:p>
            <w:r>
              <w:rPr>
                <w:rFonts w:ascii="Calibri" w:hAnsi="Calibri"/>
                <w:sz w:val="18"/>
              </w:rPr>
              <w:t>16–18</w:t>
            </w:r>
          </w:p>
        </w:tc>
      </w:tr>
      <w:tr>
        <w:trPr>
          <w:cantSplit/>
        </w:trPr>
        <w:tc>
          <w:tcPr>
            <w:tcW w:type="dxa" w:w="3312"/>
            <w:vAlign w:val="center"/>
            <w:shd w:fill="FFFFFF"/>
          </w:tcPr>
          <w:p>
            <w:pPr>
              <w:spacing w:after="60" w:line="240" w:lineRule="auto"/>
            </w:pPr>
            <w:r>
              <w:rPr>
                <w:b w:val="0"/>
                <w:color w:val="000000"/>
                <w:sz w:val="20"/>
              </w:rPr>
              <w:t>Fulfill Partner kits and Assembly work</w:t>
            </w:r>
          </w:p>
        </w:tc>
        <w:tc>
          <w:tcPr>
            <w:tcW w:type="dxa" w:w="5544"/>
            <w:vAlign w:val="center"/>
            <w:shd w:fill="FFFFFF"/>
          </w:tcPr>
          <w:p>
            <w:pPr>
              <w:spacing w:after="60" w:line="240" w:lineRule="auto"/>
            </w:pPr>
            <w:r>
              <w:rPr>
                <w:b w:val="0"/>
                <w:color w:val="000000"/>
                <w:sz w:val="20"/>
              </w:rPr>
              <w:t>Order Ops and linked Lab work</w:t>
            </w:r>
          </w:p>
        </w:tc>
        <w:tc>
          <w:tcPr>
            <w:tcW w:type="dxa" w:w="1008"/>
            <w:vAlign w:val="center"/>
            <w:shd w:fill="FFFFFF"/>
          </w:tcPr>
          <w:p>
            <w:r>
              <w:rPr>
                <w:rFonts w:ascii="Calibri" w:hAnsi="Calibri"/>
                <w:sz w:val="18"/>
              </w:rPr>
              <w:t>19</w:t>
            </w:r>
          </w:p>
        </w:tc>
      </w:tr>
      <w:tr>
        <w:trPr>
          <w:cantSplit/>
        </w:trPr>
        <w:tc>
          <w:tcPr>
            <w:tcW w:type="dxa" w:w="3312"/>
            <w:vAlign w:val="center"/>
            <w:shd w:fill="F3F6F8"/>
          </w:tcPr>
          <w:p>
            <w:pPr>
              <w:spacing w:after="60" w:line="240" w:lineRule="auto"/>
            </w:pPr>
            <w:r>
              <w:rPr>
                <w:b w:val="0"/>
                <w:color w:val="000000"/>
                <w:sz w:val="20"/>
              </w:rPr>
              <w:t>Manage invoices, cash and reconciliation</w:t>
            </w:r>
          </w:p>
        </w:tc>
        <w:tc>
          <w:tcPr>
            <w:tcW w:type="dxa" w:w="5544"/>
            <w:vAlign w:val="center"/>
            <w:shd w:fill="F3F6F8"/>
          </w:tcPr>
          <w:p>
            <w:pPr>
              <w:spacing w:after="60" w:line="240" w:lineRule="auto"/>
            </w:pPr>
            <w:r>
              <w:rPr>
                <w:b w:val="0"/>
                <w:color w:val="000000"/>
                <w:sz w:val="20"/>
              </w:rPr>
              <w:t>Order Ops &gt; Finance</w:t>
            </w:r>
          </w:p>
        </w:tc>
        <w:tc>
          <w:tcPr>
            <w:tcW w:type="dxa" w:w="1008"/>
            <w:vAlign w:val="center"/>
            <w:shd w:fill="F3F6F8"/>
          </w:tcPr>
          <w:p>
            <w:r>
              <w:rPr>
                <w:rFonts w:ascii="Calibri" w:hAnsi="Calibri"/>
                <w:sz w:val="18"/>
              </w:rPr>
              <w:t>20–25</w:t>
            </w:r>
          </w:p>
        </w:tc>
      </w:tr>
    </w:tbl>
    <w:p>
      <w:pPr>
        <w:spacing w:after="20"/>
      </w:pPr>
    </w:p>
    <w:p>
      <w:pPr>
        <w:pStyle w:val="Heading2"/>
      </w:pPr>
      <w:r>
        <w:t>Use lists for discovery and records for decisions</w:t>
      </w:r>
    </w:p>
    <w:p>
      <w:pPr>
        <w:pStyle w:val="ListBullet"/>
        <w:numPr>
          <w:ilvl w:val="0"/>
          <w:numId w:val="59"/>
        </w:numPr>
      </w:pPr>
      <w:r>
        <w:t>Search and filter the list. For commercial work, choose Active intake, On hold or All orders and history. Check the total and use the page controls to find later records.</w:t>
      </w:r>
    </w:p>
    <w:p>
      <w:pPr>
        <w:pStyle w:val="ListBullet"/>
        <w:numPr>
          <w:ilvl w:val="0"/>
          <w:numId w:val="59"/>
        </w:numPr>
      </w:pPr>
      <w:r>
        <w:t>Open the record's identifying link to review its status and related work. Create and edit actions open dialogs. Back to the list preserves its applicable filters and page.</w:t>
      </w:r>
    </w:p>
    <w:p>
      <w:pPr>
        <w:pStyle w:val="ListBullet"/>
        <w:numPr>
          <w:ilvl w:val="0"/>
          <w:numId w:val="59"/>
        </w:numPr>
      </w:pPr>
      <w:r>
        <w:t>Retry an unavailable list or check; an error is not an empty queue. Dashboard shortcuts open the same underlying work.</w:t>
      </w:r>
    </w:p>
    <w:p>
      <w:pPr>
        <w:pStyle w:val="ListBullet"/>
        <w:numPr>
          <w:ilvl w:val="0"/>
          <w:numId w:val="59"/>
        </w:numPr>
      </w:pPr>
      <w:r>
        <w:t>Use the workspace sidebar, its collapsed edge tab or compact navigation. Docs provides help for the current audience.</w:t>
      </w:r>
    </w:p>
    <w:p>
      <w:pPr>
        <w:pStyle w:val="Heading2"/>
      </w:pPr>
      <w:r>
        <w:t>Save deliberately</w:t>
      </w:r>
    </w:p>
    <w:p>
      <w:r>
        <w:t>Asterisks mark required fields. Dialog errors keep messages and entries visible for correction. After a conflict, review the current record before retrying. Changed forms ask before discarding; avoid repeat actions while saving. Escape closes searchable choices first; closing restores focus to the opener.</w:t>
      </w:r>
    </w:p>
    <w:p>
      <w:pPr>
        <w:pStyle w:val="Heading1"/>
        <w:pageBreakBefore/>
      </w:pPr>
      <w:r>
        <w:t>Maintain shared setup</w:t>
      </w:r>
    </w:p>
    <w:p>
      <w:r>
        <w:t>Primary owners are the Phaeno platform administrator, scientific configuration owners and Finance. Maintain these definitions before use and when approved requirements change; they are not a form to complete for every order.</w:t>
      </w:r>
    </w:p>
    <w:p>
      <w:pPr>
        <w:pStyle w:val="ListNumber"/>
        <w:numPr>
          <w:ilvl w:val="0"/>
          <w:numId w:val="60"/>
        </w:numPr>
      </w:pPr>
      <w:r>
        <w:t>Open Order configuration &gt; Service catalog. Maintain active Phaeno offerings, prices, currencies and sales units. Use the designated PSeq Lab Service offering with the specimen sales unit; another specimen fee cannot replace it.</w:t>
      </w:r>
    </w:p>
    <w:p>
      <w:pPr>
        <w:pStyle w:val="ListNumber"/>
        <w:numPr>
          <w:ilvl w:val="0"/>
          <w:numId w:val="60"/>
        </w:numPr>
      </w:pPr>
      <w:r>
        <w:t>Open Analyses for sample-field requirements, instructions and expected outputs. Use Assembly for the Partner input, metadata and output profiles. Use PSeq kits for Partner offerings, effective negotiated prices, quantities and restrictions.</w:t>
      </w:r>
    </w:p>
    <w:p>
      <w:pPr>
        <w:pStyle w:val="ListNumber"/>
        <w:numPr>
          <w:ilvl w:val="0"/>
          <w:numId w:val="60"/>
        </w:numPr>
      </w:pPr>
      <w:r>
        <w:t>Open Sample shipping. Maintain the exact destination revisions, sample-type revisions and instruction rules used together. New records start inactive. Activate only approved, currently effective definitions.</w:t>
      </w:r>
    </w:p>
    <w:p>
      <w:pPr>
        <w:pStyle w:val="ListNumber"/>
        <w:numPr>
          <w:ilvl w:val="0"/>
          <w:numId w:val="60"/>
        </w:numPr>
      </w:pPr>
      <w:r>
        <w:t>Use Instruction preview with the destination, sample types and evaluation time. Correct missing or incompatible rules, or split material into separate packages where required.</w:t>
      </w:r>
    </w:p>
    <w:p>
      <w:pPr>
        <w:pStyle w:val="ListNumber"/>
        <w:numPr>
          <w:ilvl w:val="0"/>
          <w:numId w:val="60"/>
        </w:numPr>
      </w:pPr>
      <w:r>
        <w:t>Open Defaults &gt; Edit defaults. Maintain quote-validity days and sample submission instructions. The supported flow is an exact sample roster after quote acceptance and governed Portal delivery. Review older settings once and use Save changes to apply the supported choices.</w:t>
      </w:r>
    </w:p>
    <w:p>
      <w:r>
        <w:t>In Lab Ops &gt; Protocols, author reusable protocol Drafts and obtain independent approval of the exact definitions. Build the controlled service workflow from ordered Required, Optional or Conditional stages, with conditions and handoff criteria. Approve and Promote to production for new Jobs. Existing Jobs retain their pinned workflow and protocol versions.</w:t>
      </w:r>
    </w:p>
    <w:p>
      <w:pPr>
        <w:pStyle w:val="Heading2"/>
      </w:pPr>
      <w:r>
        <w:t>Keep Company setup and Finance in their owning records</w:t>
      </w:r>
    </w:p>
    <w:p>
      <w:r>
        <w:t>A Company's Departments &amp; services determines its department-scoped access and entitlements. Company and Intake readiness identify what is needed to start pricing, issue a quote and invoice. Follow each blocker to its owning editor. A manual Blocked state is a deliberate operational decision; an incomplete setup is a task to resolve.</w:t>
      </w:r>
    </w:p>
    <w:p>
      <w:r>
        <w:t>Maintain the Customer billing contact, address, payment terms and effective tax decision in Order Ops &gt; Finance &gt; Customer billing. A complete Finance-approved profile permits a tax-inclusive quote. An otherwise eligible Job may receive an explicitly pre-tax quote; approved billing setup remains required before invoicing.</w:t>
      </w:r>
    </w:p>
    <w:p>
      <w:pPr>
        <w:pStyle w:val="Heading2"/>
      </w:pPr>
      <w:r>
        <w:t>Control versions and future releases</w:t>
      </w:r>
    </w:p>
    <w:p>
      <w:r>
        <w:t>New catalog, scientific, workflow, shipping and policy revisions apply to future eligible work. Accepted order snapshots, pinned workflow versions, issued packets and frozen release deadlines remain historical records. Do not alter them by changing today's defaults.</w:t>
      </w:r>
    </w:p>
    <w:p>
      <w:r>
        <w:t>File retention owns the global release policy and Company overrides. Trial configuration separately owns Trial approvers, delegation and versioned deliverables. Legacy links contains Partner Assembly credit decisions and historical connector recovery; a queued catalog request does not confirm synchronization.</w:t>
      </w:r>
    </w:p>
    <w:p>
      <w:pPr>
        <w:keepNext/>
        <w:spacing w:before="160" w:after="0" w:line="240" w:lineRule="auto"/>
        <w:jc w:val="center"/>
      </w:pPr>
      <w:r>
        <w:drawing>
          <wp:inline xmlns:a="http://schemas.openxmlformats.org/drawingml/2006/main" xmlns:pic="http://schemas.openxmlformats.org/drawingml/2006/picture">
            <wp:extent cx="5806440" cy="5413651"/>
            <wp:docPr id="10" name="Picture 10" descr="Edit order defaults dialog with quote-validity days, the supported exact-roster and Portal-delivery flow, required submission instructions, and Save changes." title="Edit order defaults maintains shared quote validity and submission instructions. These defaults support future orders; this is not a new-order form."/>
            <wp:cNvGraphicFramePr>
              <a:graphicFrameLocks noChangeAspect="1"/>
            </wp:cNvGraphicFramePr>
            <a:graphic>
              <a:graphicData uri="http://schemas.openxmlformats.org/drawingml/2006/picture">
                <pic:pic>
                  <pic:nvPicPr>
                    <pic:cNvPr id="0" name="03-order-defaults-final.png"/>
                    <pic:cNvPicPr/>
                  </pic:nvPicPr>
                  <pic:blipFill>
                    <a:blip r:embed="rId19"/>
                    <a:srcRect l="32218" t="15011" r="32218" b="15011"/>
                    <a:stretch>
                      <a:fillRect/>
                    </a:stretch>
                  </pic:blipFill>
                  <pic:spPr>
                    <a:xfrm>
                      <a:off x="0" y="0"/>
                      <a:ext cx="5806440" cy="5413651"/>
                    </a:xfrm>
                    <a:prstGeom prst="rect"/>
                  </pic:spPr>
                </pic:pic>
              </a:graphicData>
            </a:graphic>
          </wp:inline>
        </w:drawing>
      </w:r>
    </w:p>
    <w:p>
      <w:pPr>
        <w:pStyle w:val="Caption"/>
        <w:keepNext w:val="0"/>
        <w:keepLines/>
      </w:pPr>
      <w:r>
        <w:t>Figure 1. Edit order defaults maintains shared quote validity and submission instructions. These defaults support future orders; this is not a new-order form.</w:t>
      </w:r>
    </w:p>
    <w:p>
      <w:pPr>
        <w:pStyle w:val="Heading1"/>
        <w:pageBreakBefore/>
      </w:pPr>
      <w:r>
        <w:t>Manage the Company and its requests</w:t>
      </w:r>
    </w:p>
    <w:p>
      <w:r>
        <w:t>CRM Companies owns the canonical Company record. Use its existing operational organization, people and departments throughout the Portal; a data grant or sales handoff should not create a second organization.</w:t>
      </w:r>
    </w:p>
    <w:p>
      <w:pPr>
        <w:pStyle w:val="Heading2"/>
      </w:pPr>
      <w:r>
        <w:t>People and operational access</w:t>
      </w:r>
    </w:p>
    <w:p>
      <w:pPr>
        <w:pStyle w:val="ListNumber"/>
        <w:numPr>
          <w:ilvl w:val="0"/>
          <w:numId w:val="61"/>
        </w:numPr>
      </w:pPr>
      <w:r>
        <w:t>Open the Company and choose People. New person opens the shared contact editor with the Company association; Add existing person links a known contact. A contact records a business relationship and is distinct from a Portal user identity.</w:t>
      </w:r>
    </w:p>
    <w:p>
      <w:pPr>
        <w:pStyle w:val="ListNumber"/>
        <w:numPr>
          <w:ilvl w:val="0"/>
          <w:numId w:val="61"/>
        </w:numPr>
      </w:pPr>
      <w:r>
        <w:t>Use Invite to Portal when the person needs access. Choose Member or Organization administrator and the permitted Department administrator assignments deliberately. Appoint the first active organization administrator before quote issuance or Trial acceptance.</w:t>
      </w:r>
    </w:p>
    <w:p>
      <w:pPr>
        <w:pStyle w:val="ListNumber"/>
        <w:numPr>
          <w:ilvl w:val="0"/>
          <w:numId w:val="61"/>
        </w:numPr>
      </w:pPr>
      <w:r>
        <w:t>Use Manage access to maintain organization and Department roles, deactivate membership, or handle a pending invitation. Resend and revoke are explicit actions. Deactivation preserves the person and prior activity.</w:t>
      </w:r>
    </w:p>
    <w:p>
      <w:pPr>
        <w:pStyle w:val="ListNumber"/>
        <w:numPr>
          <w:ilvl w:val="0"/>
          <w:numId w:val="61"/>
        </w:numPr>
      </w:pPr>
      <w:r>
        <w:t>Use Sales &gt; New opportunity to create an opportunity for this Company. Keep sales engagement stage separate from the Company's operational relationship and access.</w:t>
      </w:r>
    </w:p>
    <w:p>
      <w:pPr>
        <w:pStyle w:val="Heading2"/>
      </w:pPr>
      <w:r>
        <w:t>Review and finish requests</w:t>
      </w:r>
    </w:p>
    <w:p>
      <w:r>
        <w:t>The Company Requests tab preserves its request history. The central Requests workspace separates Needs decision, Approved / needs work, and Completed / history. Approval records the decision; it does not always finish the required operational work.</w:t>
      </w:r>
    </w:p>
    <w:p>
      <w:pPr>
        <w:pStyle w:val="ListNumber"/>
        <w:numPr>
          <w:ilvl w:val="0"/>
          <w:numId w:val="62"/>
        </w:numPr>
      </w:pPr>
      <w:r>
        <w:t>Review the requested relationship, service or work outcome and the Company context. Approve or decline with the required explanation.</w:t>
      </w:r>
    </w:p>
    <w:p>
      <w:pPr>
        <w:pStyle w:val="ListNumber"/>
        <w:numPr>
          <w:ilvl w:val="0"/>
          <w:numId w:val="62"/>
        </w:numPr>
      </w:pPr>
      <w:r>
        <w:t>Keep approved work in Approved / needs work until its fulfillment is done. Follow Company setup to People or Departments &amp; services; use Complete access enablement when access still needs to be established.</w:t>
      </w:r>
    </w:p>
    <w:p>
      <w:pPr>
        <w:pStyle w:val="ListNumber"/>
        <w:numPr>
          <w:ilvl w:val="0"/>
          <w:numId w:val="62"/>
        </w:numPr>
      </w:pPr>
      <w:r>
        <w:t>Use Complete request once the required work is finished. For a supported Prospect-to-Customer or Prospect-to-Partner change, Apply the requested relationship changes the existing organization and completes the request together. Direct Customer-to-Partner and Partner-to-Customer conversion is not offered.</w:t>
      </w:r>
    </w:p>
    <w:p>
      <w:pPr>
        <w:pStyle w:val="Heading2"/>
      </w:pPr>
      <w:r>
        <w:t>Carry the request into the work</w:t>
      </w:r>
    </w:p>
    <w:p>
      <w:r>
        <w:t>A paid-work handoff opens the appropriate Customer order with its Company and approved request context. A Work &gt; Trial Project request is linked to an active Opportunity and starts the Trial path instead. Data provisioning selects an existing access scope; Company access setup can return staff to the pending grant. Each shortcut keeps the original Company and request identity.</w:t>
      </w:r>
    </w:p>
    <w:p>
      <w:pPr>
        <w:keepNext w:val="0"/>
        <w:spacing w:before="0" w:after="0" w:line="20" w:lineRule="exact"/>
        <w:sectPr w:rsidR="00FC693F" w:rsidRPr="0006063C" w:rsidSect="00034616">
          <w:type w:val="nextPage"/>
          <w:footerReference w:type="default" r:id="rId9"/>
          <w:pgSz w:w="12240" w:h="15840" w:orient="portrait"/>
          <w:pgMar w:top="1037" w:right="1181" w:bottom="1037" w:left="1181" w:header="403" w:footer="432" w:gutter="0"/>
          <w:cols w:space="720"/>
          <w:docGrid w:linePitch="360"/>
        </w:sectPr>
      </w:pPr>
    </w:p>
    <w:p>
      <w:pPr>
        <w:pStyle w:val="Heading1"/>
        <w:pageBreakBefore w:val="0"/>
      </w:pPr>
      <w:r>
        <w:t>Start paid work in Order intake</w:t>
      </w:r>
    </w:p>
    <w:p>
      <w:r>
        <w:t>Commercial operators use Order Ops &gt; Order intake for each paid PSeq Job. This is the shared entry point for Customer-submitted requests, Phaeno-initiated pricing and approved CRM handoffs. There is no separate staging task to complete.</w:t>
      </w:r>
    </w:p>
    <w:p>
      <w:pPr>
        <w:keepNext/>
        <w:spacing w:before="160" w:after="0" w:line="240" w:lineRule="auto"/>
        <w:jc w:val="center"/>
      </w:pPr>
      <w:r>
        <w:drawing>
          <wp:inline xmlns:a="http://schemas.openxmlformats.org/drawingml/2006/main" xmlns:pic="http://schemas.openxmlformats.org/drawingml/2006/picture">
            <wp:extent cx="8741664" cy="2136851"/>
            <wp:docPr id="9" name="Picture 9" descr="Order operations overview showing Commercial order intake, the explanation of pricing requests and approved handoffs, and the New Customer order button." title="Order intake is the shared starting point for paid work. New Customer order opens the pricing request form."/>
            <wp:cNvGraphicFramePr>
              <a:graphicFrameLocks noChangeAspect="1"/>
            </wp:cNvGraphicFramePr>
            <a:graphic>
              <a:graphicData uri="http://schemas.openxmlformats.org/drawingml/2006/picture">
                <pic:pic>
                  <pic:nvPicPr>
                    <pic:cNvPr id="0" name="01-order-intake.png"/>
                    <pic:cNvPicPr/>
                  </pic:nvPicPr>
                  <pic:blipFill>
                    <a:blip r:embed="rId18"/>
                    <a:srcRect l="0" t="0" r="0" b="38627"/>
                    <a:stretch>
                      <a:fillRect/>
                    </a:stretch>
                  </pic:blipFill>
                  <pic:spPr>
                    <a:xfrm>
                      <a:off x="0" y="0"/>
                      <a:ext cx="8741664" cy="2136851"/>
                    </a:xfrm>
                    <a:prstGeom prst="rect"/>
                  </pic:spPr>
                </pic:pic>
              </a:graphicData>
            </a:graphic>
          </wp:inline>
        </w:drawing>
      </w:r>
    </w:p>
    <w:p>
      <w:pPr>
        <w:pStyle w:val="Caption"/>
        <w:keepNext w:val="0"/>
        <w:keepLines/>
      </w:pPr>
      <w:r>
        <w:t>Figure 2. Order intake is the shared starting point for paid work. New Customer order opens the pricing request form.</w:t>
      </w:r>
    </w:p>
    <w:p>
      <w:pPr>
        <w:pStyle w:val="ListNumber"/>
        <w:keepNext/>
        <w:numPr>
          <w:ilvl w:val="0"/>
          <w:numId w:val="63"/>
        </w:numPr>
      </w:pPr>
      <w:r>
        <w:t>Choose New Customer order, or Start Customer order beside an eligible approved CRM handoff. Search by canonical Company name and select the correct Customer. A handoff retains its approved Company and request context.</w:t>
      </w:r>
    </w:p>
    <w:p>
      <w:pPr>
        <w:pStyle w:val="ListNumber"/>
        <w:keepNext/>
        <w:numPr>
          <w:ilvl w:val="0"/>
          <w:numId w:val="63"/>
        </w:numPr>
      </w:pPr>
      <w:r>
        <w:t>Enter a recognizable unique Job name, biological-source groups and their sample counts, shared storage requirements, safety declaration and Customer-safe notes. The group total is the committed specimen quantity for pricing.</w:t>
      </w:r>
    </w:p>
    <w:p>
      <w:pPr>
        <w:pStyle w:val="ListNumber"/>
        <w:keepNext/>
        <w:numPr>
          <w:ilvl w:val="0"/>
          <w:numId w:val="63"/>
        </w:numPr>
      </w:pPr>
      <w:r>
        <w:t>If Sales discussed a price, choose Propose a price and enter the proposed USD price per specimen with optional Customer-safe context. A proposal remains part of the request; it is not an issued quote or authorization to begin laboratory work.</w:t>
      </w:r>
    </w:p>
    <w:p>
      <w:pPr>
        <w:pStyle w:val="ListNumber"/>
        <w:numPr>
          <w:ilvl w:val="0"/>
          <w:numId w:val="63"/>
        </w:numPr>
      </w:pPr>
      <w:r>
        <w:t>Confirm that the profile contains no patient identifiers or PHI, then choose Start pricing. The Job opens in Quote in preparation with a preserved submitted-request revision. Do not enter individual sample IDs or tube barcodes in this pricing profile.</w:t>
      </w:r>
    </w:p>
    <w:p>
      <w:pPr>
        <w:keepNext w:val="0"/>
        <w:spacing w:before="0" w:after="0" w:line="20" w:lineRule="exact"/>
        <w:sectPr w:rsidR="00FC693F" w:rsidRPr="0006063C" w:rsidSect="00034616">
          <w:type w:val="nextPage"/>
          <w:footerReference w:type="default" r:id="rId9"/>
          <w:pgSz w:w="15840" w:h="12240" w:orient="landscape"/>
          <w:pgMar w:top="1037" w:right="1181" w:bottom="1037" w:left="1181" w:header="403" w:footer="432" w:gutter="0"/>
          <w:cols w:space="720"/>
          <w:docGrid w:linePitch="360"/>
        </w:sectPr>
      </w:pPr>
    </w:p>
    <w:p>
      <w:pPr>
        <w:keepNext/>
        <w:pageBreakBefore w:val="0"/>
        <w:spacing w:before="160" w:after="0" w:line="240" w:lineRule="auto"/>
        <w:jc w:val="center"/>
      </w:pPr>
      <w:r>
        <w:drawing>
          <wp:inline xmlns:a="http://schemas.openxmlformats.org/drawingml/2006/main" xmlns:pic="http://schemas.openxmlformats.org/drawingml/2006/picture">
            <wp:extent cx="5806440" cy="6173083"/>
            <wp:docPr id="8" name="Picture 8" descr="Upper portion of an unsaved New Customer order form, showing Customer selection, an example Job name, biological source, sample count, proposed price option and required storage field." title="New Customer order captures the pricing scope before exact sample identifiers. This illustrative draft has not been saved; additional required fields continue below the visible form."/>
            <wp:cNvGraphicFramePr>
              <a:graphicFrameLocks noChangeAspect="1"/>
            </wp:cNvGraphicFramePr>
            <a:graphic>
              <a:graphicData uri="http://schemas.openxmlformats.org/drawingml/2006/picture">
                <pic:pic>
                  <pic:nvPicPr>
                    <pic:cNvPr id="0" name="02-new-customer-order.png"/>
                    <pic:cNvPicPr/>
                  </pic:nvPicPr>
                  <pic:blipFill>
                    <a:blip r:embed="rId17"/>
                    <a:stretch>
                      <a:fillRect/>
                    </a:stretch>
                  </pic:blipFill>
                  <pic:spPr>
                    <a:xfrm>
                      <a:off x="0" y="0"/>
                      <a:ext cx="5806440" cy="6173083"/>
                    </a:xfrm>
                    <a:prstGeom prst="rect"/>
                  </pic:spPr>
                </pic:pic>
              </a:graphicData>
            </a:graphic>
          </wp:inline>
        </w:drawing>
      </w:r>
    </w:p>
    <w:p>
      <w:pPr>
        <w:pStyle w:val="Caption"/>
        <w:keepNext w:val="0"/>
        <w:keepLines/>
      </w:pPr>
      <w:r>
        <w:t>Figure 3. New Customer order captures the pricing scope before exact sample identifiers. This illustrative draft has not been saved; additional required fields continue below the visible form.</w:t>
      </w:r>
    </w:p>
    <w:p>
      <w:pPr>
        <w:pStyle w:val="Heading2"/>
        <w:pageBreakBefore/>
      </w:pPr>
      <w:r>
        <w:t>Understand the three readiness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1944"/>
        <w:gridCol w:w="7920"/>
      </w:tblGrid>
      <w:tr>
        <w:trPr>
          <w:cantSplit/>
          <w:tblHeader w:val="true"/>
        </w:trPr>
        <w:tc>
          <w:tcPr>
            <w:tcW w:type="dxa" w:w="1944"/>
            <w:vAlign w:val="center"/>
            <w:shd w:fill="17365D"/>
          </w:tcPr>
          <w:p>
            <w:pPr>
              <w:spacing w:after="60" w:line="240" w:lineRule="auto"/>
            </w:pPr>
            <w:r>
              <w:rPr>
                <w:b/>
                <w:color w:val="FFFFFF"/>
                <w:sz w:val="20"/>
              </w:rPr>
              <w:t>Decision</w:t>
            </w:r>
          </w:p>
        </w:tc>
        <w:tc>
          <w:tcPr>
            <w:tcW w:type="dxa" w:w="7920"/>
            <w:vAlign w:val="center"/>
            <w:shd w:fill="17365D"/>
          </w:tcPr>
          <w:p>
            <w:pPr>
              <w:spacing w:after="60" w:line="240" w:lineRule="auto"/>
            </w:pPr>
            <w:r>
              <w:rPr>
                <w:b/>
                <w:color w:val="FFFFFF"/>
                <w:sz w:val="20"/>
              </w:rPr>
              <w:t>What must be ready</w:t>
            </w:r>
          </w:p>
        </w:tc>
      </w:tr>
      <w:tr>
        <w:trPr>
          <w:cantSplit/>
        </w:trPr>
        <w:tc>
          <w:tcPr>
            <w:tcW w:type="dxa" w:w="1944"/>
            <w:vAlign w:val="center"/>
            <w:shd w:fill="FFFFFF"/>
          </w:tcPr>
          <w:p>
            <w:pPr>
              <w:spacing w:after="60" w:line="240" w:lineRule="auto"/>
            </w:pPr>
            <w:r>
              <w:rPr>
                <w:b w:val="0"/>
                <w:color w:val="000000"/>
                <w:sz w:val="20"/>
              </w:rPr>
              <w:t>Can start pricing</w:t>
            </w:r>
          </w:p>
        </w:tc>
        <w:tc>
          <w:tcPr>
            <w:tcW w:type="dxa" w:w="7920"/>
            <w:vAlign w:val="center"/>
            <w:shd w:fill="FFFFFF"/>
          </w:tcPr>
          <w:p>
            <w:pPr>
              <w:spacing w:after="60" w:line="240" w:lineRule="auto"/>
            </w:pPr>
            <w:r>
              <w:rPr>
                <w:b w:val="0"/>
                <w:color w:val="000000"/>
                <w:sz w:val="20"/>
              </w:rPr>
              <w:t>The active Company has an active, unblocked Customer scope, the current Ready PSeq entitlement and the active designated offering. An online Customer administrator is not required yet.</w:t>
            </w:r>
          </w:p>
        </w:tc>
      </w:tr>
      <w:tr>
        <w:trPr>
          <w:cantSplit/>
        </w:trPr>
        <w:tc>
          <w:tcPr>
            <w:tcW w:type="dxa" w:w="1944"/>
            <w:vAlign w:val="center"/>
            <w:shd w:fill="F3F6F8"/>
          </w:tcPr>
          <w:p>
            <w:pPr>
              <w:spacing w:after="60" w:line="240" w:lineRule="auto"/>
            </w:pPr>
            <w:r>
              <w:rPr>
                <w:b w:val="0"/>
                <w:color w:val="000000"/>
                <w:sz w:val="20"/>
              </w:rPr>
              <w:t>Can issue quote</w:t>
            </w:r>
          </w:p>
        </w:tc>
        <w:tc>
          <w:tcPr>
            <w:tcW w:type="dxa" w:w="7920"/>
            <w:vAlign w:val="center"/>
            <w:shd w:fill="F3F6F8"/>
          </w:tcPr>
          <w:p>
            <w:pPr>
              <w:spacing w:after="60" w:line="240" w:lineRule="auto"/>
            </w:pPr>
            <w:r>
              <w:rPr>
                <w:b w:val="0"/>
                <w:color w:val="000000"/>
                <w:sz w:val="20"/>
              </w:rPr>
              <w:t>Every non-billing readiness item is complete, including an active Customer administrator, supported sample and result setup, approved effective shipping and submission instructions.</w:t>
            </w:r>
          </w:p>
        </w:tc>
      </w:tr>
      <w:tr>
        <w:trPr>
          <w:cantSplit/>
        </w:trPr>
        <w:tc>
          <w:tcPr>
            <w:tcW w:type="dxa" w:w="1944"/>
            <w:vAlign w:val="center"/>
            <w:shd w:fill="FFFFFF"/>
          </w:tcPr>
          <w:p>
            <w:pPr>
              <w:spacing w:after="60" w:line="240" w:lineRule="auto"/>
            </w:pPr>
            <w:r>
              <w:rPr>
                <w:b w:val="0"/>
                <w:color w:val="000000"/>
                <w:sz w:val="20"/>
              </w:rPr>
              <w:t>Can invoice</w:t>
            </w:r>
          </w:p>
        </w:tc>
        <w:tc>
          <w:tcPr>
            <w:tcW w:type="dxa" w:w="7920"/>
            <w:vAlign w:val="center"/>
            <w:shd w:fill="FFFFFF"/>
          </w:tcPr>
          <w:p>
            <w:pPr>
              <w:spacing w:after="60" w:line="240" w:lineRule="auto"/>
            </w:pPr>
            <w:r>
              <w:rPr>
                <w:b w:val="0"/>
                <w:color w:val="000000"/>
                <w:sz w:val="20"/>
              </w:rPr>
              <w:t>The applicable billing contact, address, terms and tax decision are complete and Finance-approved. Tax and terms use the appropriate quote or invoice snapshot.</w:t>
            </w:r>
          </w:p>
        </w:tc>
      </w:tr>
    </w:tbl>
    <w:p>
      <w:pPr>
        <w:spacing w:after="20"/>
      </w:pPr>
    </w:p>
    <w:p>
      <w:r>
        <w:t>Company and Intake evaluate the same department-aware readiness. Open the specific setup link for a blocker. Do not try another screen to obtain a different readiness answer.</w:t>
      </w:r>
    </w:p>
    <w:p>
      <w:pPr>
        <w:pStyle w:val="Heading2"/>
      </w:pPr>
      <w:r>
        <w:t>Keep outstanding work visible</w:t>
      </w:r>
    </w:p>
    <w:p>
      <w:r>
        <w:t>Active intake includes pricing, quote decisions and held work. Use On hold to focus on blocked orders, and All orders and history to find accepted, completed or cancelled records. Search, page controls and the return link retain the current view. Pending CRM handoffs are shown separately on the first active page.</w:t>
      </w:r>
    </w:p>
    <w:p>
      <w:pPr>
        <w:pStyle w:val="Heading1"/>
        <w:pageBreakBefore/>
      </w:pPr>
      <w:r>
        <w:t>Issue the quote and finalize samples</w:t>
      </w:r>
    </w:p>
    <w:p>
      <w:r>
        <w:t>Commercial owns the quote; the Customer records acceptance and the exact sample roster. Organization administrators and authorized Department administrators can operate paid work in their permitted scope. Phaeno does not accept a quote on the Customer's behalf.</w:t>
      </w:r>
    </w:p>
    <w:p>
      <w:pPr>
        <w:pStyle w:val="Heading2"/>
      </w:pPr>
      <w:r>
        <w:t>Review and issue the offer</w:t>
      </w:r>
    </w:p>
    <w:p>
      <w:pPr>
        <w:pStyle w:val="ListNumber"/>
        <w:numPr>
          <w:ilvl w:val="0"/>
          <w:numId w:val="64"/>
        </w:numPr>
      </w:pPr>
      <w:r>
        <w:t>Open the Job and review the immutable request, source composition, specimen count and shared handling facts. Request a targeted correction if information is incomplete or unsafe.</w:t>
      </w:r>
    </w:p>
    <w:p>
      <w:pPr>
        <w:pStyle w:val="ListNumber"/>
        <w:numPr>
          <w:ilvl w:val="0"/>
          <w:numId w:val="64"/>
        </w:numPr>
      </w:pPr>
      <w:r>
        <w:t>If a price was proposed, use Review proposed price. Compare the proposal with the active catalog price, difference and subtotal. Approve it or amend it with the required internal reason. Where dual control applies, the proposer cannot review the same proposal.</w:t>
      </w:r>
    </w:p>
    <w:p>
      <w:pPr>
        <w:pStyle w:val="ListNumber"/>
        <w:numPr>
          <w:ilvl w:val="0"/>
          <w:numId w:val="64"/>
        </w:numPr>
      </w:pPr>
      <w:r>
        <w:t>Confirm PSeq Lab Service, the fixed committed specimen quantity, any permitted additional catalog lines, price, currency, turnaround information and expiration. The required service line cannot be removed or replaced.</w:t>
      </w:r>
    </w:p>
    <w:p>
      <w:pPr>
        <w:pStyle w:val="ListNumber"/>
        <w:numPr>
          <w:ilvl w:val="0"/>
          <w:numId w:val="64"/>
        </w:numPr>
      </w:pPr>
      <w:r>
        <w:t>Issue the quote. POMS freezes its request revision and commercial offer and notifies active Customer organization administrators. With an approved complete billing profile, it also freezes calculated tax and billing terms; otherwise it clearly identifies a pre-tax quote.</w:t>
      </w:r>
    </w:p>
    <w:p>
      <w:pPr>
        <w:pStyle w:val="ListNumber"/>
        <w:numPr>
          <w:ilvl w:val="0"/>
          <w:numId w:val="64"/>
        </w:numPr>
      </w:pPr>
      <w:r>
        <w:t>The authorized Customer accepts the current quote. Corrections require a new quote revision. Acceptance opens sample preparation; it does not record physical receipt or start laboratory work.</w:t>
      </w:r>
    </w:p>
    <w:p>
      <w:pPr>
        <w:pStyle w:val="Heading2"/>
      </w:pPr>
      <w:r>
        <w:t>Prepare the exact roster in the Customer Job</w:t>
      </w:r>
    </w:p>
    <w:p>
      <w:pPr>
        <w:pStyle w:val="ListNumber"/>
        <w:numPr>
          <w:ilvl w:val="0"/>
          <w:numId w:val="65"/>
        </w:numPr>
      </w:pPr>
      <w:r>
        <w:t>Open Samples and shipping. Use Add sample, Edit sample and Remove sample to enter exactly the accepted count and biological-source composition. Use stable coded sample identifiers and the required scientific fields.</w:t>
      </w:r>
    </w:p>
    <w:p>
      <w:pPr>
        <w:pStyle w:val="ListNumber"/>
        <w:numPr>
          <w:ilvl w:val="0"/>
          <w:numId w:val="65"/>
        </w:numPr>
      </w:pPr>
      <w:r>
        <w:t>For a batch, Download CSV template, then Import sample list and Preview CSV. Review rows and errors. Replace draft sample list applies the complete preview as one operation; preview alone makes no sample changes.</w:t>
      </w:r>
    </w:p>
    <w:p>
      <w:pPr>
        <w:pStyle w:val="ListNumber"/>
        <w:numPr>
          <w:ilvl w:val="0"/>
          <w:numId w:val="65"/>
        </w:numPr>
      </w:pPr>
      <w:r>
        <w:t>Choose Review and finalize list. Review the exact samples and source counts, confirm the list contains no patient identifiers or PHI, then Finalize sample list. If the Job changed, review or preview it again before committing.</w:t>
      </w:r>
    </w:p>
    <w:p>
      <w:r>
        <w:t>Successful finalization locks the roster and creates the linked Lab authorization, work order, shared shipment and physical tube slots together. Follow the related shipment. If finalization fails, correct the reported roster or shipping issue and retry this Job; do not create a Lab work order or replacement shipment manually.</w:t>
      </w:r>
    </w:p>
    <w:p>
      <w:pPr>
        <w:pStyle w:val="Heading1"/>
        <w:pageBreakBefore/>
      </w:pPr>
      <w:r>
        <w:t>Prepare ship and receive the samples</w:t>
      </w:r>
    </w:p>
    <w:p>
      <w:r>
        <w:t>The Job or Trial links to its own shared shipment. That shipment is the single place for return-kit inventory, tube crosswalk, packet and dispatch facts. One submitted sample may require multiple registered tube slots.</w:t>
      </w:r>
    </w:p>
    <w:p>
      <w:pPr>
        <w:pStyle w:val="Heading2"/>
      </w:pPr>
      <w:r>
        <w:t>Prepare the return kit and packet</w:t>
      </w:r>
    </w:p>
    <w:p>
      <w:pPr>
        <w:pStyle w:val="ListNumber"/>
        <w:numPr>
          <w:ilvl w:val="0"/>
          <w:numId w:val="66"/>
        </w:numPr>
      </w:pPr>
      <w:r>
        <w:t>In Lab Ops &gt; Receipt &amp; accession, prepare the return kit for the authorized shipment. Register the exact permanent supplier tube barcodes and record the applicable shipper, lot and outbound tracking facts before fulfillment.</w:t>
      </w:r>
    </w:p>
    <w:p>
      <w:pPr>
        <w:pStyle w:val="ListNumber"/>
        <w:numPr>
          <w:ilvl w:val="0"/>
          <w:numId w:val="66"/>
        </w:numPr>
      </w:pPr>
      <w:r>
        <w:t>The external organization opens the related shipment from its Job or Trial. Review the approved destination and sample-specific preparation, packaging, carrier and dispatch instructions.</w:t>
      </w:r>
    </w:p>
    <w:p>
      <w:pPr>
        <w:pStyle w:val="ListNumber"/>
        <w:numPr>
          <w:ilvl w:val="0"/>
          <w:numId w:val="66"/>
        </w:numPr>
      </w:pPr>
      <w:r>
        <w:t>Assign each physical tube barcode to its intended sample and slot. Compare the full crosswalk, confirm it, and print the frozen shipment packet. A multi-tube sample must have all required slots assigned. Confirmation distinguishes the sample count from the tube count. View packet checks the current revision before Print packet becomes available. Reconnect or choose Try again if that check fails; corrections and replacements refresh the displayed revision.</w:t>
      </w:r>
    </w:p>
    <w:p>
      <w:pPr>
        <w:pStyle w:val="ListNumber"/>
        <w:numPr>
          <w:ilvl w:val="0"/>
          <w:numId w:val="66"/>
        </w:numPr>
      </w:pPr>
      <w:r>
        <w:t>Record carrier, tracking and dispatch time once on the shared shipment. Those facts are reflected on the linked paid Job samples. Keep the frozen packet with the physical package.</w:t>
      </w:r>
    </w:p>
    <w:p>
      <w:pPr>
        <w:keepNext w:val="0"/>
        <w:spacing w:before="0" w:after="0" w:line="20" w:lineRule="exact"/>
        <w:sectPr w:rsidR="00FC693F" w:rsidRPr="0006063C" w:rsidSect="00034616">
          <w:type w:val="nextPage"/>
          <w:footerReference w:type="default" r:id="rId9"/>
          <w:pgSz w:w="12240" w:h="15840" w:orient="portrait"/>
          <w:pgMar w:top="1037" w:right="1181" w:bottom="1037" w:left="1181" w:header="403" w:footer="432" w:gutter="0"/>
          <w:cols w:space="720"/>
          <w:docGrid w:linePitch="360"/>
        </w:sectPr>
      </w:pPr>
    </w:p>
    <w:p>
      <w:pPr>
        <w:pStyle w:val="Heading2"/>
        <w:pageBreakBefore w:val="0"/>
      </w:pPr>
      <w:r>
        <w:t>Record the arriving material</w:t>
      </w:r>
    </w:p>
    <w:p>
      <w:pPr>
        <w:keepNext/>
        <w:spacing w:before="160" w:after="0" w:line="240" w:lineRule="auto"/>
        <w:jc w:val="center"/>
      </w:pPr>
      <w:r>
        <w:drawing>
          <wp:inline xmlns:a="http://schemas.openxmlformats.org/drawingml/2006/main" xmlns:pic="http://schemas.openxmlformats.org/drawingml/2006/picture">
            <wp:extent cx="8741664" cy="1154848"/>
            <wp:docPr id="7" name="Picture 7" descr="Scan shipment packet card with a shipment packet barcode field and Look up packet button, followed by an explanation that lookup does not record custody, receipt or accession." title="Scan shipment packet finds the expected shipment. Looking up a packet does not itself record custody, receipt or accession."/>
            <wp:cNvGraphicFramePr>
              <a:graphicFrameLocks noChangeAspect="1"/>
            </wp:cNvGraphicFramePr>
            <a:graphic>
              <a:graphicData uri="http://schemas.openxmlformats.org/drawingml/2006/picture">
                <pic:pic>
                  <pic:nvPicPr>
                    <pic:cNvPr id="0" name="08-lab-receipt-full.png"/>
                    <pic:cNvPicPr/>
                  </pic:nvPicPr>
                  <pic:blipFill>
                    <a:blip r:embed="rId16"/>
                    <a:srcRect l="19504" t="58732" r="20242" b="24472"/>
                    <a:stretch>
                      <a:fillRect/>
                    </a:stretch>
                  </pic:blipFill>
                  <pic:spPr>
                    <a:xfrm>
                      <a:off x="0" y="0"/>
                      <a:ext cx="8741664" cy="1154848"/>
                    </a:xfrm>
                    <a:prstGeom prst="rect"/>
                  </pic:spPr>
                </pic:pic>
              </a:graphicData>
            </a:graphic>
          </wp:inline>
        </w:drawing>
      </w:r>
    </w:p>
    <w:p>
      <w:pPr>
        <w:pStyle w:val="Caption"/>
        <w:keepNext w:val="0"/>
        <w:keepLines/>
      </w:pPr>
      <w:r>
        <w:t>Figure 4. Scan shipment packet finds the expected shipment. Looking up a packet does not itself record custody, receipt or accession.</w:t>
      </w:r>
    </w:p>
    <w:p>
      <w:pPr>
        <w:pStyle w:val="ListNumber"/>
        <w:numPr>
          <w:ilvl w:val="0"/>
          <w:numId w:val="67"/>
        </w:numPr>
      </w:pPr>
      <w:r>
        <w:t>Open Lab Ops &gt; Receipt &amp; accession. Scan or look up the shipment packet and compare every returned registered tube against the frozen crosswalk. Resolve missing, unexpected or mismatched tubes before proceeding.</w:t>
      </w:r>
    </w:p>
    <w:p>
      <w:pPr>
        <w:pStyle w:val="ListNumber"/>
        <w:numPr>
          <w:ilvl w:val="0"/>
          <w:numId w:val="67"/>
        </w:numPr>
      </w:pPr>
      <w:r>
        <w:t>After comparing the tube, choose Continue to receipt and accession to open the linked Lab work order with the scanned shipment and tube context. A successful comparison identifies expected material; it does not itself record custody, receipt or accession. A failed identity check offers Try again; it does not establish a tube mismatch. Returning from Lab work or protocol execution keeps the originating section and shipment, even after work status changes.</w:t>
      </w:r>
    </w:p>
    <w:p>
      <w:pPr>
        <w:pStyle w:val="ListNumber"/>
        <w:numPr>
          <w:ilvl w:val="0"/>
          <w:numId w:val="67"/>
        </w:numPr>
      </w:pPr>
      <w:r>
        <w:t>Record the actual receipt, then accession identifier, location, quantity and unit, retention facts and container identity. Apply Accepted, On hold or Rejected with the required reason.</w:t>
      </w:r>
    </w:p>
    <w:p>
      <w:pPr>
        <w:pStyle w:val="Heading2"/>
      </w:pPr>
      <w:r>
        <w:t>Keep the boundaries clear</w:t>
      </w:r>
    </w:p>
    <w:p>
      <w:r>
        <w:t>Commercial handles order commitments, holds and cancellation decisions. Lab handles physical preparation, identity, custody, accession and execution. Trial shipping links send external users to their shipment and authorized staff to the corresponding Lab receipt work; staff do not need an external Portal session to find the same shipment.</w:t>
      </w:r>
    </w:p>
    <w:p>
      <w:r>
        <w:t>Quarantine and escalate an unexpected package that arrives before authorization. Do not attach it to executable work or infer sample identity. Preserve the original packet, containers and custody history. Follow approved laboratory and shipping procedures for real material; the Portal record does not replace those procedures.</w:t>
      </w:r>
    </w:p>
    <w:p>
      <w:pPr>
        <w:keepNext w:val="0"/>
        <w:spacing w:before="0" w:after="0" w:line="20" w:lineRule="exact"/>
        <w:sectPr w:rsidR="00FC693F" w:rsidRPr="0006063C" w:rsidSect="00034616">
          <w:type w:val="nextPage"/>
          <w:footerReference w:type="default" r:id="rId9"/>
          <w:pgSz w:w="15840" w:h="12240" w:orient="landscape"/>
          <w:pgMar w:top="1037" w:right="1181" w:bottom="1037" w:left="1181" w:header="403" w:footer="432" w:gutter="0"/>
          <w:cols w:space="720"/>
          <w:docGrid w:linePitch="360"/>
        </w:sectPr>
      </w:pPr>
    </w:p>
    <w:p>
      <w:pPr>
        <w:pStyle w:val="Heading1"/>
        <w:pageBreakBefore w:val="0"/>
      </w:pPr>
      <w:r>
        <w:t>Configure and approve Trial scope</w:t>
      </w:r>
    </w:p>
    <w:p>
      <w:r>
        <w:t>Trial Projects are no-charge PSeq evaluations of extracted RNA. Open Order Ops &gt; Trial projects. Search by Trial number or Company, filter by status or Sales owner, and open the Trial to manage its scope and decisions.</w:t>
      </w:r>
    </w:p>
    <w:p>
      <w:pPr>
        <w:pStyle w:val="Heading2"/>
      </w:pPr>
      <w:r>
        <w:t>Maintain Trial configuration</w:t>
      </w:r>
    </w:p>
    <w:p>
      <w:pPr>
        <w:pStyle w:val="ListNumber"/>
        <w:numPr>
          <w:ilvl w:val="0"/>
          <w:numId w:val="68"/>
        </w:numPr>
      </w:pPr>
      <w:r>
        <w:t>Open Trial configuration. A platform administrator assigns the Commercial and Scientific Operations primary approvers. Assign primary approver accepts an optional note; a note is not required to save.</w:t>
      </w:r>
    </w:p>
    <w:p>
      <w:pPr>
        <w:keepNext/>
        <w:spacing w:before="160" w:after="0" w:line="240" w:lineRule="auto"/>
        <w:jc w:val="center"/>
      </w:pPr>
      <w:r>
        <w:drawing>
          <wp:inline xmlns:a="http://schemas.openxmlformats.org/drawingml/2006/main" xmlns:pic="http://schemas.openxmlformats.org/drawingml/2006/picture">
            <wp:extent cx="5806440" cy="4218207"/>
            <wp:docPr id="6" name="Picture 6" descr="Assign primary approver dialog with an example Phaeno user, required approval responsibility still unselected, optional note, and Cancel and Save actions." title="Choose a primary approver and their approval responsibility. The note is optional; the illustrated assignment has not been saved."/>
            <wp:cNvGraphicFramePr>
              <a:graphicFrameLocks noChangeAspect="1"/>
            </wp:cNvGraphicFramePr>
            <a:graphic>
              <a:graphicData uri="http://schemas.openxmlformats.org/drawingml/2006/picture">
                <pic:pic>
                  <pic:nvPicPr>
                    <pic:cNvPr id="0" name="04-trial-primary-approver.png"/>
                    <pic:cNvPicPr/>
                  </pic:nvPicPr>
                  <pic:blipFill>
                    <a:blip r:embed="rId15"/>
                    <a:stretch>
                      <a:fillRect/>
                    </a:stretch>
                  </pic:blipFill>
                  <pic:spPr>
                    <a:xfrm>
                      <a:off x="0" y="0"/>
                      <a:ext cx="5806440" cy="4218207"/>
                    </a:xfrm>
                    <a:prstGeom prst="rect"/>
                  </pic:spPr>
                </pic:pic>
              </a:graphicData>
            </a:graphic>
          </wp:inline>
        </w:drawing>
      </w:r>
    </w:p>
    <w:p>
      <w:pPr>
        <w:pStyle w:val="Caption"/>
        <w:keepNext w:val="0"/>
        <w:keepLines/>
      </w:pPr>
      <w:r>
        <w:t>Figure 5. Choose a primary approver and their approval responsibility. The note is optional; the illustrated assignment has not been saved.</w:t>
      </w:r>
    </w:p>
    <w:p>
      <w:pPr>
        <w:pStyle w:val="ListNumber"/>
        <w:numPr>
          <w:ilvl w:val="0"/>
          <w:numId w:val="68"/>
        </w:numPr>
      </w:pPr>
      <w:r>
        <w:t>A primary approver may Designate approval delegate for their own responsibility, also with an optional note. Revocation preserves earlier decisions. Revoking a primary also revokes that primary's delegates.</w:t>
      </w:r>
    </w:p>
    <w:p>
      <w:pPr>
        <w:pStyle w:val="ListNumber"/>
        <w:numPr>
          <w:ilvl w:val="0"/>
          <w:numId w:val="68"/>
        </w:numPr>
      </w:pPr>
      <w:r>
        <w:t>Scientific Operations authorities maintain the versioned Deliverable catalog. Define a new revision or retire an item for future selection. FASTQ, FASTA and BAM are initial configurable defaults; an approved scope retains its selected definitions and versions.</w:t>
      </w:r>
    </w:p>
    <w:p>
      <w:pPr>
        <w:keepNext/>
        <w:spacing w:before="160" w:after="0" w:line="240" w:lineRule="auto"/>
        <w:jc w:val="center"/>
      </w:pPr>
      <w:r>
        <w:drawing>
          <wp:inline xmlns:a="http://schemas.openxmlformats.org/drawingml/2006/main" xmlns:pic="http://schemas.openxmlformats.org/drawingml/2006/picture">
            <wp:extent cx="6263640" cy="1475293"/>
            <wp:docPr id="5" name="Picture 5" descr="Read-only Deliverable catalog listing BAM alignments, FASTA sequences and FASTQ sequencing reads, each at revision 1 and marked Default." title="The catalog lists deliverable names, formats and revisions. Default marks an initial default selection; this view displays the catalog without edit controls."/>
            <wp:cNvGraphicFramePr>
              <a:graphicFrameLocks noChangeAspect="1"/>
            </wp:cNvGraphicFramePr>
            <a:graphic>
              <a:graphicData uri="http://schemas.openxmlformats.org/drawingml/2006/picture">
                <pic:pic>
                  <pic:nvPicPr>
                    <pic:cNvPr id="0" name="10-trial-catalog.png"/>
                    <pic:cNvPicPr/>
                  </pic:nvPicPr>
                  <pic:blipFill>
                    <a:blip r:embed="rId14"/>
                    <a:stretch>
                      <a:fillRect/>
                    </a:stretch>
                  </pic:blipFill>
                  <pic:spPr>
                    <a:xfrm>
                      <a:off x="0" y="0"/>
                      <a:ext cx="6263640" cy="1475293"/>
                    </a:xfrm>
                    <a:prstGeom prst="rect"/>
                  </pic:spPr>
                </pic:pic>
              </a:graphicData>
            </a:graphic>
          </wp:inline>
        </w:drawing>
      </w:r>
    </w:p>
    <w:p>
      <w:pPr>
        <w:pStyle w:val="Caption"/>
        <w:keepNext w:val="0"/>
        <w:keepLines/>
      </w:pPr>
      <w:r>
        <w:t>Figure 6. The catalog lists deliverable names, formats and revisions. Default marks an initial default selection; this view displays the catalog without edit controls.</w:t>
      </w:r>
    </w:p>
    <w:p>
      <w:pPr>
        <w:pStyle w:val="Heading2"/>
      </w:pPr>
      <w:r>
        <w:t>Start from the Company request</w:t>
      </w:r>
    </w:p>
    <w:p>
      <w:r>
        <w:t>Create a Company Work &gt; Trial Project request linked to an active Opportunity. Prepare active Prospect access and the appropriate Department through the separate access workflow. Approval of a CRM or access request does not approve scientific Trial work. Start Trial carries the request into the Trial workspace; a request can have only one Trial.</w:t>
      </w:r>
    </w:p>
    <w:p>
      <w:pPr>
        <w:pStyle w:val="ListNumber"/>
        <w:numPr>
          <w:ilvl w:val="0"/>
          <w:numId w:val="69"/>
        </w:numPr>
      </w:pPr>
      <w:r>
        <w:t>Choose Define scope. Enter the objective, original sample allowance, explicit submission window, current Production PSeq workflow, active analyses and selected versioned deliverables.</w:t>
      </w:r>
    </w:p>
    <w:p>
      <w:pPr>
        <w:pStyle w:val="ListNumber"/>
        <w:numPr>
          <w:ilvl w:val="0"/>
          <w:numId w:val="69"/>
        </w:numPr>
      </w:pPr>
      <w:r>
        <w:t>Record RNA submission instructions, success criteria, Prospect terms, residual-material retention and disposition, estimated retail value and anticipated cost. Internal financial estimates are not shown to the Prospect.</w:t>
      </w:r>
    </w:p>
    <w:p>
      <w:pPr>
        <w:pStyle w:val="ListNumber"/>
        <w:numPr>
          <w:ilvl w:val="0"/>
          <w:numId w:val="69"/>
        </w:numPr>
      </w:pPr>
      <w:r>
        <w:t>If residual material will be returned, specify the destination, handling and shipping payer. Those arrangements become immutable after the first sample submission.</w:t>
      </w:r>
    </w:p>
    <w:p>
      <w:pPr>
        <w:pStyle w:val="ListNumber"/>
        <w:numPr>
          <w:ilvl w:val="0"/>
          <w:numId w:val="69"/>
        </w:numPr>
      </w:pPr>
      <w:r>
        <w:t>Obtain affirmative Commercial and Scientific Operations decisions from two different people for the exact scope revision. A person authorized for both responsibilities cannot approve both sides of the same revision.</w:t>
      </w:r>
    </w:p>
    <w:p>
      <w:r>
        <w:t>Request changes requires a new scope revision. Amend scope retains the previous scope and requires two fresh approvals plus Prospect organization-administrator acceptance. Keep the original sample allowance explicit; replacement permission is a separate exception, not a silent increase in the allowance.</w:t>
      </w:r>
    </w:p>
    <w:p>
      <w:pPr>
        <w:pStyle w:val="Heading1"/>
        <w:pageBreakBefore/>
      </w:pPr>
      <w:r>
        <w:t>Operate and close the Trial</w:t>
      </w:r>
    </w:p>
    <w:p>
      <w:r>
        <w:t>The Prospect organization administrator accepts the approved research-use and no-PHI terms and submits samples during the agreed window. Department administrators cannot substitute for those approval actions; authorized Department administrators may operate shared shipping in their scope.</w:t>
      </w:r>
    </w:p>
    <w:p>
      <w:pPr>
        <w:pStyle w:val="Heading2"/>
      </w:pPr>
      <w:r>
        <w:t>Submit and execute the approved work</w:t>
      </w:r>
    </w:p>
    <w:p>
      <w:pPr>
        <w:pStyle w:val="ListNumber"/>
        <w:numPr>
          <w:ilvl w:val="0"/>
          <w:numId w:val="70"/>
        </w:numPr>
      </w:pPr>
      <w:r>
        <w:t>In the Trial, accept the current approved scope. A changed scope needs a fresh acceptance confirmation.</w:t>
      </w:r>
    </w:p>
    <w:p>
      <w:pPr>
        <w:pStyle w:val="ListNumber"/>
        <w:numPr>
          <w:ilvl w:val="0"/>
          <w:numId w:val="70"/>
        </w:numPr>
      </w:pPr>
      <w:r>
        <w:t>Choose Submit samples and prepare the roster for one RNA type and shipping destination. Enter the required analysis inputs, quantity units and limits, coded identifiers and any required concentration. Submission checks the frozen allowance and window and creates the authorization and shipment.</w:t>
      </w:r>
    </w:p>
    <w:p>
      <w:pPr>
        <w:pStyle w:val="ListNumber"/>
        <w:numPr>
          <w:ilvl w:val="0"/>
          <w:numId w:val="70"/>
        </w:numPr>
      </w:pPr>
      <w:r>
        <w:t>Follow the related shipping record for registered tubes and packet preparation. Open laboratory work for each authorized sample. Receipt, accession, controlled protocol, QC, sequencing and scientific review use the shared Lab workflow pinned to the approved Trial scope.</w:t>
      </w:r>
    </w:p>
    <w:p>
      <w:pPr>
        <w:pStyle w:val="ListNumber"/>
        <w:numPr>
          <w:ilvl w:val="0"/>
          <w:numId w:val="70"/>
        </w:numPr>
      </w:pPr>
      <w:r>
        <w:t>Use Schedule estimate to communicate an estimate without changing scope. Use Authorize replacement only for an explicit failed-sample exception with responsibility, reason and authority. It permits one replacement while preserving the original allowance.</w:t>
      </w:r>
    </w:p>
    <w:p>
      <w:r>
        <w:t>Holds stop affected scientific work and shipping changes; necessary custody and exception facts remain recordable. Failed saves preserve entries. Reload current Trial; keep my entries refreshes the applicable scope and choices for deliberate review without discarding the draft. Changed Trial dialogs ask before discarding entries through Cancel, Escape or navigation. Editing, repeat Save and dismissal are blocked while saving or explicitly reloading. A failed background configuration check preserves the draft; use Retry configuration.</w:t>
      </w:r>
    </w:p>
    <w:p>
      <w:pPr>
        <w:pStyle w:val="Heading2"/>
      </w:pPr>
      <w:r>
        <w:t>Release and close</w:t>
      </w:r>
    </w:p>
    <w:p>
      <w:r>
        <w:t>A release manager selects a scientifically approved package for each sample, including the frozen deliverables. Partial releases make the approved available results accessible. Complete release requires the full approved package for every submitted sample, including replacements, and closes the Trial. No payment or credit gate applies.</w:t>
      </w:r>
    </w:p>
    <w:p>
      <w:r>
        <w:t>The archive includes the Trial manifest, research-use statement, scope revision, sample and file lineage, and checksums. Earlier partial archives remain historical and point members to the current complete package. Complete release freezes the applicable file-retention policy; internal staff downloads do not satisfy the organization's download condition.</w:t>
      </w:r>
    </w:p>
    <w:p>
      <w:r>
        <w:t>For another terminal outcome, use Close Trial with the appropriate outcome and Prospect-safe reason. Closure blocks new submissions and requests cancellation of unfinished Lab authorizations while preserving custody and history. Record material disposition only when exhaustion, return or destruction actually occurs under the frozen terms; a due date alone does not record physical destruction.</w:t>
      </w:r>
    </w:p>
    <w:p>
      <w:pPr>
        <w:pStyle w:val="Heading2"/>
      </w:pPr>
      <w:r>
        <w:t>Finish the commercial follow-up</w:t>
      </w:r>
    </w:p>
    <w:p>
      <w:r>
        <w:t>Record Commercial outcome separately: owned and dated follow-up, closure without conversion, or conversion after the explicit Company relationship workflow. CRM milestones carry safe summaries and a Trial link; Retry CRM publication handles a failed publication. Close Prospect access requires its own review of remaining Trials, holds, Opportunities, grants and service access. Neither conversion nor access closure resets release deadlines.</w:t>
      </w:r>
    </w:p>
    <w:p>
      <w:pPr>
        <w:pStyle w:val="Heading1"/>
        <w:pageBreakBefore/>
      </w:pPr>
      <w:r>
        <w:t>Execute controlled laboratory work</w:t>
      </w:r>
    </w:p>
    <w:p>
      <w:r>
        <w:t>Lab Ops owns physical lineage, execution, quality evidence and scientific review. The approved laboratory procedure defines technique and acceptance limits; POMS records the specific material, people, controlled versions and observed work.</w:t>
      </w:r>
    </w:p>
    <w:p>
      <w:r>
        <w:t>Manage active Phaeno laboratory roles in User management. Operators record physical work; Supervisors handle the permitted QC and exception decisions; Protocol Administrators control definitions; Scientific Reviewers approve the release scope. Assign only the roles needed for the person’s work.</w:t>
      </w:r>
    </w:p>
    <w:p>
      <w:pPr>
        <w:pStyle w:val="Heading2"/>
      </w:pPr>
      <w:r>
        <w:t>Use the pinned workflow and eligible operator</w:t>
      </w:r>
    </w:p>
    <w:p>
      <w:pPr>
        <w:pStyle w:val="ListNumber"/>
        <w:numPr>
          <w:ilvl w:val="0"/>
          <w:numId w:val="71"/>
        </w:numPr>
      </w:pPr>
      <w:r>
        <w:t>Open the authorized Lab work order after receipt, accession and intake disposition. Choose Assign protocol, select the specimen when applicable, then choose an eligible stage from the pinned service workflow. Select an active qualified operator by name when assigning responsibility.</w:t>
      </w:r>
    </w:p>
    <w:p>
      <w:pPr>
        <w:pStyle w:val="ListNumber"/>
        <w:numPr>
          <w:ilvl w:val="0"/>
          <w:numId w:val="71"/>
        </w:numPr>
      </w:pPr>
      <w:r>
        <w:t>Complete earlier Required stages in the same specimen or work-order scope before assigning later stages. The assignment retains the exact service workflow, stage and protocol version even after newer versions become available.</w:t>
      </w:r>
    </w:p>
    <w:p>
      <w:pPr>
        <w:pStyle w:val="ListNumber"/>
        <w:numPr>
          <w:ilvl w:val="0"/>
          <w:numId w:val="71"/>
        </w:numPr>
      </w:pPr>
      <w:r>
        <w:t>Open the execution and Start execution. Record each step's required measurements, units, dates, choices, confirmations and references. Record consumed material lots, quantities, output containers and equipment use in their linked records.</w:t>
      </w:r>
    </w:p>
    <w:p>
      <w:pPr>
        <w:pStyle w:val="ListNumber"/>
        <w:numPr>
          <w:ilvl w:val="0"/>
          <w:numId w:val="71"/>
        </w:numPr>
      </w:pPr>
      <w:r>
        <w:t>Choose Pass, Fail or Hold for QC gates. Record observations and decision basis using the structured fields; add named measurements with units where needed. Fail and Hold require reasons and block progress until an allowed correction or repeat resolves them.</w:t>
      </w:r>
    </w:p>
    <w:p>
      <w:pPr>
        <w:pStyle w:val="Heading2"/>
      </w:pPr>
      <w:r>
        <w:t>Preserve physical lineage</w:t>
      </w:r>
    </w:p>
    <w:p>
      <w:r>
        <w:t>Create a new child container for derived material and retain its immediate parent. Use the authoritative container barcode. Create the physical library container before the library record, then link specimen, source container, library container and completed preparation execution. A library must pass QC before entering a sequencing batch.</w:t>
      </w:r>
    </w:p>
    <w:p>
      <w:r>
        <w:t>In Batches, select the intended draft and scan each physical library container. Invalid or duplicate scans do not change membership. Confirm the manifest before Start or Complete batch, and record the observed event time. A cross-order batch retains each library's own specimen and work-order lineage.</w:t>
      </w:r>
    </w:p>
    <w:p>
      <w:pPr>
        <w:pStyle w:val="Heading2"/>
      </w:pPr>
      <w:r>
        <w:t>Record sendouts and exceptions</w:t>
      </w:r>
    </w:p>
    <w:p>
      <w:r>
        <w:t>A sequencing sendout freezes the actual batch membership, library identities and library-container barcodes. Confirm the physical contents, record the provider details, and advance Shipped, Received by provider, Sequencing and Complete only when the facts are known. Record custody location, responsible party and applicable carrier or tracking reference.</w:t>
      </w:r>
    </w:p>
    <w:p>
      <w:r>
        <w:t>Preserve failed executions, rejected libraries and blocking exceptions. Use the allowed Repeat, Correct, Abandon or replacement path with the required reason and authority. Do not edit an approved protocol, reuse a barcode, alter parentage or duplicate a work order to repair history. Protocols owns new controlled definitions; existing work stays pinned to its governing versions.</w:t>
      </w:r>
    </w:p>
    <w:p>
      <w:pPr>
        <w:pStyle w:val="Heading1"/>
        <w:pageBreakBefore/>
      </w:pPr>
      <w:r>
        <w:t>Review and release results</w:t>
      </w:r>
    </w:p>
    <w:p>
      <w:r>
        <w:t>Scientific approval and Customer publication are separate decisions. A complete sample package may be released while other samples are still in progress. PSeq result release never depends on invoice balance, tax state, Customer credit or payment.</w:t>
      </w:r>
    </w:p>
    <w:p>
      <w:pPr>
        <w:pStyle w:val="Heading2"/>
      </w:pPr>
      <w:r>
        <w:t>Complete scientific review</w:t>
      </w:r>
    </w:p>
    <w:p>
      <w:pPr>
        <w:pStyle w:val="ListNumber"/>
        <w:numPr>
          <w:ilvl w:val="0"/>
          <w:numId w:val="72"/>
        </w:numPr>
      </w:pPr>
      <w:r>
        <w:t>Verify receipt, accession, required executions and QC, library and sequencing facts, resolved blocking exceptions and the final registered output package for the intended release scope.</w:t>
      </w:r>
    </w:p>
    <w:p>
      <w:pPr>
        <w:pStyle w:val="ListNumber"/>
        <w:numPr>
          <w:ilvl w:val="0"/>
          <w:numId w:val="72"/>
        </w:numPr>
      </w:pPr>
      <w:r>
        <w:t>Choose Record scientific approval and select the package by Customer sample, version and file count. Review file names and the manifest checksum. Every expected artifact must be complete, checksummed and malware-clean.</w:t>
      </w:r>
    </w:p>
    <w:p>
      <w:pPr>
        <w:pStyle w:val="ListNumber"/>
        <w:numPr>
          <w:ilvl w:val="0"/>
          <w:numId w:val="72"/>
        </w:numPr>
      </w:pPr>
      <w:r>
        <w:t>Enter any appropriate Customer-visible QC summary and confirm the exact package. The Scientific Reviewer must be different from the actors who recorded the work in that release scope. Approval pins the package and publishes Ready for release.</w:t>
      </w:r>
    </w:p>
    <w:p>
      <w:r>
        <w:t>Ready for release identifies a release candidate. It does not upload, attach or publish files. If the scientific milestone fails to reach Commercial, retry the existing milestone publication; do not record another approval to force publication.</w:t>
      </w:r>
    </w:p>
    <w:p>
      <w:pPr>
        <w:pStyle w:val="Heading2"/>
      </w:pPr>
      <w:r>
        <w:t>Use the connected result package</w:t>
      </w:r>
    </w:p>
    <w:p>
      <w:pPr>
        <w:pStyle w:val="ListNumber"/>
        <w:numPr>
          <w:ilvl w:val="0"/>
          <w:numId w:val="73"/>
        </w:numPr>
      </w:pPr>
      <w:r>
        <w:t>Open Order Ops &gt; Result release and identify the package by Company, Job and sample. Open its dedicated detail to see scientific evidence, manifest, release status and related retention receipt.</w:t>
      </w:r>
    </w:p>
    <w:p>
      <w:pPr>
        <w:pStyle w:val="ListNumber"/>
        <w:numPr>
          <w:ilvl w:val="0"/>
          <w:numId w:val="73"/>
        </w:numPr>
      </w:pPr>
      <w:r>
        <w:t>Review the package version and the permitted release action. The Result Release Manager explicitly releases or withdraws that version. File-administration authority does not grant scientific approval or release authority.</w:t>
      </w:r>
    </w:p>
    <w:p>
      <w:pPr>
        <w:pStyle w:val="ListNumber"/>
        <w:numPr>
          <w:ilvl w:val="0"/>
          <w:numId w:val="73"/>
        </w:numPr>
      </w:pPr>
      <w:r>
        <w:t>For a correction, create a new package and obtain its scientific approval and release decision. Keep the original package, withdrawal and replacement history visible.</w:t>
      </w:r>
    </w:p>
    <w:p>
      <w:pPr>
        <w:pStyle w:val="Heading2"/>
      </w:pPr>
      <w:r>
        <w:t>Direct the external user to the right files</w:t>
      </w:r>
    </w:p>
    <w:p>
      <w:r>
        <w:t>Files generated for a Customer Job and governed results belong to the Job's Files and results section. Partner Assembly outputs belong to the Assembly request. Trial releases belong to the Trial. Curated datasets shared under a data grant belong to Data Library. These are different ownership and release workflows, even when their download controls look similar.</w:t>
      </w:r>
    </w:p>
    <w:p>
      <w:r>
        <w:t>Review scientific approval, file scan/completeness, publication, notification and download completion as separate facts. An email queue entry is not proof that a recipient received the notice. An attempted download is not proof that the full response completed. Use the retained evidence rather than changing another workflow's status to imply delivery.</w:t>
      </w:r>
    </w:p>
    <w:p>
      <w:pPr>
        <w:pStyle w:val="Heading1"/>
        <w:pageBreakBefore/>
      </w:pPr>
      <w:r>
        <w:t>Manage retention and curated data access</w:t>
      </w:r>
    </w:p>
    <w:p>
      <w:r>
        <w:t>A released package keeps the policy and deadlines frozen at its release. Use File retention and the package receipt to understand availability, preservation, download completion and physical cleanup. Current policy edits apply to later releases.</w:t>
      </w:r>
    </w:p>
    <w:p>
      <w:pPr>
        <w:pStyle w:val="Heading2"/>
      </w:pPr>
      <w:r>
        <w:t>Read the frozen dates and receipt</w:t>
      </w:r>
    </w:p>
    <w:p>
      <w:r>
        <w:t>The global policy starts with 30 standard days, a warning 5 days before that deadline, and a conditional 5-day grace period. A Company override may change the effective policy for future releases. Use the dates shown on the specific release; each policy day is an exact 24-hour interval. Global-policy and Company-override editors keep the revision you reviewed when opening them. Background updates do not replace that review or its entered values. Changed forms ask before discarding; saving prevents editing, repeat submission and dismissal. If a policy changes elsewhere, review its current revision before retrying. Existing package deadlines remain frozen.</w:t>
      </w:r>
    </w:p>
    <w:p>
      <w:pPr>
        <w:keepNext/>
        <w:spacing w:before="160" w:after="0" w:line="240" w:lineRule="auto"/>
        <w:jc w:val="center"/>
      </w:pPr>
      <w:r>
        <w:drawing>
          <wp:inline xmlns:a="http://schemas.openxmlformats.org/drawingml/2006/main" xmlns:pic="http://schemas.openxmlformats.org/drawingml/2006/picture">
            <wp:extent cx="5166360" cy="5464419"/>
            <wp:docPr id="4" name="Picture 4" descr="Edit global retention policy dialog with standard retention days, warning days, conditional grace days, required change reason, and a disabled Save changes button while unchanged." title="Global retention policy changes apply to future releases. The form requires a change reason; existing package deadlines remain frozen."/>
            <wp:cNvGraphicFramePr>
              <a:graphicFrameLocks noChangeAspect="1"/>
            </wp:cNvGraphicFramePr>
            <a:graphic>
              <a:graphicData uri="http://schemas.openxmlformats.org/drawingml/2006/picture">
                <pic:pic>
                  <pic:nvPicPr>
                    <pic:cNvPr id="0" name="09-retention-policy-final.png"/>
                    <pic:cNvPicPr/>
                  </pic:nvPicPr>
                  <pic:blipFill>
                    <a:blip r:embed="rId13"/>
                    <a:srcRect l="36402" t="19647" r="36402" b="19647"/>
                    <a:stretch>
                      <a:fillRect/>
                    </a:stretch>
                  </pic:blipFill>
                  <pic:spPr>
                    <a:xfrm>
                      <a:off x="0" y="0"/>
                      <a:ext cx="5166360" cy="5464419"/>
                    </a:xfrm>
                    <a:prstGeom prst="rect"/>
                  </pic:spPr>
                </pic:pic>
              </a:graphicData>
            </a:graphic>
          </wp:inline>
        </w:drawing>
      </w:r>
    </w:p>
    <w:p>
      <w:pPr>
        <w:pStyle w:val="Caption"/>
        <w:keepNext w:val="0"/>
        <w:keepLines/>
      </w:pPr>
      <w:r>
        <w:t>Figure 7. Global retention policy changes apply to future releases. The form requires a change reason; existing package deadlines remain frozen.</w:t>
      </w:r>
    </w:p>
    <w:p>
      <w:pPr>
        <w:keepLines/>
      </w:pPr>
      <w:r>
        <w:t>A package receives the applicable grace window when an artifact remains undownloaded at the standard deadline. A complete server response is the relevant completion evidence. Failed or partial transfers do not establish completion, and later completion does not shorten an already applicable grace period. Internal downloads do not satisfy the organization's condition.</w:t>
      </w:r>
    </w:p>
    <w:p>
      <w:pPr>
        <w:pStyle w:val="ListBullet"/>
        <w:numPr>
          <w:ilvl w:val="0"/>
          <w:numId w:val="59"/>
        </w:numPr>
      </w:pPr>
      <w:r>
        <w:t>A closed download window prevents new requests at the applicable deadline. It does not prove that the stored bytes have been deleted.</w:t>
      </w:r>
    </w:p>
    <w:p>
      <w:pPr>
        <w:pStyle w:val="ListBullet"/>
        <w:numPr>
          <w:ilvl w:val="0"/>
          <w:numId w:val="59"/>
        </w:numPr>
      </w:pPr>
      <w:r>
        <w:t>Where scheduled retention processing is enabled, warning and grace notices use current active organization administrators. Missing recipients or delivery failures belong in the Retention notices attention queue. Retry the existing notice after correcting the cause.</w:t>
      </w:r>
    </w:p>
    <w:p>
      <w:pPr>
        <w:pStyle w:val="ListBullet"/>
        <w:numPr>
          <w:ilvl w:val="0"/>
          <w:numId w:val="59"/>
        </w:numPr>
      </w:pPr>
      <w:r>
        <w:t>Older releases may retain their earlier schedule or lack automated dates. Recover missing timing evidence through support; do not recreate the release or infer an unrecorded successful download.</w:t>
      </w:r>
    </w:p>
    <w:p>
      <w:pPr>
        <w:pStyle w:val="Heading2"/>
      </w:pPr>
      <w:r>
        <w:t>Preserve or reissue an existing release</w:t>
      </w:r>
    </w:p>
    <w:p>
      <w:r>
        <w:t>Open the retained receipt from the package or File retention &gt; Review released packages. Review the manifest, checksums, deadlines, completed transfers, deletion facts and reissue history. Print / save PDF provides a metadata copy.</w:t>
      </w:r>
    </w:p>
    <w:p>
      <w:r>
        <w:t>Place hold requires the permitted hold type and reason. Preserve bytes blocks cleanup; Quarantine and suspend access also blocks applicable downloads. Release hold records the reason and does not restart the retention clock. After deletion, regenerate and approve new files through the scientific workflow, then Link reissued package to the eligible new release. Linking preserves the original dates and never restores deleted bytes.</w:t>
      </w:r>
    </w:p>
    <w:p>
      <w:pPr>
        <w:pStyle w:val="Heading2"/>
      </w:pPr>
      <w:r>
        <w:t>Provision curated datasets through the existing Company</w:t>
      </w:r>
    </w:p>
    <w:p>
      <w:r>
        <w:t>Data provisioning selects an existing operational scope and assigns curated dataset access. When access setup is missing, open the canonical Company setup and return to the pending grant. Data Library, organization grants and their scientific ownership remain separate from paid Job outputs, Trial results and Assembly manufacturing inputs. Deactivation, grant expiry, quarantine and file retention each have their own recorded effect; none implies completion of the others.</w:t>
      </w:r>
    </w:p>
    <w:p>
      <w:pPr>
        <w:pStyle w:val="Heading1"/>
        <w:pageBreakBefore/>
      </w:pPr>
      <w:r>
        <w:t>Operate Partner kits and Assembly</w:t>
      </w:r>
    </w:p>
    <w:p>
      <w:r>
        <w:t>Order Ops &gt; PSeq kits and Assembly owns Partner commitments, pricing, quotes, commercial holds and cancellation review. Lab Ops &gt; PSeq kits and Data assembly owns physical fulfillment, input validation, execution and output approval. Open Lab work retains the same order identity.</w:t>
      </w:r>
    </w:p>
    <w:p>
      <w:pPr>
        <w:pStyle w:val="Heading2"/>
      </w:pPr>
      <w:r>
        <w:t>PSeq kit orders</w:t>
      </w:r>
    </w:p>
    <w:p>
      <w:pPr>
        <w:pStyle w:val="ListNumber"/>
        <w:numPr>
          <w:ilvl w:val="0"/>
          <w:numId w:val="74"/>
        </w:numPr>
      </w:pPr>
      <w:r>
        <w:t>The Partner chooses Create reagent order. Save draft retains the selected lines, purchase-order reference, shipping address, requested delivery date and instructions. An incomplete draft can be saved; placement requires the necessary purchase-order and delivery facts.</w:t>
      </w:r>
    </w:p>
    <w:p>
      <w:pPr>
        <w:pStyle w:val="ListNumber"/>
        <w:numPr>
          <w:ilvl w:val="0"/>
          <w:numId w:val="74"/>
        </w:numPr>
      </w:pPr>
      <w:r>
        <w:t>At placement, POMS checks the active Partner offering, effective negotiated price, currency, quantity rules and destination restrictions and preserves the commercial snapshot.</w:t>
      </w:r>
    </w:p>
    <w:p>
      <w:pPr>
        <w:pStyle w:val="ListNumber"/>
        <w:numPr>
          <w:ilvl w:val="0"/>
          <w:numId w:val="74"/>
        </w:numPr>
      </w:pPr>
      <w:r>
        <w:t>Commercial reviews and accepts or rejects the order in Order Ops &gt; PSeq kits. Lab Ops &gt; PSeq kits performs physical fulfillment after acceptance.</w:t>
      </w:r>
    </w:p>
    <w:p>
      <w:pPr>
        <w:pStyle w:val="ListNumber"/>
        <w:numPr>
          <w:ilvl w:val="0"/>
          <w:numId w:val="74"/>
        </w:numPr>
      </w:pPr>
      <w:r>
        <w:t>Record any proposed substitution explicitly. The Partner administrator approves it; an increased total also needs the required commercial approval. Keep backorders attached to the original order.</w:t>
      </w:r>
    </w:p>
    <w:p>
      <w:pPr>
        <w:pStyle w:val="ListNumber"/>
        <w:numPr>
          <w:ilvl w:val="0"/>
          <w:numId w:val="74"/>
        </w:numPr>
      </w:pPr>
      <w:r>
        <w:t>Record partial or full shipments with line quantities, lot or batch, applicable expiry, carrier, tracking, ship date and packing-slip facts. Preserve shipped quantities and resolve the remainder through later shipment or adjustment records.</w:t>
      </w:r>
    </w:p>
    <w:p>
      <w:r>
        <w:t>Each shipment creates its own accounting source. Partner kit invoicing, tax treatment and posting follow the separate accounting handoff; they do not become native PSeq Customer invoices automatically.</w:t>
      </w:r>
    </w:p>
    <w:p>
      <w:pPr>
        <w:pStyle w:val="Heading2"/>
      </w:pPr>
      <w:r>
        <w:t>Data Assembly requests</w:t>
      </w:r>
    </w:p>
    <w:p>
      <w:pPr>
        <w:pStyle w:val="ListNumber"/>
        <w:numPr>
          <w:ilvl w:val="0"/>
          <w:numId w:val="75"/>
        </w:numPr>
      </w:pPr>
      <w:r>
        <w:t>The Partner selects an active Assembly profile, completes its project metadata and attaches allowed inputs. The form shows current file-type and size limits. Save draft preserves the request.</w:t>
      </w:r>
    </w:p>
    <w:p>
      <w:pPr>
        <w:pStyle w:val="ListNumber"/>
        <w:numPr>
          <w:ilvl w:val="0"/>
          <w:numId w:val="75"/>
        </w:numPr>
      </w:pPr>
      <w:r>
        <w:t>If correction is needed, open the editable request, review saved files and scan states, remove the wrong input, and add its replacement. A new submission preserves the previous input revision.</w:t>
      </w:r>
    </w:p>
    <w:p>
      <w:pPr>
        <w:pStyle w:val="ListNumber"/>
        <w:numPr>
          <w:ilvl w:val="0"/>
          <w:numId w:val="75"/>
        </w:numPr>
      </w:pPr>
      <w:r>
        <w:t>Lab Ops &gt; Data assembly validates input. Commercial issues the linked per-job quote after input acceptance. Partner acceptance queues manufacturing against the accepted input and profile.</w:t>
      </w:r>
    </w:p>
    <w:p>
      <w:pPr>
        <w:pStyle w:val="ListNumber"/>
        <w:numPr>
          <w:ilvl w:val="0"/>
          <w:numId w:val="75"/>
        </w:numPr>
      </w:pPr>
      <w:r>
        <w:t>Lab records processing and quality review. Review outputs includes files uploaded in earlier sessions and their scan states. Approve a new immutable output release with the accepted input and processing provenance.</w:t>
      </w:r>
    </w:p>
    <w:p>
      <w:r>
        <w:t>An interrupted upload, submission or placement can leave a saved draft. Use Open saved draft and retry the original record; successful earlier stages are retained. Assembly output approval creates its accounting source. Approved Assembly credit permits release under its terms; otherwise payment hold remains in force. PSeq Customer payment-independent release rules do not remove the Partner gate.</w:t>
      </w:r>
    </w:p>
    <w:p>
      <w:pPr>
        <w:pStyle w:val="Heading1"/>
        <w:pageBreakBefore/>
      </w:pPr>
      <w:r>
        <w:t>Maintain billing and review invoices</w:t>
      </w:r>
    </w:p>
    <w:p>
      <w:r>
        <w:t>Order Ops &gt; Finance owns native PSeq Customer accounts receivable. Its Customer billing setup is maintained for the Customer; each invoice and adjustment is a separate transaction. Partner shipment and Assembly accounting sources remain distinct.</w:t>
      </w:r>
    </w:p>
    <w:p>
      <w:pPr>
        <w:pStyle w:val="Heading2"/>
      </w:pPr>
      <w:r>
        <w:t>Maintain Customer billing</w:t>
      </w:r>
    </w:p>
    <w:p>
      <w:pPr>
        <w:pStyle w:val="ListNumber"/>
        <w:numPr>
          <w:ilvl w:val="0"/>
          <w:numId w:val="76"/>
        </w:numPr>
      </w:pPr>
      <w:r>
        <w:t>Choose Customer billing and open the Customer record. Review contact, email, terms, effective tax decision and Finance approval before Edit billing and tax.</w:t>
      </w:r>
    </w:p>
    <w:p>
      <w:pPr>
        <w:pStyle w:val="ListNumber"/>
        <w:numPr>
          <w:ilvl w:val="0"/>
          <w:numId w:val="76"/>
        </w:numPr>
      </w:pPr>
      <w:r>
        <w:t>Enter the billing contact, address and payment terms. Choose Taxable, Exempt or Non-taxable. Taxable needs the approved rate; Exempt needs exemption evidence.</w:t>
      </w:r>
    </w:p>
    <w:p>
      <w:pPr>
        <w:pStyle w:val="ListNumber"/>
        <w:numPr>
          <w:ilvl w:val="0"/>
          <w:numId w:val="76"/>
        </w:numPr>
      </w:pPr>
      <w:r>
        <w:t>Use Save changes. The action is enabled when values differ from the saved profile; restoring the original values makes the form pristine. A failed save keeps the entries and original edit version for review.</w:t>
      </w:r>
    </w:p>
    <w:p>
      <w:pPr>
        <w:pStyle w:val="ListNumber"/>
        <w:numPr>
          <w:ilvl w:val="0"/>
          <w:numId w:val="76"/>
        </w:numPr>
      </w:pPr>
      <w:r>
        <w:t>Saving billing or tax changes requires a fresh Finance approval. Enter Finance approval notes and Approve current tax decision only after pending billing changes are saved. This approval is a separate Finance decision from ordinary data entry.</w:t>
      </w:r>
    </w:p>
    <w:p>
      <w:pPr>
        <w:pStyle w:val="Heading2"/>
      </w:pPr>
      <w:r>
        <w:t>Understand quote and invoice timing</w:t>
      </w:r>
    </w:p>
    <w:p>
      <w:r>
        <w:t>An otherwise ready order can be quoted before billing is complete. A complete Finance-approved profile at quote issue permits POMS to calculate and freeze tax and billing terms in the quote. Otherwise the quote is explicitly pre-tax; complete and approve billing before invoicing, when POMS calculates the applicable tax and freezes those terms.</w:t>
      </w:r>
    </w:p>
    <w:p>
      <w:r>
        <w:t>At Job completion, POMS creates one numbered invoice from the accepted quote. The due date follows the applicable frozen payment terms; Net 30 is the default. The invoice PDF remains immutable and is available under the authorized Finance and Customer views. A zero calculated tax amount can be valid.</w:t>
      </w:r>
    </w:p>
    <w:p>
      <w:pPr>
        <w:pStyle w:val="Heading2"/>
      </w:pPr>
      <w:r>
        <w:t>Open the invoice before acting</w:t>
      </w:r>
    </w:p>
    <w:p>
      <w:r>
        <w:t>In Invoices and aging, filter by Customer and open the invoice number. Review issued and due dates, total, applied cash and balance, and use Open order for commercial context. Aging totals cover all Customers and display current and overdue buckets; filtering invoice rows does not narrow those totals or record collection activity.</w:t>
      </w:r>
    </w:p>
    <w:p>
      <w:r>
        <w:t>Record adjustment adds a Credit, Debit or Write-off with amount and reason. It preserves the issued invoice. Do not rewrite an invoice, alter the accepted quote or change scientific status to correct a balance. Export all invoices and Export aging create all-Customer reports; an export does not record payment or confirm posting to another accounting system.</w:t>
      </w:r>
    </w:p>
    <w:p>
      <w:pPr>
        <w:pStyle w:val="Heading1"/>
        <w:pageBreakBefore/>
      </w:pPr>
      <w:r>
        <w:t>Record import and allocate receipts</w:t>
      </w:r>
    </w:p>
    <w:p>
      <w:r>
        <w:t>A Cash Operator records evidence of money received and applies it explicitly. A receipt begins as unapplied cash. Matching suggestions help find the correct same-Customer invoice; they do not allocate any amount automatically.</w:t>
      </w:r>
    </w:p>
    <w:p>
      <w:pPr>
        <w:pStyle w:val="Heading2"/>
      </w:pPr>
      <w:r>
        <w:t>Record one receipt with evidence</w:t>
      </w:r>
    </w:p>
    <w:p>
      <w:pPr>
        <w:pStyle w:val="ListNumber"/>
        <w:numPr>
          <w:ilvl w:val="0"/>
          <w:numId w:val="77"/>
        </w:numPr>
      </w:pPr>
      <w:r>
        <w:t>In Finance &gt; Receipts, choose Record receipt. Select the Customer and enter external reference, payer, amount in USD, received date, payment method and bank reference. An optional note adds context.</w:t>
      </w:r>
    </w:p>
    <w:p>
      <w:pPr>
        <w:pStyle w:val="ListNumber"/>
        <w:numPr>
          <w:ilvl w:val="0"/>
          <w:numId w:val="77"/>
        </w:numPr>
      </w:pPr>
      <w:r>
        <w:t>Attach evidence as PDF, PNG, JPEG or text, no larger than 10 MB. The evidence must pass the configured scanner. A scan or save failure keeps the entered values; resolve the reported cause before retrying.</w:t>
      </w:r>
    </w:p>
    <w:p>
      <w:pPr>
        <w:pStyle w:val="ListNumber"/>
        <w:numPr>
          <w:ilvl w:val="0"/>
          <w:numId w:val="77"/>
        </w:numPr>
      </w:pPr>
      <w:r>
        <w:t>Open the saved receipt number to review its amount, applied and unapplied balance, source and evidence. Download evidence uses that receipt's authorized attachment.</w:t>
      </w:r>
    </w:p>
    <w:p>
      <w:pPr>
        <w:keepNext/>
        <w:spacing w:before="160" w:after="0" w:line="240" w:lineRule="auto"/>
        <w:jc w:val="center"/>
      </w:pPr>
      <w:r>
        <w:drawing>
          <wp:inline xmlns:a="http://schemas.openxmlformats.org/drawingml/2006/main" xmlns:pic="http://schemas.openxmlformats.org/drawingml/2006/picture">
            <wp:extent cx="5806440" cy="5413651"/>
            <wp:docPr id="3" name="Picture 3" descr="Blank Record receipt dialog with Customer, external reference, payer, amount in USD, received date, payment method, bank reference, optional note and required evidence upload." title="Record receipt captures one bank event and its evidence. This blank form has not recorded or allocated any money."/>
            <wp:cNvGraphicFramePr>
              <a:graphicFrameLocks noChangeAspect="1"/>
            </wp:cNvGraphicFramePr>
            <a:graphic>
              <a:graphicData uri="http://schemas.openxmlformats.org/drawingml/2006/picture">
                <pic:pic>
                  <pic:nvPicPr>
                    <pic:cNvPr id="0" name="06-record-receipt-full.png"/>
                    <pic:cNvPicPr/>
                  </pic:nvPicPr>
                  <pic:blipFill>
                    <a:blip r:embed="rId12"/>
                    <a:srcRect l="32218" t="15011" r="32218" b="15011"/>
                    <a:stretch>
                      <a:fillRect/>
                    </a:stretch>
                  </pic:blipFill>
                  <pic:spPr>
                    <a:xfrm>
                      <a:off x="0" y="0"/>
                      <a:ext cx="5806440" cy="5413651"/>
                    </a:xfrm>
                    <a:prstGeom prst="rect"/>
                  </pic:spPr>
                </pic:pic>
              </a:graphicData>
            </a:graphic>
          </wp:inline>
        </w:drawing>
      </w:r>
    </w:p>
    <w:p>
      <w:pPr>
        <w:pStyle w:val="Caption"/>
        <w:keepNext w:val="0"/>
        <w:keepLines/>
      </w:pPr>
      <w:r>
        <w:t>Figure 8. Record receipt captures one bank event and its evidence. This blank form has not recorded or allocated any money.</w:t>
      </w:r>
    </w:p>
    <w:p>
      <w:pPr>
        <w:keepNext w:val="0"/>
        <w:spacing w:before="0" w:after="0" w:line="20" w:lineRule="exact"/>
        <w:sectPr w:rsidR="00FC693F" w:rsidRPr="0006063C" w:rsidSect="00034616">
          <w:type w:val="nextPage"/>
          <w:footerReference w:type="default" r:id="rId9"/>
          <w:pgSz w:w="12240" w:h="15840" w:orient="portrait"/>
          <w:pgMar w:top="1037" w:right="1181" w:bottom="1037" w:left="1181" w:header="403" w:footer="432" w:gutter="0"/>
          <w:cols w:space="720"/>
          <w:docGrid w:linePitch="360"/>
        </w:sectPr>
      </w:pPr>
    </w:p>
    <w:p>
      <w:pPr>
        <w:pStyle w:val="Heading2"/>
        <w:pageBreakBefore w:val="0"/>
      </w:pPr>
      <w:r>
        <w:t>Import a reviewed batch</w:t>
      </w:r>
    </w:p>
    <w:p>
      <w:pPr>
        <w:keepNext/>
        <w:spacing w:before="160" w:after="0" w:line="240" w:lineRule="auto"/>
        <w:jc w:val="center"/>
      </w:pPr>
      <w:r>
        <w:drawing>
          <wp:inline xmlns:a="http://schemas.openxmlformats.org/drawingml/2006/main" xmlns:pic="http://schemas.openxmlformats.org/drawingml/2006/picture">
            <wp:extent cx="8412480" cy="4054468"/>
            <wp:docPr id="2" name="Picture 2" descr="Finance Import receipts view with Customer and source controls, CSV file selection, required CSV content and headers, and Preview import action." title="Import receipts starts with a Customer, source and CSV file or pasted content. Preview import prepares the review; it does not yet create receipts."/>
            <wp:cNvGraphicFramePr>
              <a:graphicFrameLocks noChangeAspect="1"/>
            </wp:cNvGraphicFramePr>
            <a:graphic>
              <a:graphicData uri="http://schemas.openxmlformats.org/drawingml/2006/picture">
                <pic:pic>
                  <pic:nvPicPr>
                    <pic:cNvPr id="0" name="05-receipt-import-full.png"/>
                    <pic:cNvPicPr/>
                  </pic:nvPicPr>
                  <pic:blipFill>
                    <a:blip r:embed="rId11"/>
                    <a:srcRect l="19561" t="25386" r="19561" b="12693"/>
                    <a:stretch>
                      <a:fillRect/>
                    </a:stretch>
                  </pic:blipFill>
                  <pic:spPr>
                    <a:xfrm>
                      <a:off x="0" y="0"/>
                      <a:ext cx="8412480" cy="4054468"/>
                    </a:xfrm>
                    <a:prstGeom prst="rect"/>
                  </pic:spPr>
                </pic:pic>
              </a:graphicData>
            </a:graphic>
          </wp:inline>
        </w:drawing>
      </w:r>
    </w:p>
    <w:p>
      <w:pPr>
        <w:pStyle w:val="Caption"/>
        <w:keepNext w:val="0"/>
        <w:keepLines/>
      </w:pPr>
      <w:r>
        <w:t>Figure 9. Import receipts starts with a Customer, source and CSV file or pasted content. Preview import prepares the review; it does not yet create receipts.</w:t>
      </w:r>
    </w:p>
    <w:p>
      <w:pPr>
        <w:pStyle w:val="ListNumber"/>
        <w:numPr>
          <w:ilvl w:val="0"/>
          <w:numId w:val="78"/>
        </w:numPr>
      </w:pPr>
      <w:r>
        <w:t>Choose Import receipts, select Customer and Source, and choose a CSV file or paste its content. Include the required headers: source, external_id, date, amount, currency, payer, reference and memo.</w:t>
      </w:r>
    </w:p>
    <w:p>
      <w:pPr>
        <w:pStyle w:val="ListNumber"/>
        <w:numPr>
          <w:ilvl w:val="0"/>
          <w:numId w:val="78"/>
        </w:numPr>
      </w:pPr>
      <w:r>
        <w:t>Choose Preview import. Correct validation failures before proceeding. Review the frozen Customer, source, rows and total.</w:t>
      </w:r>
    </w:p>
    <w:p>
      <w:pPr>
        <w:pStyle w:val="ListNumber"/>
        <w:numPr>
          <w:ilvl w:val="0"/>
          <w:numId w:val="78"/>
        </w:numPr>
      </w:pPr>
      <w:r>
        <w:t>Use Change input for any correction, then preview again. Changed input invalidates the earlier review. The operator who previews the file must confirm it; ask that operator to finish an existing review rather than previewing the same file under another account.</w:t>
      </w:r>
    </w:p>
    <w:p>
      <w:pPr>
        <w:pStyle w:val="ListNumber"/>
        <w:numPr>
          <w:ilvl w:val="0"/>
          <w:numId w:val="78"/>
        </w:numPr>
      </w:pPr>
      <w:r>
        <w:t>Confirm the reviewed receipt count. Confirmation creates unapplied receipts and retains the source evidence. A failed confirmation retains the reviewed batch for retry; do not create another receipt for the same bank event.</w:t>
      </w:r>
    </w:p>
    <w:p>
      <w:pPr>
        <w:keepNext w:val="0"/>
        <w:spacing w:before="0" w:after="0" w:line="20" w:lineRule="exact"/>
        <w:sectPr w:rsidR="00FC693F" w:rsidRPr="0006063C" w:rsidSect="00034616">
          <w:type w:val="nextPage"/>
          <w:footerReference w:type="default" r:id="rId9"/>
          <w:pgSz w:w="15840" w:h="12240" w:orient="landscape"/>
          <w:pgMar w:top="1037" w:right="1181" w:bottom="1037" w:left="1181" w:header="403" w:footer="432" w:gutter="0"/>
          <w:cols w:space="720"/>
          <w:docGrid w:linePitch="360"/>
        </w:sectPr>
      </w:pPr>
    </w:p>
    <w:p>
      <w:pPr>
        <w:pStyle w:val="Heading2"/>
        <w:pageBreakBefore w:val="0"/>
      </w:pPr>
      <w:r>
        <w:t>Allocate or reverse deliberately</w:t>
      </w:r>
    </w:p>
    <w:p>
      <w:r>
        <w:t>From the receipt record, choose Allocate to invoice, select a same-Customer invoice and enter an amount within the available receipt and invoice balance. A partial allocation, one receipt across several invoices, or several receipts against one invoice can be recorded as separate allocations. Overpayments remain unapplied until deliberately resolved.</w:t>
      </w:r>
    </w:p>
    <w:p>
      <w:r>
        <w:t>Reverse receipt is available when no allocation remains and requires a reason. Reversals preserve the original fact and actor. If another user changes the receipt or invoice during a save, review the current record before retrying; unsuccessful actions retain the form values. For adjustments, allocations and reversals, POMS refreshes a conflicting record and keeps your entries. Check the displayed current status and balances, choose Use reviewed record, then review the entries and save again. If refreshing fails, choose Retry current record. POMS does not repeat the financial action automatically.</w:t>
      </w:r>
    </w:p>
    <w:p>
      <w:r>
        <w:t>Review unapplied cash and overdue invoices in their owning Finance views and attention queues. Bank activity, receipt entry, allocation, invoice balance and the later reconciliation are separate evidence. Export all receipts includes all Customers. Report exports provide review copies and do not perform those decisions.</w:t>
      </w:r>
    </w:p>
    <w:p>
      <w:pPr>
        <w:pStyle w:val="Heading1"/>
        <w:pageBreakBefore/>
      </w:pPr>
      <w:r>
        <w:t>Reconcile cash and recover work</w:t>
      </w:r>
    </w:p>
    <w:p>
      <w:r>
        <w:t>A Cash Operator prepares and submits reconciliation. An independent Cash Reconciler approves the balanced closeout. Assignment coordinates responsibility; it does not grant authority or waive the required independent decision.</w:t>
      </w:r>
    </w:p>
    <w:p>
      <w:pPr>
        <w:pStyle w:val="Heading2"/>
      </w:pPr>
      <w:r>
        <w:t>Close the period explicitly</w:t>
      </w:r>
    </w:p>
    <w:p>
      <w:pPr>
        <w:keepNext/>
        <w:spacing w:before="160" w:after="0" w:line="240" w:lineRule="auto"/>
        <w:jc w:val="center"/>
      </w:pPr>
      <w:r>
        <w:drawing>
          <wp:inline xmlns:a="http://schemas.openxmlformats.org/drawingml/2006/main" xmlns:pic="http://schemas.openxmlformats.org/drawingml/2006/picture">
            <wp:extent cx="5806440" cy="3296008"/>
            <wp:docPr id="1" name="Picture 1" descr="Create reconciliation dialog with period end, bank total, an empty included-receipts list explaining the prerequisite, and a disabled Create reconciliation button." title="New reconciliation requires eligible recorded receipts. This example has none, so a batch cannot yet be created."/>
            <wp:cNvGraphicFramePr>
              <a:graphicFrameLocks noChangeAspect="1"/>
            </wp:cNvGraphicFramePr>
            <a:graphic>
              <a:graphicData uri="http://schemas.openxmlformats.org/drawingml/2006/picture">
                <pic:pic>
                  <pic:nvPicPr>
                    <pic:cNvPr id="0" name="07-reconciliation-full.png"/>
                    <pic:cNvPicPr/>
                  </pic:nvPicPr>
                  <pic:blipFill>
                    <a:blip r:embed="rId10"/>
                    <a:srcRect l="32218" t="28698" r="32218" b="28698"/>
                    <a:stretch>
                      <a:fillRect/>
                    </a:stretch>
                  </pic:blipFill>
                  <pic:spPr>
                    <a:xfrm>
                      <a:off x="0" y="0"/>
                      <a:ext cx="5806440" cy="3296008"/>
                    </a:xfrm>
                    <a:prstGeom prst="rect"/>
                  </pic:spPr>
                </pic:pic>
              </a:graphicData>
            </a:graphic>
          </wp:inline>
        </w:drawing>
      </w:r>
    </w:p>
    <w:p>
      <w:pPr>
        <w:pStyle w:val="Caption"/>
        <w:keepNext w:val="0"/>
        <w:keepLines/>
      </w:pPr>
      <w:r>
        <w:t>Figure 10. New reconciliation requires eligible recorded receipts. This example has none, so a batch cannot yet be created.</w:t>
      </w:r>
    </w:p>
    <w:p>
      <w:pPr>
        <w:pStyle w:val="ListNumber"/>
        <w:numPr>
          <w:ilvl w:val="0"/>
          <w:numId w:val="79"/>
        </w:numPr>
      </w:pPr>
      <w:r>
        <w:t>Open Finance &gt; Reconciliation and choose New reconciliation. Enter the period end and bank total and select the exact eligible receipts. Create reconciliation records the batch.</w:t>
      </w:r>
    </w:p>
    <w:p>
      <w:pPr>
        <w:pStyle w:val="ListNumber"/>
        <w:numPr>
          <w:ilvl w:val="0"/>
          <w:numId w:val="79"/>
        </w:numPr>
      </w:pPr>
      <w:r>
        <w:t>Open the batch number. Compare the ledger total, bank total and difference with the underlying evidence. Resolve differences in the owning receipts, allocations or adjustments rather than rewriting the batch history.</w:t>
      </w:r>
    </w:p>
    <w:p>
      <w:pPr>
        <w:pStyle w:val="ListNumber"/>
        <w:numPr>
          <w:ilvl w:val="0"/>
          <w:numId w:val="79"/>
        </w:numPr>
      </w:pPr>
      <w:r>
        <w:t>Submit balanced batch when the difference is zero. A Cash Reconciler who contributed none of the batch activity reviews it and chooses Approve independently. Approval preserves the immutable closeout report.</w:t>
      </w:r>
    </w:p>
    <w:p>
      <w:pPr>
        <w:pStyle w:val="Heading2"/>
      </w:pPr>
      <w:r>
        <w:t>Handle holds and cancellations in their owning work</w:t>
      </w:r>
    </w:p>
    <w:p>
      <w:r>
        <w:t>Commercial holds and cancellation decisions stay in Order Ops. Use the On hold Intake view to find the affected order, record a safe external explanation and retain internal investigation detail separately. Release a hold only after resolving its cause. After a commitment, cancellation requires review of work performed, quantities shipped and outputs released; a partial decision preserves unaffected work.</w:t>
      </w:r>
    </w:p>
    <w:p>
      <w:r>
        <w:t>Lab exceptions, Trial holds and file preservation have their own effects. A hold does not silently approve a quote, reverse cash, withdraw a released file or erase custody. The linked record identifies the permitted action and the role that may perform it.</w:t>
      </w:r>
    </w:p>
    <w:p>
      <w:pPr>
        <w:pStyle w:val="Heading2"/>
      </w:pPr>
      <w:r>
        <w:t>Use attention and retries without duplicating records</w:t>
      </w:r>
    </w:p>
    <w:p>
      <w:pPr>
        <w:pStyle w:val="ListBullet"/>
        <w:numPr>
          <w:ilvl w:val="0"/>
          <w:numId w:val="59"/>
        </w:numPr>
      </w:pPr>
      <w:r>
        <w:t>Start with the connected dashboard or Owned attention queues. Find readiness, invitation, held work, scientific release, retention notice or Finance items that need action. If a queue is unavailable, do not interpret that as no work.</w:t>
      </w:r>
    </w:p>
    <w:p>
      <w:pPr>
        <w:pStyle w:val="ListBullet"/>
        <w:numPr>
          <w:ilvl w:val="0"/>
          <w:numId w:val="59"/>
        </w:numPr>
      </w:pPr>
      <w:r>
        <w:t>Open the underlying Company, request, Job, Trial, shipment, package or Finance record. Review its latest state and whether the previous attempt already succeeded before retrying.</w:t>
      </w:r>
    </w:p>
    <w:p>
      <w:pPr>
        <w:pStyle w:val="ListBullet"/>
        <w:numPr>
          <w:ilvl w:val="0"/>
          <w:numId w:val="59"/>
        </w:numPr>
      </w:pPr>
      <w:r>
        <w:t>Complete the missing step in that same record. Keep approved requests visible until fulfillment and completion, and retain failed drafts for correction rather than starting another order.</w:t>
      </w:r>
    </w:p>
    <w:p>
      <w:pPr>
        <w:pStyle w:val="ListBullet"/>
        <w:numPr>
          <w:ilvl w:val="0"/>
          <w:numId w:val="59"/>
        </w:numPr>
      </w:pPr>
      <w:r>
        <w:t>Escalate with safe record identifiers, visible state and the last valid action. Do not include credentials, PHI, payment credentials or confidential scientific detail in ordinary support notes.</w:t>
      </w:r>
    </w:p>
    <w:p>
      <w:pPr>
        <w:pStyle w:val="Heading2"/>
      </w:pPr>
      <w:r>
        <w:t>Check the intended outcome</w:t>
      </w:r>
    </w:p>
    <w:p>
      <w:r>
        <w:t>The commercial commitment is recorded; authorized samples and physical work are traceable; the intended scientific package has its own approval and release decision; invoices and any adjustments preserve their original evidence; cash is allocated or intentionally unapplied; and the relevant reconciliation is independently approved. For a Trial, confirm the terminal outcome, material disposition and separate commercial follow-up instead of expecting a paid-order invoice.</w:t>
      </w:r>
    </w:p>
    <w:sectPr w:rsidR="00FC693F" w:rsidRPr="0006063C" w:rsidSect="00034616">
      <w:type w:val="nextPage"/>
      <w:footerReference w:type="default" r:id="rId9"/>
      <w:pgSz w:w="12240" w:h="15840" w:orient="portrait"/>
      <w:pgMar w:top="1037" w:right="1181" w:bottom="1037"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Phaeno POMS operations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
    <w:nsid w:val="A09F1050"/>
    <w:multiLevelType w:val="singleLevel"/>
    <w:lvl w:ilvl="0">
      <w:start w:val="1"/>
      <w:numFmt w:val="decimal"/>
      <w:lvlText w:val="%1."/>
      <w:lvlJc w:val="left"/>
      <w:pPr>
        <w:ind w:left="360" w:hanging="240"/>
      </w:pPr>
    </w:lvl>
  </w:abstractNum>
  <w:abstractNum w:abstractNumId="51">
    <w:nsid w:val="A09F1051"/>
    <w:multiLevelType w:val="singleLevel"/>
    <w:lvl w:ilvl="0">
      <w:start w:val="1"/>
      <w:numFmt w:val="bullet"/>
      <w:lvlText w:val="•"/>
      <w:lvlJc w:val="left"/>
      <w:pPr>
        <w:ind w:left="360" w:hanging="24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9">
    <w:abstractNumId w:val="51"/>
  </w:num>
  <w:num w:numId="60">
    <w:abstractNumId w:val="50"/>
    <w:lvlOverride w:ilvl="0">
      <w:startOverride w:val="1"/>
    </w:lvlOverride>
  </w:num>
  <w:num w:numId="61">
    <w:abstractNumId w:val="50"/>
    <w:lvlOverride w:ilvl="0">
      <w:startOverride w:val="1"/>
    </w:lvlOverride>
  </w:num>
  <w:num w:numId="62">
    <w:abstractNumId w:val="50"/>
    <w:lvlOverride w:ilvl="0">
      <w:startOverride w:val="1"/>
    </w:lvlOverride>
  </w:num>
  <w:num w:numId="63">
    <w:abstractNumId w:val="50"/>
    <w:lvlOverride w:ilvl="0">
      <w:startOverride w:val="1"/>
    </w:lvlOverride>
  </w:num>
  <w:num w:numId="64">
    <w:abstractNumId w:val="50"/>
    <w:lvlOverride w:ilvl="0">
      <w:startOverride w:val="1"/>
    </w:lvlOverride>
  </w:num>
  <w:num w:numId="65">
    <w:abstractNumId w:val="50"/>
    <w:lvlOverride w:ilvl="0">
      <w:startOverride w:val="1"/>
    </w:lvlOverride>
  </w:num>
  <w:num w:numId="66">
    <w:abstractNumId w:val="50"/>
    <w:lvlOverride w:ilvl="0">
      <w:startOverride w:val="1"/>
    </w:lvlOverride>
  </w:num>
  <w:num w:numId="67">
    <w:abstractNumId w:val="50"/>
    <w:lvlOverride w:ilvl="0">
      <w:startOverride w:val="1"/>
    </w:lvlOverride>
  </w:num>
  <w:num w:numId="68">
    <w:abstractNumId w:val="50"/>
    <w:lvlOverride w:ilvl="0">
      <w:startOverride w:val="1"/>
    </w:lvlOverride>
  </w:num>
  <w:num w:numId="69">
    <w:abstractNumId w:val="50"/>
    <w:lvlOverride w:ilvl="0">
      <w:startOverride w:val="1"/>
    </w:lvlOverride>
  </w:num>
  <w:num w:numId="70">
    <w:abstractNumId w:val="50"/>
    <w:lvlOverride w:ilvl="0">
      <w:startOverride w:val="1"/>
    </w:lvlOverride>
  </w:num>
  <w:num w:numId="71">
    <w:abstractNumId w:val="50"/>
    <w:lvlOverride w:ilvl="0">
      <w:startOverride w:val="1"/>
    </w:lvlOverride>
  </w:num>
  <w:num w:numId="72">
    <w:abstractNumId w:val="50"/>
    <w:lvlOverride w:ilvl="0">
      <w:startOverride w:val="1"/>
    </w:lvlOverride>
  </w:num>
  <w:num w:numId="73">
    <w:abstractNumId w:val="50"/>
    <w:lvlOverride w:ilvl="0">
      <w:startOverride w:val="1"/>
    </w:lvlOverride>
  </w:num>
  <w:num w:numId="74">
    <w:abstractNumId w:val="50"/>
    <w:lvlOverride w:ilvl="0">
      <w:startOverride w:val="1"/>
    </w:lvlOverride>
  </w:num>
  <w:num w:numId="75">
    <w:abstractNumId w:val="50"/>
    <w:lvlOverride w:ilvl="0">
      <w:startOverride w:val="1"/>
    </w:lvlOverride>
  </w:num>
  <w:num w:numId="76">
    <w:abstractNumId w:val="50"/>
    <w:lvlOverride w:ilvl="0">
      <w:startOverride w:val="1"/>
    </w:lvlOverride>
  </w:num>
  <w:num w:numId="77">
    <w:abstractNumId w:val="50"/>
    <w:lvlOverride w:ilvl="0">
      <w:startOverride w:val="1"/>
    </w:lvlOverride>
  </w:num>
  <w:num w:numId="78">
    <w:abstractNumId w:val="50"/>
    <w:lvlOverride w:ilvl="0">
      <w:startOverride w:val="1"/>
    </w:lvlOverride>
  </w:num>
  <w:num w:numId="79">
    <w:abstractNumId w:val="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eastAsia="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60"/>
      <w:outlineLvl w:val="0"/>
    </w:pPr>
    <w:rPr>
      <w:rFonts w:asciiTheme="majorHAnsi" w:eastAsiaTheme="majorEastAsia" w:hAnsiTheme="majorHAnsi" w:cstheme="majorBidi" w:ascii="Calibri" w:hAnsi="Calibri" w:eastAsia="Calibri"/>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240" w:lineRule="auto" w:before="0"/>
    </w:pPr>
    <w:rPr>
      <w:rFonts w:asciiTheme="majorHAnsi" w:eastAsiaTheme="majorEastAsia" w:hAnsiTheme="majorHAnsi" w:cstheme="majorBidi" w:ascii="Calibri" w:hAnsi="Calibri" w:eastAsia="Calibri"/>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eastAsia="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2" w:lineRule="auto"/>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before="100" w:after="220"/>
    </w:pPr>
    <w:rPr>
      <w:rFonts w:ascii="Calibri" w:hAnsi="Calibri" w:eastAsia="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Phaeno POMS order and Trial operations</dc:title>
  <dc:subject>Company setup paid Jobs Trials laboratory delivery and Finance</dc:subject>
  <dc:creator>Phaeno</dc:creator>
  <cp:keywords>POMS, Company, Trial, order, shipping, laboratory, Finance</cp:keywords>
  <dc:description/>
  <cp:lastModifiedBy/>
  <cp:revision>1</cp:revision>
  <dcterms:created xsi:type="dcterms:W3CDTF">2013-12-23T23:15:00Z</dcterms:created>
  <dcterms:modified xsi:type="dcterms:W3CDTF">2013-12-23T23:15:00Z</dcterms:modified>
  <cp:category/>
</cp:coreProperties>
</file>