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A9855A2" w14:textId="158CEAD9" w:rsidR="003F3E89" w:rsidRPr="00486FD3" w:rsidRDefault="003F3E89" w:rsidP="00486FD3">
      <w:pPr>
        <w:jc w:val="center"/>
        <w:rPr>
          <w:b/>
          <w:bCs/>
          <w:color w:val="2E74B5" w:themeColor="accent5" w:themeShade="BF"/>
          <w:sz w:val="28"/>
          <w:szCs w:val="28"/>
        </w:rPr>
      </w:pPr>
      <w:r>
        <w:rPr>
          <w:b/>
          <w:bCs/>
          <w:color w:val="2E74B5" w:themeColor="accent5" w:themeShade="BF"/>
          <w:sz w:val="28"/>
          <w:szCs w:val="28"/>
        </w:rPr>
        <w:t>Understanding the data</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lastRenderedPageBreak/>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112E0" w14:textId="77777777" w:rsidR="00AB7180" w:rsidRDefault="00AB7180" w:rsidP="00120575">
      <w:pPr>
        <w:spacing w:after="0" w:line="240" w:lineRule="auto"/>
      </w:pPr>
      <w:r>
        <w:separator/>
      </w:r>
    </w:p>
  </w:endnote>
  <w:endnote w:type="continuationSeparator" w:id="0">
    <w:p w14:paraId="07C5AE24" w14:textId="77777777" w:rsidR="00AB7180" w:rsidRDefault="00AB7180"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A895" w14:textId="77777777" w:rsidR="00FE3A2C" w:rsidRDefault="00FE3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1AD29EFD" w:rsidR="00120575" w:rsidRPr="00FE3A2C" w:rsidRDefault="00FE3A2C" w:rsidP="00FE3A2C">
    <w:pPr>
      <w:pStyle w:val="Footer"/>
      <w:rPr>
        <w:b/>
        <w:bCs/>
        <w:u w:val="single"/>
        <w:lang w:val="en-US"/>
      </w:rPr>
    </w:pPr>
    <w:r>
      <w:rPr>
        <w:lang w:val="en-US"/>
      </w:rPr>
      <w:t xml:space="preserve">                                                                                                                                         </w:t>
    </w:r>
    <w:r w:rsidRPr="00FE3A2C">
      <w:rPr>
        <w:b/>
        <w:bCs/>
        <w:u w:val="single"/>
        <w:lang w:val="en-US"/>
      </w:rPr>
      <w:t>Behara Pavan Kumar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A294C" w14:textId="77777777" w:rsidR="00FE3A2C" w:rsidRDefault="00FE3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5024C" w14:textId="77777777" w:rsidR="00AB7180" w:rsidRDefault="00AB7180" w:rsidP="00120575">
      <w:pPr>
        <w:spacing w:after="0" w:line="240" w:lineRule="auto"/>
      </w:pPr>
      <w:r>
        <w:separator/>
      </w:r>
    </w:p>
  </w:footnote>
  <w:footnote w:type="continuationSeparator" w:id="0">
    <w:p w14:paraId="668FFF48" w14:textId="77777777" w:rsidR="00AB7180" w:rsidRDefault="00AB7180"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E02B7" w14:textId="77777777" w:rsidR="00FE3A2C" w:rsidRDefault="00FE3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104D9" w14:textId="712FC045" w:rsidR="00FE3A2C" w:rsidRPr="00FE3A2C" w:rsidRDefault="00FE3A2C" w:rsidP="00FE3A2C">
    <w:pPr>
      <w:pStyle w:val="Header"/>
      <w:rPr>
        <w:b/>
        <w:bCs/>
        <w:color w:val="1F3864" w:themeColor="accent1" w:themeShade="80"/>
        <w:sz w:val="28"/>
        <w:szCs w:val="2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426FC" w14:textId="77777777" w:rsidR="00FE3A2C" w:rsidRDefault="00FE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64624"/>
    <w:rsid w:val="00280790"/>
    <w:rsid w:val="00293E6B"/>
    <w:rsid w:val="003053B2"/>
    <w:rsid w:val="003F3E89"/>
    <w:rsid w:val="00486FD3"/>
    <w:rsid w:val="00816910"/>
    <w:rsid w:val="00A93F2E"/>
    <w:rsid w:val="00AB7180"/>
    <w:rsid w:val="00B90E3A"/>
    <w:rsid w:val="00C17B92"/>
    <w:rsid w:val="00CD3295"/>
    <w:rsid w:val="00CE4E3B"/>
    <w:rsid w:val="00DF42EF"/>
    <w:rsid w:val="00FE3A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beharasonia14@outlook.com</cp:lastModifiedBy>
  <cp:revision>8</cp:revision>
  <dcterms:created xsi:type="dcterms:W3CDTF">2024-11-24T05:46:00Z</dcterms:created>
  <dcterms:modified xsi:type="dcterms:W3CDTF">2025-04-05T07:06:00Z</dcterms:modified>
</cp:coreProperties>
</file>