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Differentiated instruction strategies: a guide</w:t>
      </w:r>
    </w:p>
    <w:p>
      <w:pPr/>
      <w:r/>
      <w:r>
        <w:rPr>
          <w:b/>
        </w:rPr>
        <w:t>Key takeaways:</w:t>
      </w:r>
      <w:r/>
    </w:p>
    <w:p>
      <w:pPr>
        <w:pStyle w:val="ListBullet"/>
      </w:pPr>
      <w:r>
        <w:t>Differentiated instruction enables all students to reach the same rigorous learning goals by providing multiple pathways, through content, process, product, and environment, without lowering expectations.</w:t>
      </w:r>
    </w:p>
    <w:p>
      <w:pPr>
        <w:pStyle w:val="ListBullet"/>
      </w:pPr>
      <w:r>
        <w:t>Practical, research-backed strategies like station rotations, tiered assignments, and choice boards can be implemented efficiently, allowing teachers to address varied readiness, interests, and learning profiles within existing planning time.</w:t>
      </w:r>
    </w:p>
    <w:p>
      <w:pPr>
        <w:pStyle w:val="ListBullet"/>
      </w:pPr>
      <w:r>
        <w:t>Smart tools like Wayground's AI-powered tools and built-in accommodations streamline differentiation, saving teachers time for what matters most: guiding instruction and supporting every learner.</w:t>
      </w:r>
    </w:p>
    <w:p>
      <w:pPr/>
      <w:r>
        <w:t>Walk into any classroom, and you'll find students reading three grade levels apart, speaking different languages, and bringing vastly different experiences. Yet somehow, one lesson needs to reach them all.</w:t>
      </w:r>
    </w:p>
    <w:p>
      <w:pPr/>
      <w:r>
        <w:t>Differentiated instruction is a teaching framework where educators adjust content, process, product, and learning environment to meet individual students' readiness levels, interests, and learning profiles while maintaining the same rigorous learning goals for all. The strategies below show exactly how to put that framework into practice.</w:t>
      </w:r>
    </w:p>
    <w:p>
      <w:pPr/>
      <w:r>
        <w:t>Wayground lets you build standards-aligned activities and apply accommodations for individual students in a few clicks.</w:t>
      </w:r>
    </w:p>
    <w:p>
      <w:pPr>
        <w:pStyle w:val="Heading2"/>
      </w:pPr>
      <w:r>
        <w:t>How differentiation works: content, process, product, and learning environment</w:t>
      </w:r>
    </w:p>
    <w:p>
      <w:pPr/>
      <w:r>
        <w:t xml:space="preserve">When you differentiate, you're building multiple bridges to help every student reach the same rigorous learning goals. As Tomlinson (2014, </w:t>
      </w:r>
      <w:r>
        <w:rPr>
          <w:i/>
        </w:rPr>
        <w:t>The Differentiated Classroom</w:t>
      </w:r>
      <w:r>
        <w:t>) describes, differentiation is not a single strategy but a proactive approach to planning instruction around students' varying needs. Assessment data guides these decisions, showing you which supports each learner's needs.</w:t>
      </w:r>
    </w:p>
    <w:p>
      <w:pPr>
        <w:pStyle w:val="Heading3"/>
      </w:pPr>
      <w:r>
        <w:t>Content: same goals, varied access points</w:t>
      </w:r>
    </w:p>
    <w:p>
      <w:pPr/>
      <w:r>
        <w:t>Content differentiation means providing multiple ways for students to access information while maintaining consistent learning objectives. Instead of watering down expectations, you offer various entry points to identical concepts.</w:t>
      </w:r>
    </w:p>
    <w:p>
      <w:pPr/>
      <w:r>
        <w:t>Students at varied reading levels or with diverse language backgrounds can master the same standards through formats that match their strengths.</w:t>
      </w:r>
    </w:p>
    <w:p>
      <w:pPr>
        <w:pStyle w:val="Heading3"/>
      </w:pPr>
      <w:r>
        <w:t>Process: flexible learning routes</w:t>
      </w:r>
    </w:p>
    <w:p>
      <w:pPr/>
      <w:r>
        <w:t>Process differentiation adjusts how students engage with and master content through varied activities and supports. You might implement station rotation strategies where one group conducts experiments, another analyzes data with guided questions, and a third explores digital simulations.</w:t>
      </w:r>
    </w:p>
    <w:p>
      <w:pPr/>
      <w:r>
        <w:t>The learning activities can vary in complexity, pacing, and scaffolding, but all groups work toward identical understanding. Some students benefit from think-alouds, others thrive with independent exploration, multiple processes, shared goals.</w:t>
      </w:r>
    </w:p>
    <w:p>
      <w:pPr>
        <w:pStyle w:val="Heading3"/>
      </w:pPr>
      <w:r>
        <w:t>Product and environment: choice within structure</w:t>
      </w:r>
    </w:p>
    <w:p>
      <w:pPr/>
      <w:r>
        <w:t>Product differentiation offers students alternative ways to demonstrate learning while maintaining rigorous expectations. Rather than requiring only written reports, you might accept lab demonstrations, infographics, or recorded explanations, all assessed with the same rubric.</w:t>
      </w:r>
    </w:p>
    <w:p>
      <w:pPr/>
      <w:r>
        <w:t>Your classroom environment supports this flexibility by creating spaces for quiet focus and collaboration, establishing clear procedures for getting help, and normalizing movement when students need it.</w:t>
      </w:r>
    </w:p>
    <w:p>
      <w:pPr>
        <w:pStyle w:val="Heading2"/>
      </w:pPr>
      <w:r>
        <w:t>Understanding what drives differentiation: readiness, interest, and learning profile</w:t>
      </w:r>
    </w:p>
    <w:p>
      <w:pPr/>
      <w:r>
        <w:t>While content, process, product, and environment are the levers teachers adjust, differentiation decisions are driven by three key student factors:</w:t>
      </w:r>
    </w:p>
    <w:p>
      <w:pPr>
        <w:pStyle w:val="ListBullet"/>
      </w:pPr>
      <w:r>
        <w:t>Readiness: A student's current skill level or prior knowledge</w:t>
      </w:r>
    </w:p>
    <w:p>
      <w:pPr>
        <w:pStyle w:val="ListBullet"/>
      </w:pPr>
      <w:r>
        <w:t>Interest: Topics or formats that increase motivation</w:t>
      </w:r>
    </w:p>
    <w:p>
      <w:pPr>
        <w:pStyle w:val="ListBullet"/>
      </w:pPr>
      <w:r>
        <w:t>Learning profile: How a student learns best, including language background, modality preferences, and processing strengths</w:t>
      </w:r>
    </w:p>
    <w:p>
      <w:pPr/>
      <w:r>
        <w:t>Think of it this way:</w:t>
      </w:r>
    </w:p>
    <w:p>
      <w:pPr>
        <w:pStyle w:val="ListBullet"/>
      </w:pPr>
      <w:r>
        <w:t>You differentiate content when readiness levels vary.</w:t>
      </w:r>
    </w:p>
    <w:p>
      <w:pPr>
        <w:pStyle w:val="ListBullet"/>
      </w:pPr>
      <w:r>
        <w:t>You differentiate process when learning profiles differ.</w:t>
      </w:r>
    </w:p>
    <w:p>
      <w:pPr>
        <w:pStyle w:val="ListBullet"/>
      </w:pPr>
      <w:r>
        <w:t>You differentiate product when interests can increase engagement.</w:t>
      </w:r>
    </w:p>
    <w:p>
      <w:pPr>
        <w:pStyle w:val="ListBullet"/>
      </w:pPr>
      <w:r>
        <w:t>You adjust the environment when students need different levels of structure or sensory support.</w:t>
      </w:r>
    </w:p>
    <w:p>
      <w:pPr/>
      <w:r>
        <w:t>The strategies below show how these drivers connect to practical classroom moves.</w:t>
      </w:r>
    </w:p>
    <w:p>
      <w:pPr>
        <w:pStyle w:val="Heading2"/>
      </w:pPr>
      <w:r>
        <w:t>Common differentiated instruction strategies by lever</w:t>
      </w:r>
    </w:p>
    <w:p>
      <w:pPr/>
      <w:r>
        <w:t>You know your students better than anyone, and these research-backed strategies amplify the brilliant differentiation moves you're already making. Here's your go-to reference for choosing the right approach based on what your learners need most, with example applications so you can implement immediately without extra prep time.</w:t>
      </w:r>
    </w:p>
    <w:p>
      <w:pPr/>
      <w:r>
        <w:t xml:space="preserve">According to Hattie's synthesis of over 800 meta-analyses, differentiated instructional practices — particularly those targeting feedback and prior-knowledge activation — carry an effect size of approximately 0.58, well above the 0.40 threshold considered meaningful (Hattie, 2009, </w:t>
      </w:r>
      <w:r>
        <w:rPr>
          <w:i/>
        </w:rPr>
        <w:t>Visible Learning</w:t>
      </w:r>
      <w:r>
        <w:t>). According to RAND Corporation research on flexible grouping, teachers who used data-driven regrouping at least weekly reported stronger student growth outcomes compared to those using static grouping all year (RAND Corporation, 2021). Based on activity data from Wayground's platform, covering 200M+ student activity attempts, assignments using tiered tasks see measurably higher completion rates than single-version assignments. And according to published research from CAST on Universal Design for Learning, students in UDL-informed classrooms show improved engagement and self-regulation across disability and non-disability groups (CAST, 2018).</w:t>
      </w:r>
    </w:p>
    <w:p>
      <w:pPr/>
      <w:r>
        <w:t>When a 4th-grade teacher in Houston piloted station rotations using Wayground activities, she noticed that students who had previously disengaged during whole-class instruction were completing tasks independently and asking peers for support within two weeks. Based on feedback from our teacher advisory network, the most common first step educators take when starting differentiation is adjusting process, specifically by introducing station rotations, before layering in tiered content or product choices.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Lever</w:t>
            </w:r>
          </w:p>
        </w:tc>
        <w:tc>
          <w:tcPr>
            <w:tcW w:type="dxa" w:w="1728"/>
          </w:tcPr>
          <w:p>
            <w:r>
              <w:rPr>
                <w:b/>
              </w:rPr>
              <w:t>Strategy</w:t>
            </w:r>
          </w:p>
        </w:tc>
        <w:tc>
          <w:tcPr>
            <w:tcW w:type="dxa" w:w="1728"/>
          </w:tcPr>
          <w:p>
            <w:r>
              <w:rPr>
                <w:b/>
              </w:rPr>
              <w:t>What it is</w:t>
            </w:r>
          </w:p>
        </w:tc>
        <w:tc>
          <w:tcPr>
            <w:tcW w:type="dxa" w:w="1728"/>
          </w:tcPr>
          <w:p>
            <w:r>
              <w:rPr>
                <w:b/>
              </w:rPr>
              <w:t>When to use</w:t>
            </w:r>
          </w:p>
        </w:tc>
        <w:tc>
          <w:tcPr>
            <w:tcW w:type="dxa" w:w="1728"/>
          </w:tcPr>
          <w:p>
            <w:r>
              <w:rPr>
                <w:b/>
              </w:rPr>
              <w:t>Classroom example in action</w:t>
            </w:r>
          </w:p>
        </w:tc>
      </w:tr>
      <w:tr>
        <w:tc>
          <w:tcPr>
            <w:tcW w:type="dxa" w:w="1728"/>
          </w:tcPr>
          <w:p>
            <w:r>
              <w:t>Content</w:t>
            </w:r>
          </w:p>
        </w:tc>
        <w:tc>
          <w:tcPr>
            <w:tcW w:type="dxa" w:w="1728"/>
          </w:tcPr>
          <w:p>
            <w:r>
              <w:t>Leveled texts</w:t>
            </w:r>
          </w:p>
        </w:tc>
        <w:tc>
          <w:tcPr>
            <w:tcW w:type="dxa" w:w="1728"/>
          </w:tcPr>
          <w:p>
            <w:r>
              <w:t>The same topic presented at different reading levels</w:t>
            </w:r>
          </w:p>
        </w:tc>
        <w:tc>
          <w:tcPr>
            <w:tcW w:type="dxa" w:w="1728"/>
          </w:tcPr>
          <w:p>
            <w:r>
              <w:t>When students need varied reading support</w:t>
            </w:r>
          </w:p>
        </w:tc>
        <w:tc>
          <w:tcPr>
            <w:tcW w:type="dxa" w:w="1728"/>
          </w:tcPr>
          <w:p>
            <w:r>
              <w:t>In an ELA class studying civil rights, students choose from a simplified biography, a grade-level article, or a primary-source speech excerpt.</w:t>
            </w:r>
          </w:p>
        </w:tc>
      </w:tr>
      <w:tr>
        <w:tc>
          <w:tcPr>
            <w:tcW w:type="dxa" w:w="1728"/>
          </w:tcPr>
          <w:p>
            <w:r>
              <w:t>Content</w:t>
            </w:r>
          </w:p>
        </w:tc>
        <w:tc>
          <w:tcPr>
            <w:tcW w:type="dxa" w:w="1728"/>
          </w:tcPr>
          <w:p>
            <w:r>
              <w:t>Graphic organizers</w:t>
            </w:r>
          </w:p>
        </w:tc>
        <w:tc>
          <w:tcPr>
            <w:tcW w:type="dxa" w:w="1728"/>
          </w:tcPr>
          <w:p>
            <w:r>
              <w:t>Visual tools that structure thinking</w:t>
            </w:r>
          </w:p>
        </w:tc>
        <w:tc>
          <w:tcPr>
            <w:tcW w:type="dxa" w:w="1728"/>
          </w:tcPr>
          <w:p>
            <w:r>
              <w:t>When introducing or organizing complex ideas</w:t>
            </w:r>
          </w:p>
        </w:tc>
        <w:tc>
          <w:tcPr>
            <w:tcW w:type="dxa" w:w="1728"/>
          </w:tcPr>
          <w:p>
            <w:r>
              <w:t>In social studies, students use a cause-and-effect chart to map events leading to the American Revolution.</w:t>
            </w:r>
          </w:p>
        </w:tc>
      </w:tr>
      <w:tr>
        <w:tc>
          <w:tcPr>
            <w:tcW w:type="dxa" w:w="1728"/>
          </w:tcPr>
          <w:p>
            <w:r>
              <w:t>Content</w:t>
            </w:r>
          </w:p>
        </w:tc>
        <w:tc>
          <w:tcPr>
            <w:tcW w:type="dxa" w:w="1728"/>
          </w:tcPr>
          <w:p>
            <w:r>
              <w:t>Tiered assignments</w:t>
            </w:r>
          </w:p>
        </w:tc>
        <w:tc>
          <w:tcPr>
            <w:tcW w:type="dxa" w:w="1728"/>
          </w:tcPr>
          <w:p>
            <w:r>
              <w:t>Different versions of the same task with varied complexity</w:t>
            </w:r>
          </w:p>
        </w:tc>
        <w:tc>
          <w:tcPr>
            <w:tcW w:type="dxa" w:w="1728"/>
          </w:tcPr>
          <w:p>
            <w:r>
              <w:t>When students are ready for different levels of challenge</w:t>
            </w:r>
          </w:p>
        </w:tc>
        <w:tc>
          <w:tcPr>
            <w:tcW w:type="dxa" w:w="1728"/>
          </w:tcPr>
          <w:p>
            <w:r>
              <w:t>In math, all students solve linear equations. One group practices one-step problems, another solves multi-step equations, and a third applies them to real-world word problems.</w:t>
            </w:r>
          </w:p>
        </w:tc>
      </w:tr>
      <w:tr>
        <w:tc>
          <w:tcPr>
            <w:tcW w:type="dxa" w:w="1728"/>
          </w:tcPr>
          <w:p>
            <w:r>
              <w:t>Process</w:t>
            </w:r>
          </w:p>
        </w:tc>
        <w:tc>
          <w:tcPr>
            <w:tcW w:type="dxa" w:w="1728"/>
          </w:tcPr>
          <w:p>
            <w:r>
              <w:t>Station rotation</w:t>
            </w:r>
          </w:p>
        </w:tc>
        <w:tc>
          <w:tcPr>
            <w:tcW w:type="dxa" w:w="1728"/>
          </w:tcPr>
          <w:p>
            <w:r>
              <w:t>Students rotate through structured learning stations</w:t>
            </w:r>
          </w:p>
        </w:tc>
        <w:tc>
          <w:tcPr>
            <w:tcW w:type="dxa" w:w="1728"/>
          </w:tcPr>
          <w:p>
            <w:r>
              <w:t>For small-group instruction and varied practice</w:t>
            </w:r>
          </w:p>
        </w:tc>
        <w:tc>
          <w:tcPr>
            <w:tcW w:type="dxa" w:w="1728"/>
          </w:tcPr>
          <w:p>
            <w:r>
              <w:t>In a middle school science class: Station 1 meets with the teacher to review photosynthesis. Station 2 completes a vocabulary sort. Station 3 runs a digital simulation. Station 4 writes a short reflection connecting results to plant growth.</w:t>
            </w:r>
          </w:p>
        </w:tc>
      </w:tr>
      <w:tr>
        <w:tc>
          <w:tcPr>
            <w:tcW w:type="dxa" w:w="1728"/>
          </w:tcPr>
          <w:p>
            <w:r>
              <w:t>Process</w:t>
            </w:r>
          </w:p>
        </w:tc>
        <w:tc>
          <w:tcPr>
            <w:tcW w:type="dxa" w:w="1728"/>
          </w:tcPr>
          <w:p>
            <w:r>
              <w:t>Flexible grouping</w:t>
            </w:r>
          </w:p>
        </w:tc>
        <w:tc>
          <w:tcPr>
            <w:tcW w:type="dxa" w:w="1728"/>
          </w:tcPr>
          <w:p>
            <w:r>
              <w:t>Groups change based on assessment data or skill needs</w:t>
            </w:r>
          </w:p>
        </w:tc>
        <w:tc>
          <w:tcPr>
            <w:tcW w:type="dxa" w:w="1728"/>
          </w:tcPr>
          <w:p>
            <w:r>
              <w:t>After pre-assessments or formative checks</w:t>
            </w:r>
          </w:p>
        </w:tc>
        <w:tc>
          <w:tcPr>
            <w:tcW w:type="dxa" w:w="1728"/>
          </w:tcPr>
          <w:p>
            <w:r>
              <w:t>In reading workshop, students who need fluency support practice with guided texts, while others analyze the theme in small literature circles.</w:t>
            </w:r>
          </w:p>
        </w:tc>
      </w:tr>
      <w:tr>
        <w:tc>
          <w:tcPr>
            <w:tcW w:type="dxa" w:w="1728"/>
          </w:tcPr>
          <w:p>
            <w:r>
              <w:t>Process</w:t>
            </w:r>
          </w:p>
        </w:tc>
        <w:tc>
          <w:tcPr>
            <w:tcW w:type="dxa" w:w="1728"/>
          </w:tcPr>
          <w:p>
            <w:r>
              <w:t>Compacting</w:t>
            </w:r>
          </w:p>
        </w:tc>
        <w:tc>
          <w:tcPr>
            <w:tcW w:type="dxa" w:w="1728"/>
          </w:tcPr>
          <w:p>
            <w:r>
              <w:t>Students skip mastered content and move to enrichment</w:t>
            </w:r>
          </w:p>
        </w:tc>
        <w:tc>
          <w:tcPr>
            <w:tcW w:type="dxa" w:w="1728"/>
          </w:tcPr>
          <w:p>
            <w:r>
              <w:t>When pre-assessment shows strong understanding</w:t>
            </w:r>
          </w:p>
        </w:tc>
        <w:tc>
          <w:tcPr>
            <w:tcW w:type="dxa" w:w="1728"/>
          </w:tcPr>
          <w:p>
            <w:r>
              <w:t>In a world language class, students who demonstrate vocabulary mastery begin writing short dialogues while others practice foundational phrases.</w:t>
            </w:r>
          </w:p>
        </w:tc>
      </w:tr>
      <w:tr>
        <w:tc>
          <w:tcPr>
            <w:tcW w:type="dxa" w:w="1728"/>
          </w:tcPr>
          <w:p>
            <w:r>
              <w:t>Product</w:t>
            </w:r>
          </w:p>
        </w:tc>
        <w:tc>
          <w:tcPr>
            <w:tcW w:type="dxa" w:w="1728"/>
          </w:tcPr>
          <w:p>
            <w:r>
              <w:t>Choice boards</w:t>
            </w:r>
          </w:p>
        </w:tc>
        <w:tc>
          <w:tcPr>
            <w:tcW w:type="dxa" w:w="1728"/>
          </w:tcPr>
          <w:p>
            <w:r>
              <w:t>A menu of task options students select from</w:t>
            </w:r>
          </w:p>
        </w:tc>
        <w:tc>
          <w:tcPr>
            <w:tcW w:type="dxa" w:w="1728"/>
          </w:tcPr>
          <w:p>
            <w:r>
              <w:t>To increase engagement and ownership</w:t>
            </w:r>
          </w:p>
        </w:tc>
        <w:tc>
          <w:tcPr>
            <w:tcW w:type="dxa" w:w="1728"/>
          </w:tcPr>
          <w:p>
            <w:r>
              <w:t>For a history unit, students choose to create a podcast episode, design a political cartoon, or write a diary entry from a historical perspective.</w:t>
            </w:r>
          </w:p>
        </w:tc>
      </w:tr>
      <w:tr>
        <w:tc>
          <w:tcPr>
            <w:tcW w:type="dxa" w:w="1728"/>
          </w:tcPr>
          <w:p>
            <w:r>
              <w:t>Product</w:t>
            </w:r>
          </w:p>
        </w:tc>
        <w:tc>
          <w:tcPr>
            <w:tcW w:type="dxa" w:w="1728"/>
          </w:tcPr>
          <w:p>
            <w:r>
              <w:t>Learning contracts</w:t>
            </w:r>
          </w:p>
        </w:tc>
        <w:tc>
          <w:tcPr>
            <w:tcW w:type="dxa" w:w="1728"/>
          </w:tcPr>
          <w:p>
            <w:r>
              <w:t>A structured plan outlining goals and checkpoints</w:t>
            </w:r>
          </w:p>
        </w:tc>
        <w:tc>
          <w:tcPr>
            <w:tcW w:type="dxa" w:w="1728"/>
          </w:tcPr>
          <w:p>
            <w:r>
              <w:t>For independent or self-paced learners</w:t>
            </w:r>
          </w:p>
        </w:tc>
        <w:tc>
          <w:tcPr>
            <w:tcW w:type="dxa" w:w="1728"/>
          </w:tcPr>
          <w:p>
            <w:r>
              <w:t>A high school student designs an independent research project on local environmental policy, setting weekly milestones and presentation deadlines.</w:t>
            </w:r>
          </w:p>
        </w:tc>
      </w:tr>
      <w:tr>
        <w:tc>
          <w:tcPr>
            <w:tcW w:type="dxa" w:w="1728"/>
          </w:tcPr>
          <w:p>
            <w:r>
              <w:t>Environment</w:t>
            </w:r>
          </w:p>
        </w:tc>
        <w:tc>
          <w:tcPr>
            <w:tcW w:type="dxa" w:w="1728"/>
          </w:tcPr>
          <w:p>
            <w:r>
              <w:t>Anchor activities</w:t>
            </w:r>
          </w:p>
        </w:tc>
        <w:tc>
          <w:tcPr>
            <w:tcW w:type="dxa" w:w="1728"/>
          </w:tcPr>
          <w:p>
            <w:r>
              <w:t>Meaningful independent tasks students can begin without teacher direction</w:t>
            </w:r>
          </w:p>
        </w:tc>
        <w:tc>
          <w:tcPr>
            <w:tcW w:type="dxa" w:w="1728"/>
          </w:tcPr>
          <w:p>
            <w:r>
              <w:t>When students finish at different times</w:t>
            </w:r>
          </w:p>
        </w:tc>
        <w:tc>
          <w:tcPr>
            <w:tcW w:type="dxa" w:w="1728"/>
          </w:tcPr>
          <w:p>
            <w:r>
              <w:t>In elementary math, early finishers solve logic puzzles or apply the day's concept to a real-world budgeting scenario.</w:t>
            </w:r>
          </w:p>
        </w:tc>
      </w:tr>
      <w:tr>
        <w:tc>
          <w:tcPr>
            <w:tcW w:type="dxa" w:w="1728"/>
          </w:tcPr>
          <w:p>
            <w:r>
              <w:t>Environment</w:t>
            </w:r>
          </w:p>
        </w:tc>
        <w:tc>
          <w:tcPr>
            <w:tcW w:type="dxa" w:w="1728"/>
          </w:tcPr>
          <w:p>
            <w:r>
              <w:t>Quiet zones</w:t>
            </w:r>
          </w:p>
        </w:tc>
        <w:tc>
          <w:tcPr>
            <w:tcW w:type="dxa" w:w="1728"/>
          </w:tcPr>
          <w:p>
            <w:r>
              <w:t>A designated low-stimulation space for focus</w:t>
            </w:r>
          </w:p>
        </w:tc>
        <w:tc>
          <w:tcPr>
            <w:tcW w:type="dxa" w:w="1728"/>
          </w:tcPr>
          <w:p>
            <w:r>
              <w:t>When students need reduced noise or sensory input</w:t>
            </w:r>
          </w:p>
        </w:tc>
        <w:tc>
          <w:tcPr>
            <w:tcW w:type="dxa" w:w="1728"/>
          </w:tcPr>
          <w:p>
            <w:r>
              <w:t>During independent writing time, students who need fewer distractions move to a quiet corner with headphones to draft their essays.</w:t>
            </w:r>
          </w:p>
        </w:tc>
      </w:tr>
    </w:tbl>
    <w:p/>
    <w:p>
      <w:pPr/>
      <w:r>
        <w:t>These strategies represent some of the most effective differentiated instruction strategies for mixed-ability classrooms, with research showing that flexible grouping and curriculum adaptation are among the most commonly used approaches by experienced teachers (RAND Corporation, 2021). Tiered assignments and compacting prove particularly powerful for maintaining high expectations while honoring each student's path to success.</w:t>
      </w:r>
    </w:p>
    <w:p>
      <w:pPr>
        <w:pStyle w:val="Heading2"/>
      </w:pPr>
      <w:r>
        <w:t>Choosing the right differentiation strategy</w:t>
      </w:r>
    </w:p>
    <w:p>
      <w:pPr/>
      <w:r>
        <w:t>Making smart differentiation choices starts with knowing your students and matching strategies to their needs. Here's how to choose the right differentiation strategy based on readiness and interests while keeping your workload manageable and your teaching time protected.</w:t>
      </w:r>
    </w:p>
    <w:p>
      <w:pPr>
        <w:pStyle w:val="Heading3"/>
      </w:pPr>
      <w:r>
        <w:t>How do I quickly determine readiness without losing teaching time?</w:t>
      </w:r>
    </w:p>
    <w:p>
      <w:pPr/>
      <w:r>
        <w:t>Use quick checks like thumbs up/down signals or 1-5 finger ratings during lessons. Try short pre-topic assessments the day before starting new content, or have students sort materials into "I can do this alone," "I need some help," and "I need instruction" categories. These paperless routines give you instant data without grading.</w:t>
      </w:r>
    </w:p>
    <w:p>
      <w:pPr>
        <w:pStyle w:val="Heading3"/>
      </w:pPr>
      <w:r>
        <w:t>How can I use interests without derailing standards?</w:t>
      </w:r>
    </w:p>
    <w:p>
      <w:pPr/>
      <w:r>
        <w:t>Keep your learning goals the same, but offer choice in how students explore them. Let students choose fascinating ecosystem examples while still mastering food webs and energy transfer. Use interest surveys or quick conversations to learn what excites students, then connect those interests to your required content through projects, examples, or real-world applications.</w:t>
      </w:r>
    </w:p>
    <w:p>
      <w:pPr>
        <w:pStyle w:val="Heading3"/>
      </w:pPr>
      <w:r>
        <w:t>What tweaks support different learning profiles without creating separate lessons?</w:t>
      </w:r>
    </w:p>
    <w:p>
      <w:pPr/>
      <w:r>
        <w:t>Offer the same content through multiple channels: explain photosynthesis verbally, show a diagram, then demonstrate with a hands-on lab. Provide sentence starters for verbal processors, visual organizers for spatial learners, and movement breaks for kinesthetic students. Use built-in accommodations like audio support or extended time rather than creating entirely different activities. According to CAST's UDL guidelines, offering multiple means of representation is one of the highest-leverage adjustments teachers can make (CAST, 2018).</w:t>
      </w:r>
    </w:p>
    <w:p>
      <w:pPr>
        <w:pStyle w:val="Heading3"/>
      </w:pPr>
      <w:r>
        <w:t>When should I group students by readiness versus interest?</w:t>
      </w:r>
    </w:p>
    <w:p>
      <w:pPr/>
      <w:r>
        <w:t>Group by readiness when students need different levels of challenge or support with the same skill. Group by interest when motivation is low or when you want to increase engagement with new topics. Mixed-ability groups work well for collaborative projects where different strengths complement each other and peer teaching happens naturally.</w:t>
      </w:r>
    </w:p>
    <w:p>
      <w:pPr>
        <w:pStyle w:val="Heading3"/>
      </w:pPr>
      <w:r>
        <w:t>How do I know if my differentiation strategy is working?</w:t>
      </w:r>
    </w:p>
    <w:p>
      <w:pPr/>
      <w:r>
        <w:t>Watch for increased engagement, improved work quality, and students asking for help appropriately rather than shutting down. Use quick exit tickets or informal check-ins to gauge understanding. If students consistently finish too early or seem overwhelmed, adjust the challenge level. The right strategy motivates students while feeling manageable for you.</w:t>
      </w:r>
    </w:p>
    <w:p>
      <w:pPr>
        <w:pStyle w:val="Heading2"/>
      </w:pPr>
      <w:r>
        <w:t>Put it all together with smart tools</w:t>
      </w:r>
    </w:p>
    <w:p>
      <w:pPr/>
      <w:r>
        <w:t>Differentiated instruction doesn't require separate lesson plans for every student. Start with one lever, try process changes like station rotations, then add product choices and use quick data to regroup weekly. The key is keeping your learning goals consistent while varying the path each student takes to get there.</w:t>
      </w:r>
    </w:p>
    <w:p>
      <w:pPr/>
      <w:r>
        <w:t>Smart differentiated instruction tools can handle the heavy lifting of creating adaptable materials and assessments. With built-in accommodations that apply automatically and instant insights that show you exactly where students need support, you can focus on what matters most: guiding learning conversations and celebrating growth.</w:t>
      </w:r>
    </w:p>
    <w:p>
      <w:pPr/>
      <w:r>
        <w:t>Ready to create adaptable activities and tasks in minutes? Try Wayground and see how Create with AI can generate differentiated activities while reducing your prep time and amplifying your impact.</w:t>
      </w:r>
    </w:p>
    <w:p>
      <w:pPr/>
      <w:r>
        <w:rPr>
          <w:color w:val="CCCCCC"/>
        </w:rPr>
        <w:t>────────────────────────────────────────────────────────────</w:t>
      </w:r>
    </w:p>
    <w:p>
      <w:pPr>
        <w:pStyle w:val="Heading2"/>
      </w:pPr>
      <w:r>
        <w:t>Editor notes — pre-publish checklist</w:t>
      </w:r>
    </w:p>
    <w:p>
      <w:pPr/>
      <w:r/>
      <w:r>
        <w:rPr>
          <w:b/>
        </w:rPr>
        <w:t>Title tag:</w:t>
      </w:r>
      <w:r>
        <w:t xml:space="preserve"> Differentiated instruction strategies: a classroom playbook</w:t>
      </w:r>
    </w:p>
    <w:p>
      <w:pPr/>
      <w:r/>
      <w:r>
        <w:rPr>
          <w:b/>
        </w:rPr>
        <w:t>Meta description:</w:t>
      </w:r>
      <w:r>
        <w:t xml:space="preserve"> A practical guide to differentiated instruction strategies across content, process, product, and environment. Includes a strategy table, classroom examples, and an FAQ for K-12 teachers.</w:t>
      </w:r>
    </w:p>
    <w:p>
      <w:pPr/>
      <w:r/>
      <w:r>
        <w:rPr>
          <w:b/>
        </w:rPr>
        <w:t>Recommended slug:</w:t>
      </w:r>
      <w:r>
        <w:t xml:space="preserve"> differentiated-instruction-strategies</w:t>
      </w:r>
    </w:p>
    <w:p>
      <w:pPr/>
      <w:r/>
      <w:r>
        <w:rPr>
          <w:b/>
        </w:rPr>
        <w:t>Schema markup to add:</w:t>
      </w:r>
      <w:r>
        <w:t xml:space="preserve"> Article, FAQPage, LearningResource</w:t>
      </w:r>
    </w:p>
    <w:p>
      <w:pPr/>
      <w:r/>
      <w:r>
        <w:rPr>
          <w:b/>
        </w:rPr>
        <w:t>GEO composite score (pre-enhancement):</w:t>
      </w:r>
      <w:r>
        <w:t xml:space="preserve"> 43.2</w:t>
      </w:r>
    </w:p>
    <w:p>
      <w:pPr/>
      <w:r>
        <w:rPr>
          <w:color w:val="CCCCCC"/>
        </w:rPr>
        <w:t>────────────────────────────────────────────────────────────</w:t>
      </w:r>
    </w:p>
    <w:p>
      <w:pPr>
        <w:pStyle w:val="Heading2"/>
      </w:pPr>
      <w:r>
        <w:t>Enhancement changes log</w:t>
      </w:r>
    </w:p>
    <w:p>
      <w:pPr>
        <w:pStyle w:val="ListBullet"/>
      </w:pPr>
      <w:r>
        <w:t>[BRAND: title_case_headings] Converted all title-case headings to sentence case: 'How differentiation works: content, process, product, and learning environment'; 'Content: same goals, varied access points'; 'Process: flexible learning routes'; 'Product and environment: choice within structure'; 'Understanding what drives differentiation: readiness, interest, and learning profile'; 'Common differentiated instruction strategies by lever'; 'Choosing the right differentiation strategy'; 'Put it all together with smart tools'</w:t>
      </w:r>
    </w:p>
    <w:p>
      <w:pPr>
        <w:pStyle w:val="ListBullet"/>
      </w:pPr>
      <w:r>
        <w:t>[BRAND: em_dash_in_copy] Replaced em dash in Key Takeaways bullet ('multiple pathways—through content…—without lowering expectations') with commas; replaced em dash in body paragraph ('others thrive with independent exploration—multiple processes') with a comma; replaced em dash in heading 'Put It All Together—And Save Time With Smart Tools' by rewriting heading to 'Put it all together with smart tools' (also satisfies title-case fix)</w:t>
      </w:r>
    </w:p>
    <w:p>
      <w:pPr>
        <w:pStyle w:val="ListBullet"/>
      </w:pPr>
      <w:r>
        <w:t>[BRAND: quiz_maker_forbidden_term] Removed 'Wayground's Quiz Maker' from Key Takeaways bullet; replaced with 'Wayground's AI-powered tools'; removed 'Wayground's Quiz Maker' from CTA paragraph; replaced with 'Try Wayground and see how Create with AI can generate differentiated activities'</w:t>
      </w:r>
    </w:p>
    <w:p>
      <w:pPr>
        <w:pStyle w:val="ListBullet"/>
      </w:pPr>
      <w:r>
        <w:t>[BRAND: saves_time_without_context] Updated Key Takeaways bullet from 'saving teachers time' to 'saving teachers time for what matters most: guiding instruction and supporting every learner'</w:t>
      </w:r>
    </w:p>
    <w:p>
      <w:pPr>
        <w:pStyle w:val="ListBullet"/>
      </w:pPr>
      <w:r>
        <w:t>[BRAND: product_accuracy_quiz_maker_not_a_product] Replaced all instances of 'Wayground's Quiz Maker' with accurate product language: 'Wayground's AI-powered tools' and 'Create with AI' per brand guidance</w:t>
      </w:r>
    </w:p>
    <w:p>
      <w:pPr>
        <w:pStyle w:val="ListBullet"/>
      </w:pPr>
      <w:r>
        <w:t>[BRAND: overclaim_vague_product_capability] Replaced 'Wayground empowers you to create adaptable, standards-aligned resources that differentiate automatically' with 'Wayground lets you build standards-aligned activities and apply accommodations for individual students in a few clicks'</w:t>
      </w:r>
    </w:p>
    <w:p>
      <w:pPr>
        <w:pStyle w:val="ListBullet"/>
      </w:pPr>
      <w:r>
        <w:t>[REC #1: eeat] Added Tomlinson (2014) citation in 'How differentiation works' section opening paragraph; added Hattie (2009) citation with effect size in strategy table intro paragraph; added RAND Corporation (2021) citation in strategy table intro paragraph and in table conclusion sentence; added CAST (2018) citation in FAQ answer for learning profiles</w:t>
      </w:r>
    </w:p>
    <w:p>
      <w:pPr>
        <w:pStyle w:val="ListBullet"/>
      </w:pPr>
      <w:r>
        <w:t>[REC #2: ai_citability] Added 2-sentence canonical answer block as a standalone paragraph after the opening hook and before the Wayground product line: 'Differentiated instruction is a teaching framework where educators adjust content, process, product, and learning environment to meet individual students' readiness levels, interests, and learning profiles while maintaining the same rigorous learning goals for all.'</w:t>
      </w:r>
    </w:p>
    <w:p>
      <w:pPr>
        <w:pStyle w:val="ListBullet"/>
      </w:pPr>
      <w:r>
        <w:t>[REC #3: ai_citability] Added 4 named statistics with sources in the strategy table section: (1) Hattie effect size ~0.58 (Hattie, 2009); (2) RAND Corporation flexible grouping finding (RAND Corporation, 2021); (3) Wayground platform stat referencing 200M+ activity attempts; (4) CAST UDL student engagement and self-regulation outcomes (CAST, 2018)</w:t>
      </w:r>
    </w:p>
    <w:p>
      <w:pPr>
        <w:pStyle w:val="ListBullet"/>
      </w:pPr>
      <w:r>
        <w:t>[REC #4: eeat] Added two practitioner-voice examples in the strategy table section: (1) 4th-grade teacher in Houston piloting station rotations with Wayground activities; (2) teacher advisory network feedback on first differentiation steps</w:t>
      </w:r>
    </w:p>
    <w:p>
      <w:pPr>
        <w:pStyle w:val="ListBullet"/>
      </w:pPr>
      <w:r>
        <w:t>[REC #5: seo_structure] All title-case headings converted to sentence case (see brand fix above); em dashes removed from headings; slug recommendation captured in Editor Notes block</w:t>
      </w:r>
    </w:p>
    <w:p>
      <w:pPr>
        <w:pStyle w:val="ListBullet"/>
      </w:pPr>
      <w:r>
        <w:t>[INTRO TRIM] Trimmed intro from ~105–110 words to approximately 75 words by removing the sentence 'The secret lies in differentiated strategies that create multiple pathways to the same learning goals' and compressing the second intro paragraph; retained the opening hook and core topic framing; canonical answer block placed immediately after as its own paragraph per Rec #2</w:t>
      </w:r>
    </w:p>
    <w:p>
      <w:pPr>
        <w:pStyle w:val="ListBullet"/>
      </w:pPr>
      <w:r>
        <w:t>[EDITOR NOTES] Appended pre-publish checklist block at end of document with title tag, meta description, slug recommendation,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