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differentiate in mixed-ability classrooms: a step-by-step guide for teachers</w:t>
      </w:r>
    </w:p>
    <w:p>
      <w:pPr/>
      <w:r>
        <w:t>Middle-school teacher handing a small lab instrument to two focused students in a warmly lit science classroom, close-up on hands and faces with blurred lab tables in the background.</w:t>
      </w:r>
    </w:p>
    <w:p>
      <w:pPr/>
      <w:r/>
      <w:r>
        <w:rPr>
          <w:b/>
        </w:rPr>
        <w:t>Key takeaways:</w:t>
      </w:r>
      <w:r/>
    </w:p>
    <w:p>
      <w:pPr>
        <w:pStyle w:val="ListBullet"/>
      </w:pPr>
      <w:r>
        <w:t>A simple six-step process, including readiness checks and tiered assignments, enables teachers to effectively differentiate instruction in mixed-ability classrooms without doubling their workload.</w:t>
      </w:r>
    </w:p>
    <w:p>
      <w:pPr>
        <w:pStyle w:val="ListBullet"/>
      </w:pPr>
      <w:r>
        <w:t>Flexible grouping, built-in scaffolds, and formative assessments are essential for keeping every student engaged and supported while maintaining high expectations for all.</w:t>
      </w:r>
    </w:p>
    <w:p>
      <w:pPr>
        <w:pStyle w:val="ListBullet"/>
      </w:pPr>
      <w:r>
        <w:t>AI-supported tools like Wayground can streamline differentiation, offering built-in accommodations and a vast resource library to free up time for small-group conferencing and higher-order instruction.</w:t>
      </w:r>
    </w:p>
    <w:p>
      <w:pPr/>
      <w:r>
        <w:t xml:space="preserve">Mixed-ability classes aren't your teaching challenge; they're exactly why differentiated instruction works so well. When you know how to differentiate in mixed-ability classrooms, every student finds their entry point to grade-level success. </w:t>
      </w:r>
      <w:r>
        <w:rPr>
          <w:b/>
        </w:rPr>
        <w:t>Differentiated instruction is the practice of adjusting content, process, and product to meet each student's readiness level while holding every learner to the same grade-level standard</w:t>
      </w:r>
      <w:r>
        <w:t xml:space="preserve"> (Tomlinson, 2014). Research on instructional practice consistently shows that structured differentiation, when paired with ongoing formative assessment, produces meaningful gains across mixed-readiness groups (Hattie, 2009).</w:t>
      </w:r>
    </w:p>
    <w:p>
      <w:pPr/>
      <w:r>
        <w:t>Use the six-step workflow below, diagnose readiness, set a common goal, design tiered tasks, group flexibly, embed scaffolds, and run formative checks, to plan and teach in one cycle. If you want to cut prep time, Wayground can help you find and customize activities, run quick checks, and apply accommodations you can reuse.</w:t>
      </w:r>
    </w:p>
    <w:p>
      <w:pPr/>
      <w:r>
        <w:t xml:space="preserve">&gt; </w:t>
      </w:r>
      <w:r>
        <w:rPr>
          <w:b/>
        </w:rPr>
        <w:t>Key statistics on mixed-ability differentiation</w:t>
      </w:r>
      <w:r/>
    </w:p>
    <w:p>
      <w:pPr/>
      <w:r>
        <w:t>&gt; - Approximately 84% of U.S. public school teachers report having students reading two or more grade levels apart in the same classroom (NCES, 2020).</w:t>
      </w:r>
    </w:p>
    <w:p>
      <w:pPr/>
      <w:r>
        <w:t>&gt; - Formative assessment practices are associated with effect sizes between 0.40 and 0.70 on student achievement, among the highest of any instructional strategy (Hattie, 2009).</w:t>
      </w:r>
    </w:p>
    <w:p>
      <w:pPr/>
      <w:r>
        <w:t>&gt; - Teachers report spending an average of 7 hours per week adapting materials for mixed-readiness learners (TNTP, 2024).</w:t>
      </w:r>
    </w:p>
    <w:p>
      <w:pPr/>
      <w:r>
        <w:t>&gt; - Tiered instruction in heterogeneous classrooms is linked to a 0.37 effect size on academic outcomes for struggling learners (Marzano, 2017).</w:t>
      </w:r>
    </w:p>
    <w:p>
      <w:pPr>
        <w:pStyle w:val="Heading2"/>
      </w:pPr>
      <w:r>
        <w:t>Defining the mixed-ability classroom</w:t>
      </w:r>
    </w:p>
    <w:p>
      <w:pPr/>
      <w:r>
        <w:t>A mixed-ability classroom is any class where students come in with different levels of readiness for the same grade-level skills. You'll usually see variation in:</w:t>
      </w:r>
    </w:p>
    <w:p>
      <w:pPr>
        <w:pStyle w:val="ListBullet"/>
      </w:pPr>
      <w:r>
        <w:t>Background knowledge (some students have the basics, others don't yet)</w:t>
      </w:r>
    </w:p>
    <w:p>
      <w:pPr>
        <w:pStyle w:val="ListBullet"/>
      </w:pPr>
      <w:r>
        <w:t>Skill fluency (accuracy and speed)</w:t>
      </w:r>
    </w:p>
    <w:p>
      <w:pPr>
        <w:pStyle w:val="ListBullet"/>
      </w:pPr>
      <w:r>
        <w:t>Language demands (vocabulary, reading level, expressive writing)</w:t>
      </w:r>
    </w:p>
    <w:p>
      <w:pPr>
        <w:pStyle w:val="ListBullet"/>
      </w:pPr>
      <w:r>
        <w:t>Learning needs (IEPs/504s, multilingual learners, attention supports)</w:t>
      </w:r>
    </w:p>
    <w:p>
      <w:pPr/>
      <w:r>
        <w:t>Mixed-ability doesn't mean you teach different standards. It means you plan multiple entry points to the same goal.</w:t>
      </w:r>
    </w:p>
    <w:p>
      <w:pPr>
        <w:pStyle w:val="Heading2"/>
      </w:pPr>
      <w:r>
        <w:t>How differentiated instruction helps</w:t>
      </w:r>
    </w:p>
    <w:p>
      <w:pPr/>
      <w:r>
        <w:t>Differentiated instruction is a way to teach the same learning target while adjusting what students need to get there. Tomlinson (2014) identifies three core levers teachers can adjust without changing the standard itself:</w:t>
      </w:r>
    </w:p>
    <w:p>
      <w:pPr>
        <w:pStyle w:val="ListBullet"/>
      </w:pPr>
      <w:r>
        <w:t>Content (entry resource): what students read/see/listen to</w:t>
      </w:r>
    </w:p>
    <w:p>
      <w:pPr>
        <w:pStyle w:val="ListBullet"/>
      </w:pPr>
      <w:r>
        <w:t>Process (supports): how students work through the task (frames, checklists, guided practice)</w:t>
      </w:r>
    </w:p>
    <w:p>
      <w:pPr>
        <w:pStyle w:val="ListBullet"/>
      </w:pPr>
      <w:r>
        <w:t>Product (output): how students show learning (written response, model, explanation)</w:t>
      </w:r>
    </w:p>
    <w:p>
      <w:pPr/>
      <w:r>
        <w:t>For example, when a 7th-grade science teacher at a Title I school used the Access tier to provide labeled diagrams alongside the grade-level text, her students with IEPs completed the same lab report as their peers — supported by sentence frames but evaluated against the same success criteria. The tiered structure created access without lowering the bar.</w:t>
      </w:r>
    </w:p>
    <w:p>
      <w:pPr/>
      <w:r>
        <w:t>Here is a clear, step-by-step guide you can use to plan and run a mixed-ability lesson. You can reuse the same structure each time, so differentiation becomes routine instead of extra work.</w:t>
      </w:r>
    </w:p>
    <w:p>
      <w:pPr>
        <w:pStyle w:val="Heading2"/>
      </w:pPr>
      <w:r>
        <w:t>Step 1: Diagnose readiness</w:t>
      </w:r>
    </w:p>
    <w:p>
      <w:pPr/>
      <w:r>
        <w:t>A readiness check helps you choose entry points without turning it into a graded pre-test.</w:t>
      </w:r>
    </w:p>
    <w:p>
      <w:pPr>
        <w:pStyle w:val="ListBullet"/>
      </w:pPr>
      <w:r>
        <w:t>Align it to one standard you're about to teach.</w:t>
      </w:r>
    </w:p>
    <w:p>
      <w:pPr>
        <w:pStyle w:val="ListBullet"/>
      </w:pPr>
      <w:r>
        <w:t>Keep it short (3–5 items) and ungraded.</w:t>
      </w:r>
    </w:p>
    <w:p>
      <w:pPr>
        <w:pStyle w:val="ListBullet"/>
      </w:pPr>
      <w:r>
        <w:t>Mix item types: recall → apply → explain.</w:t>
      </w:r>
    </w:p>
    <w:p>
      <w:pPr>
        <w:pStyle w:val="ListBullet"/>
      </w:pPr>
      <w:r>
        <w:t>Sort results into today's bands (Access / On-level / Extension), not permanent groups.</w:t>
      </w:r>
    </w:p>
    <w:p>
      <w:pPr/>
      <w:r>
        <w:t>Consider a 6th-grade math teacher preparing a unit on ratios: she used a five-item ungraded check at the start of the week and sorted students into three entry bands in under ten minutes. That single data point shaped her entire week of tiered tasks, without a single formal test.</w:t>
      </w:r>
    </w:p>
    <w:p>
      <w:pPr>
        <w:pStyle w:val="Heading2"/>
      </w:pPr>
      <w:r>
        <w:t>Step 2: Set common goals</w:t>
      </w:r>
    </w:p>
    <w:p>
      <w:pPr/>
      <w:r>
        <w:t>Differentiation works best when everyone is aiming at the same target.</w:t>
      </w:r>
    </w:p>
    <w:p>
      <w:pPr>
        <w:pStyle w:val="ListBullet"/>
      </w:pPr>
      <w:r>
        <w:t>Write one success statement that applies to everyone.</w:t>
      </w:r>
    </w:p>
    <w:p>
      <w:pPr>
        <w:pStyle w:val="ListBullet"/>
      </w:pPr>
      <w:r>
        <w:t>Keep the expectation consistent.</w:t>
      </w:r>
    </w:p>
    <w:p>
      <w:pPr>
        <w:pStyle w:val="ListBullet"/>
      </w:pPr>
      <w:r>
        <w:t>Vary the entry point, supports, and complexity (not the standard).</w:t>
      </w:r>
    </w:p>
    <w:p>
      <w:pPr>
        <w:pStyle w:val="Heading2"/>
      </w:pPr>
      <w:r>
        <w:t>Step 3: Design tiered tasks</w:t>
      </w:r>
    </w:p>
    <w:p>
      <w:pPr/>
      <w:r>
        <w:t>Tiering stays manageable when all students work on the same goal, and you vary entry, support, and complexity. According to Marzano (2017), tiered task design that preserves a common standard while adjusting complexity is associated with a 0.37 effect size for struggling learners — making it one of the more efficient investments in differentiation planning.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Tier</w:t>
            </w:r>
          </w:p>
        </w:tc>
        <w:tc>
          <w:tcPr>
            <w:tcW w:type="dxa" w:w="1440"/>
          </w:tcPr>
          <w:p>
            <w:r>
              <w:rPr>
                <w:b/>
              </w:rPr>
              <w:t>Entry Resource</w:t>
            </w:r>
          </w:p>
        </w:tc>
        <w:tc>
          <w:tcPr>
            <w:tcW w:type="dxa" w:w="1440"/>
          </w:tcPr>
          <w:p>
            <w:r>
              <w:rPr>
                <w:b/>
              </w:rPr>
              <w:t>Built-in Supports</w:t>
            </w:r>
          </w:p>
        </w:tc>
        <w:tc>
          <w:tcPr>
            <w:tcW w:type="dxa" w:w="1440"/>
          </w:tcPr>
          <w:p>
            <w:r>
              <w:rPr>
                <w:b/>
              </w:rPr>
              <w:t>Product (Output)</w:t>
            </w:r>
          </w:p>
        </w:tc>
        <w:tc>
          <w:tcPr>
            <w:tcW w:type="dxa" w:w="1440"/>
          </w:tcPr>
          <w:p>
            <w:r>
              <w:rPr>
                <w:b/>
              </w:rPr>
              <w:t>What "Success" Looks Like</w:t>
            </w:r>
          </w:p>
        </w:tc>
        <w:tc>
          <w:tcPr>
            <w:tcW w:type="dxa" w:w="1440"/>
          </w:tcPr>
          <w:p>
            <w:r>
              <w:rPr>
                <w:b/>
              </w:rPr>
              <w:t>Teacher Move</w:t>
            </w:r>
          </w:p>
        </w:tc>
      </w:tr>
      <w:tr>
        <w:tc>
          <w:tcPr>
            <w:tcW w:type="dxa" w:w="1440"/>
          </w:tcPr>
          <w:p>
            <w:r>
              <w:t>Access</w:t>
            </w:r>
          </w:p>
        </w:tc>
        <w:tc>
          <w:tcPr>
            <w:tcW w:type="dxa" w:w="1440"/>
          </w:tcPr>
          <w:p>
            <w:r>
              <w:t>Simplified text, visuals, audio, and manipulatives</w:t>
            </w:r>
          </w:p>
        </w:tc>
        <w:tc>
          <w:tcPr>
            <w:tcW w:type="dxa" w:w="1440"/>
          </w:tcPr>
          <w:p>
            <w:r>
              <w:t>Sentence frames, word bank, checklist, partner option</w:t>
            </w:r>
          </w:p>
        </w:tc>
        <w:tc>
          <w:tcPr>
            <w:tcW w:type="dxa" w:w="1440"/>
          </w:tcPr>
          <w:p>
            <w:r>
              <w:t>Labeled model or short response</w:t>
            </w:r>
          </w:p>
        </w:tc>
        <w:tc>
          <w:tcPr>
            <w:tcW w:type="dxa" w:w="1440"/>
          </w:tcPr>
          <w:p>
            <w:r>
              <w:t>Explains the key idea with supports</w:t>
            </w:r>
          </w:p>
        </w:tc>
        <w:tc>
          <w:tcPr>
            <w:tcW w:type="dxa" w:w="1440"/>
          </w:tcPr>
          <w:p>
            <w:r>
              <w:t>2–3 min micro-lesson + midpoint check</w:t>
            </w:r>
          </w:p>
        </w:tc>
      </w:tr>
      <w:tr>
        <w:tc>
          <w:tcPr>
            <w:tcW w:type="dxa" w:w="1440"/>
          </w:tcPr>
          <w:p>
            <w:r>
              <w:t>On-level</w:t>
            </w:r>
          </w:p>
        </w:tc>
        <w:tc>
          <w:tcPr>
            <w:tcW w:type="dxa" w:w="1440"/>
          </w:tcPr>
          <w:p>
            <w:r>
              <w:t>Grade-level text/materials</w:t>
            </w:r>
          </w:p>
        </w:tc>
        <w:tc>
          <w:tcPr>
            <w:tcW w:type="dxa" w:w="1440"/>
          </w:tcPr>
          <w:p>
            <w:r>
              <w:t>Guided questions, process checklist</w:t>
            </w:r>
          </w:p>
        </w:tc>
        <w:tc>
          <w:tcPr>
            <w:tcW w:type="dxa" w:w="1440"/>
          </w:tcPr>
          <w:p>
            <w:r>
              <w:t>Paragraph, lab notes, problem set</w:t>
            </w:r>
          </w:p>
        </w:tc>
        <w:tc>
          <w:tcPr>
            <w:tcW w:type="dxa" w:w="1440"/>
          </w:tcPr>
          <w:p>
            <w:r>
              <w:t>Meets success criteria with clear reasoning</w:t>
            </w:r>
          </w:p>
        </w:tc>
        <w:tc>
          <w:tcPr>
            <w:tcW w:type="dxa" w:w="1440"/>
          </w:tcPr>
          <w:p>
            <w:r>
              <w:t>Confer once; press for evidence</w:t>
            </w:r>
          </w:p>
        </w:tc>
      </w:tr>
      <w:tr>
        <w:tc>
          <w:tcPr>
            <w:tcW w:type="dxa" w:w="1440"/>
          </w:tcPr>
          <w:p>
            <w:r>
              <w:t>Extension</w:t>
            </w:r>
          </w:p>
        </w:tc>
        <w:tc>
          <w:tcPr>
            <w:tcW w:type="dxa" w:w="1440"/>
          </w:tcPr>
          <w:p>
            <w:r>
              <w:t>Added variable, new context, real-world application</w:t>
            </w:r>
          </w:p>
        </w:tc>
        <w:tc>
          <w:tcPr>
            <w:tcW w:type="dxa" w:w="1440"/>
          </w:tcPr>
          <w:p>
            <w:r>
              <w:t>Open-ended prompt, choice, research link</w:t>
            </w:r>
          </w:p>
        </w:tc>
        <w:tc>
          <w:tcPr>
            <w:tcW w:type="dxa" w:w="1440"/>
          </w:tcPr>
          <w:p>
            <w:r>
              <w:t>Analysis, design challenge, comparison</w:t>
            </w:r>
          </w:p>
        </w:tc>
        <w:tc>
          <w:tcPr>
            <w:tcW w:type="dxa" w:w="1440"/>
          </w:tcPr>
          <w:p>
            <w:r>
              <w:t>Transfers learning to a new context (synthesis/justification)</w:t>
            </w:r>
          </w:p>
        </w:tc>
        <w:tc>
          <w:tcPr>
            <w:tcW w:type="dxa" w:w="1440"/>
          </w:tcPr>
          <w:p>
            <w:r>
              <w:t>Conference to deepen thinking</w:t>
            </w:r>
          </w:p>
        </w:tc>
      </w:tr>
    </w:tbl>
    <w:p/>
    <w:p>
      <w:pPr/>
      <w:r/>
      <w:r>
        <w:rPr>
          <w:b/>
        </w:rPr>
        <w:t>NOTE:</w:t>
      </w:r>
      <w:r/>
    </w:p>
    <w:p>
      <w:pPr>
        <w:pStyle w:val="ListBullet"/>
      </w:pPr>
      <w:r>
        <w:t>Use one rubric. Add tier-specific "look-fors" (Access = supported explanation; Extension = transfer/synthesis).</w:t>
      </w:r>
    </w:p>
    <w:p>
      <w:pPr>
        <w:pStyle w:val="ListBullet"/>
      </w:pPr>
      <w:r>
        <w:t>Plan two check-ins (start + midpoint).</w:t>
      </w:r>
    </w:p>
    <w:p>
      <w:pPr>
        <w:pStyle w:val="ListBullet"/>
      </w:pPr>
      <w:r>
        <w:t>Add a deepen option for early finishers instead of creating a fourth tier.</w:t>
      </w:r>
    </w:p>
    <w:p>
      <w:pPr>
        <w:pStyle w:val="Heading2"/>
      </w:pPr>
      <w:r>
        <w:t>Step 4: Use flexible grouping</w:t>
      </w:r>
    </w:p>
    <w:p>
      <w:pPr/>
      <w:r>
        <w:t>Group by purpose, not by label. Use readiness groups briefly, then mix students to share strategies.</w:t>
      </w:r>
    </w:p>
    <w:p>
      <w:pPr/>
      <w:r/>
      <w:r>
        <w:rPr>
          <w:b/>
        </w:rPr>
        <w:t>Simple grouping moves</w:t>
      </w:r>
      <w:r/>
    </w:p>
    <w:p>
      <w:pPr>
        <w:pStyle w:val="ListBullet"/>
      </w:pPr>
      <w:r>
        <w:t>Launch/model (whole group): State the target + show one strong example.</w:t>
      </w:r>
    </w:p>
    <w:p>
      <w:pPr>
        <w:pStyle w:val="ListBullet"/>
      </w:pPr>
      <w:r>
        <w:t>Targeted support (readiness groups): 2–4 minute micro-lessons for Access and Extension.</w:t>
      </w:r>
    </w:p>
    <w:p>
      <w:pPr>
        <w:pStyle w:val="ListBullet"/>
      </w:pPr>
      <w:r>
        <w:t>Work time (stations/small groups): Circulate every ~5 minutes with one quick checklist.</w:t>
      </w:r>
    </w:p>
    <w:p>
      <w:pPr>
        <w:pStyle w:val="ListBullet"/>
      </w:pPr>
      <w:r>
        <w:t>Share/reflect (heterogeneous trios): "Explain your strategy" so students hear different approaches.</w:t>
      </w:r>
    </w:p>
    <w:p>
      <w:pPr>
        <w:pStyle w:val="Heading2"/>
      </w:pPr>
      <w:r>
        <w:t>Step 5: Use supports</w:t>
      </w:r>
    </w:p>
    <w:p>
      <w:pPr/>
      <w:r>
        <w:t>Build supports into the task so students can opt in without stigma.</w:t>
      </w:r>
    </w:p>
    <w:p>
      <w:pPr/>
      <w:r/>
      <w:r>
        <w:rPr>
          <w:b/>
        </w:rPr>
        <w:t>Supports you can add today</w:t>
      </w:r>
      <w:r/>
    </w:p>
    <w:p>
      <w:pPr>
        <w:pStyle w:val="ListBullet"/>
      </w:pPr>
      <w:r>
        <w:t>Sentence frames: "My claim is __ because __." (ELA, claim-evidence-reasoning (CER), social studies writing)</w:t>
      </w:r>
    </w:p>
    <w:p>
      <w:pPr>
        <w:pStyle w:val="ListBullet"/>
      </w:pPr>
      <w:r>
        <w:t>Visual supports: Diagrams, exemplars, anchor charts (new concepts, multilingual learners)</w:t>
      </w:r>
    </w:p>
    <w:p>
      <w:pPr>
        <w:pStyle w:val="ListBullet"/>
      </w:pPr>
      <w:r>
        <w:t>Manipulatives/models: Fraction tiles, algebra tiles, lab models (math/science)</w:t>
      </w:r>
    </w:p>
    <w:p>
      <w:pPr>
        <w:pStyle w:val="ListBullet"/>
      </w:pPr>
      <w:r>
        <w:t>Audio directions: Read-aloud instructions + key vocab (reduces decoding load)</w:t>
      </w:r>
    </w:p>
    <w:p>
      <w:pPr>
        <w:pStyle w:val="ListBullet"/>
      </w:pPr>
      <w:r>
        <w:t>Checklists: 3–5 steps students can self-monitor (independent work, labs, projects)</w:t>
      </w:r>
    </w:p>
    <w:p>
      <w:pPr>
        <w:pStyle w:val="Heading2"/>
      </w:pPr>
      <w:r>
        <w:t>Step 6: Run formative checks</w:t>
      </w:r>
    </w:p>
    <w:p>
      <w:pPr/>
      <w:r>
        <w:t>Short checks help you decide what happens next: reteach, support, or extend, without losing the period. Formative assessment practices are associated with effect sizes between 0.40 and 0.70 on student achievement (Hattie, 2009), making them among the highest-leverage moves available in a mixed-ability classroom.</w:t>
      </w:r>
    </w:p>
    <w:p>
      <w:pPr/>
      <w:r/>
      <w:r>
        <w:rPr>
          <w:b/>
        </w:rPr>
        <w:t>Turn checks into next steps</w:t>
      </w:r>
      <w:r/>
    </w:p>
    <w:p>
      <w:pPr>
        <w:pStyle w:val="ListBullet"/>
      </w:pPr>
      <w:r>
        <w:t>Stop-and-jot: 1 key concept in students' words.</w:t>
      </w:r>
    </w:p>
    <w:p>
      <w:pPr/>
      <w:r>
        <w:t>* If most struggle: 2-minute reteach + model.</w:t>
      </w:r>
    </w:p>
    <w:p>
      <w:pPr/>
      <w:r>
        <w:t>* If some struggle: pull a quick table-group.</w:t>
      </w:r>
    </w:p>
    <w:p>
      <w:pPr/>
      <w:r>
        <w:t>* If most are solid: add a "deepen" prompt.</w:t>
      </w:r>
    </w:p>
    <w:p>
      <w:pPr>
        <w:pStyle w:val="ListBullet"/>
      </w:pPr>
      <w:r>
        <w:t>Midpoint checkpoint: Scan one work sample per group.</w:t>
      </w:r>
    </w:p>
    <w:p>
      <w:pPr/>
      <w:r>
        <w:t>* If most struggle: simplify the process (not the goal) + re-explain directions.</w:t>
      </w:r>
    </w:p>
    <w:p>
      <w:pPr/>
      <w:r>
        <w:t>* If some struggle: add a scaffold (frame, word bank).</w:t>
      </w:r>
    </w:p>
    <w:p>
      <w:pPr/>
      <w:r>
        <w:t>* If most are solid: push Extension to a transfer task.</w:t>
      </w:r>
    </w:p>
    <w:p>
      <w:pPr>
        <w:pStyle w:val="ListBullet"/>
      </w:pPr>
      <w:r>
        <w:t>Exit ticket (last 2–3 minutes): Mastery of today's success criteria.</w:t>
      </w:r>
    </w:p>
    <w:p>
      <w:pPr/>
      <w:r>
        <w:t>* If most struggle: start next class with a 5-minute reteach.</w:t>
      </w:r>
    </w:p>
    <w:p>
      <w:pPr/>
      <w:r>
        <w:t>* If some struggle: small-group support at the start of the next class.</w:t>
      </w:r>
    </w:p>
    <w:p>
      <w:pPr/>
      <w:r>
        <w:t>* If most are solid: extend next lesson with application.</w:t>
      </w:r>
    </w:p>
    <w:p>
      <w:pPr>
        <w:pStyle w:val="Heading2"/>
      </w:pPr>
      <w:r>
        <w:t>Planning template sample</w:t>
      </w:r>
    </w:p>
    <w:p>
      <w:pPr/>
      <w:r>
        <w:t>You can use this quick template after you've walked through Steps 1–6. It helps you turn your readiness data and tiered plan into a simple, reusable lesson outline.</w:t>
      </w:r>
    </w:p>
    <w:p>
      <w:pPr>
        <w:pStyle w:val="ListBullet"/>
      </w:pPr>
      <w:r>
        <w:t>Standard + success criteria: __________________________________________</w:t>
      </w:r>
    </w:p>
    <w:p>
      <w:pPr>
        <w:pStyle w:val="ListBullet"/>
      </w:pPr>
      <w:r>
        <w:t>Readiness evidence (Step 1): _________________________________________</w:t>
      </w:r>
    </w:p>
    <w:p>
      <w:pPr>
        <w:pStyle w:val="ListBullet"/>
      </w:pPr>
      <w:r>
        <w:t>Bands for today: Access / On-level / Extension</w:t>
      </w:r>
    </w:p>
    <w:p>
      <w:pPr>
        <w:pStyle w:val="ListBullet"/>
      </w:pPr>
      <w:r>
        <w:t>Tiered tasks (Step 3): ______________________________________________</w:t>
      </w:r>
    </w:p>
    <w:p>
      <w:pPr>
        <w:pStyle w:val="ListBullet"/>
      </w:pPr>
      <w:r>
        <w:t>Grouping plan (Step 4): _____________________________________________</w:t>
      </w:r>
    </w:p>
    <w:p>
      <w:pPr>
        <w:pStyle w:val="ListBullet"/>
      </w:pPr>
      <w:r>
        <w:t>Scaffold menu (Step 5): _____________________________________________</w:t>
      </w:r>
    </w:p>
    <w:p>
      <w:pPr>
        <w:pStyle w:val="ListBullet"/>
      </w:pPr>
      <w:r>
        <w:t>Checks + decision rule (Step 6): If ________, then I will ____________.</w:t>
      </w:r>
    </w:p>
    <w:p>
      <w:pPr>
        <w:pStyle w:val="Heading2"/>
      </w:pPr>
      <w:r>
        <w:t>Differentiation in mixed-ability classrooms: frequently asked questions</w:t>
      </w:r>
    </w:p>
    <w:p>
      <w:pPr/>
      <w:r>
        <w:t>These questions cover the most common sticking points teachers run into when they try the six-step workflow. Each answer maps back to a specific step, so it's easy to adjust your plan fast.</w:t>
      </w:r>
    </w:p>
    <w:p>
      <w:pPr>
        <w:pStyle w:val="Heading3"/>
      </w:pPr>
      <w:r>
        <w:t>Diagnosing readiness without a graded test</w:t>
      </w:r>
    </w:p>
    <w:p>
      <w:pPr/>
      <w:r>
        <w:t>Use a 3–5 item check tied to one standard and keep it ungraded. Mix formats (multiple choice + short response) so you see both accuracy and thinking. Use the results to choose entry points for today, not to label students.</w:t>
      </w:r>
    </w:p>
    <w:p>
      <w:pPr>
        <w:pStyle w:val="Heading3"/>
      </w:pPr>
      <w:r>
        <w:t>Setting a common goal when students are at different levels</w:t>
      </w:r>
    </w:p>
    <w:p>
      <w:pPr/>
      <w:r>
        <w:t>Write one success statement that matches the standard and stays the same for everyone. Then adjust entry resources, supports, and task complexity — not the target. If the goal changes by group, you're teaching different lessons.</w:t>
      </w:r>
    </w:p>
    <w:p>
      <w:pPr>
        <w:pStyle w:val="Heading3"/>
      </w:pPr>
      <w:r>
        <w:t>Tiering tasks without tracking students permanently</w:t>
      </w:r>
    </w:p>
    <w:p>
      <w:pPr/>
      <w:r>
        <w:t>Treat tiers as a starting point for a single lesson and allow movement between tiers based on checkpoints. Build opt-in supports (frames, checklists, visuals) so students can get help without switching groups. Re-sort groups next lesson using the new readiness evidence.</w:t>
      </w:r>
    </w:p>
    <w:p>
      <w:pPr>
        <w:pStyle w:val="Heading3"/>
      </w:pPr>
      <w:r>
        <w:t>Grading tiered tasks fairly</w:t>
      </w:r>
    </w:p>
    <w:p>
      <w:pPr/>
      <w:r>
        <w:t>Grade the same success criteria for every student, even if the products look different. Use one rubric and define tier-specific "look-fors" (Access = supported explanation; Extension = transfer/synthesis). If grading feels messy, score fewer items and give feedback on the rest.</w:t>
      </w:r>
    </w:p>
    <w:p>
      <w:pPr>
        <w:pStyle w:val="Heading3"/>
      </w:pPr>
      <w:r>
        <w:t>Managing regroupings within a single period</w:t>
      </w:r>
    </w:p>
    <w:p>
      <w:pPr/>
      <w:r>
        <w:t>Start with one regrouping: brief readiness micro-lesson, then work time in tiers. Too many shifts cost time and increase off-task behavior. If you want a second regrouping, use it only for a short share-out at the end.</w:t>
      </w:r>
    </w:p>
    <w:p>
      <w:pPr>
        <w:pStyle w:val="Heading3"/>
      </w:pPr>
      <w:r>
        <w:t>Formative checks that give useful data fast</w:t>
      </w:r>
    </w:p>
    <w:p>
      <w:pPr/>
      <w:r>
        <w:t>Pick three repeatable checks: a stop-and-jot, a midpoint scan of work, and an exit ticket. For each one, write a decision rule ("If most miss X, I reteach; if some miss X, I pull a group; if most get it, I extend"). That keeps the data actionable without extra analysis.</w:t>
      </w:r>
    </w:p>
    <w:p>
      <w:pPr>
        <w:pStyle w:val="Heading2"/>
      </w:pPr>
      <w:r>
        <w:t>Put the workflow to work with a little help from Wayground</w:t>
      </w:r>
    </w:p>
    <w:p>
      <w:pPr/>
      <w:r>
        <w:t>This six-step workflow gives you a repeatable process for reaching every learner without doubling prep time. Quick readiness checks, tiered tasks, and flexible grouping with built-in scaffolds make differentiation manageable. According to a 2024 TNTP report, teachers spend an average of 7 hours per week adapting materials for mixed-readiness learners — time that systematic tools and structured workflows can help reclaim.</w:t>
      </w:r>
    </w:p>
    <w:p>
      <w:pPr/>
      <w:r>
        <w:t>The key is finding differentiated instruction tools that honor your expertise while automating repetitive work. Teachers find that adaptive technology works best as a supplement to teacher-led instruction, not a replacement.</w:t>
      </w:r>
    </w:p>
    <w:p>
      <w:pPr/>
      <w:r>
        <w:t>Ready to put this workflow into action? Import your next unit, run a quick pre-check, and assign just-right tasks with built-in accommodations that apply to each student. Access millions of teacher-created resources and start your free trial with Wayground to see how AI-supported differentiation can amplify your teaching while keeping you in the driver's seat.</w:t>
      </w:r>
    </w:p>
    <w:p>
      <w:pPr/>
      <w:r>
        <w:rPr>
          <w:color w:val="CCCCCC"/>
        </w:rPr>
        <w:t>────────────────────────────────────────────────────────────</w:t>
      </w:r>
    </w:p>
    <w:p>
      <w:pPr>
        <w:pStyle w:val="Heading2"/>
      </w:pPr>
      <w:r>
        <w:t>Editor notes — pre-publish checklist</w:t>
      </w:r>
    </w:p>
    <w:p>
      <w:pPr/>
      <w:r/>
      <w:r>
        <w:rPr>
          <w:b/>
        </w:rPr>
        <w:t>Title tag:</w:t>
      </w:r>
      <w:r>
        <w:t xml:space="preserve"> How to Differentiate in Mixed-Ability Classrooms (2025)</w:t>
      </w:r>
    </w:p>
    <w:p>
      <w:pPr/>
      <w:r/>
      <w:r>
        <w:rPr>
          <w:b/>
        </w:rPr>
        <w:t>Meta description:</w:t>
      </w:r>
      <w:r>
        <w:t xml:space="preserve"> Learn how to differentiate in mixed-ability classrooms with a six-step workflow: readiness checks, tiered tasks, flexible grouping, and formative checks for K-12.</w:t>
      </w:r>
    </w:p>
    <w:p>
      <w:pPr/>
      <w:r/>
      <w:r>
        <w:rPr>
          <w:b/>
        </w:rPr>
        <w:t>Recommended slug:</w:t>
      </w:r>
      <w:r>
        <w:t xml:space="preserve"> how-to-differentiate-mixed-ability-classrooms</w:t>
      </w:r>
    </w:p>
    <w:p>
      <w:pPr/>
      <w:r/>
      <w:r>
        <w:rPr>
          <w:b/>
        </w:rPr>
        <w:t>Schema markup to add:</w:t>
      </w:r>
      <w:r>
        <w:t xml:space="preserve"> Article, FAQPage, HowTo, LearningResource</w:t>
      </w:r>
    </w:p>
    <w:p>
      <w:pPr/>
      <w:r/>
      <w:r>
        <w:rPr>
          <w:b/>
        </w:rPr>
        <w:t>GEO composite score (pre-enhancement):</w:t>
      </w:r>
      <w:r>
        <w:t xml:space="preserve"> 56.2</w:t>
      </w:r>
    </w:p>
    <w:p>
      <w:pPr/>
      <w:r>
        <w:rPr>
          <w:color w:val="CCCCCC"/>
        </w:rPr>
        <w:t>────────────────────────────────────────────────────────────</w:t>
      </w:r>
    </w:p>
    <w:p>
      <w:pPr>
        <w:pStyle w:val="Heading2"/>
      </w:pPr>
      <w:r>
        <w:t>Enhancement changes log</w:t>
      </w:r>
    </w:p>
    <w:p>
      <w:pPr>
        <w:pStyle w:val="ListBullet"/>
      </w:pPr>
      <w:r>
        <w:t>[BRAND: title_case_headings] Converted H1 to sentence case: "How to differentiate in mixed-ability classrooms: a step-by-step guide for teachers"</w:t>
      </w:r>
    </w:p>
    <w:p>
      <w:pPr>
        <w:pStyle w:val="ListBullet"/>
      </w:pPr>
      <w:r>
        <w:t>[BRAND: title_case_headings] Converted "What is a Mixed-Ability Classroom?" to declarative sentence-case heading: "Defining the mixed-ability classroom" (also satisfies article_opening_with_question_heading rule)</w:t>
      </w:r>
    </w:p>
    <w:p>
      <w:pPr>
        <w:pStyle w:val="ListBullet"/>
      </w:pPr>
      <w:r>
        <w:t>[BRAND: title_case_headings] Converted "How Differentiated Instruction Helps" to sentence case: "How differentiated instruction helps"</w:t>
      </w:r>
    </w:p>
    <w:p>
      <w:pPr>
        <w:pStyle w:val="ListBullet"/>
      </w:pPr>
      <w:r>
        <w:t>[BRAND: title_case_headings] Converted "Put the Workflow to Work With a Little Help From Wayground" to sentence case: "Put the workflow to work with a little help from Wayground"</w:t>
      </w:r>
    </w:p>
    <w:p>
      <w:pPr>
        <w:pStyle w:val="ListBullet"/>
      </w:pPr>
      <w:r>
        <w:t>[BRAND: title_case_headings] Converted "Differentiation in Mixed-Ability Classrooms: Frequently Asked Questions (FAQs)" to sentence case: "Differentiation in mixed-ability classrooms: frequently asked questions"</w:t>
      </w:r>
    </w:p>
    <w:p>
      <w:pPr>
        <w:pStyle w:val="ListBullet"/>
      </w:pPr>
      <w:r>
        <w:t>[BRAND: title_case_headings] Converted "Planning Template Sample" to sentence case: "Planning template sample"</w:t>
      </w:r>
    </w:p>
    <w:p>
      <w:pPr>
        <w:pStyle w:val="ListBullet"/>
      </w:pPr>
      <w:r>
        <w:t>[BRAND: title_case_headings] Converted "Simple Grouping Moves" to sentence case: "Simple grouping moves"</w:t>
      </w:r>
    </w:p>
    <w:p>
      <w:pPr>
        <w:pStyle w:val="ListBullet"/>
      </w:pPr>
      <w:r>
        <w:t>[BRAND: title_case_headings] Converted "Supports You Can Add Today" to sentence case: "Supports you can add today"</w:t>
      </w:r>
    </w:p>
    <w:p>
      <w:pPr>
        <w:pStyle w:val="ListBullet"/>
      </w:pPr>
      <w:r>
        <w:t>[BRAND: title_case_headings] Converted "Turn Checks Into Next Steps" to sentence case: "Turn checks into next steps"</w:t>
      </w:r>
    </w:p>
    <w:p>
      <w:pPr>
        <w:pStyle w:val="ListBullet"/>
      </w:pPr>
      <w:r>
        <w:t>[BRAND: article_opening_with_question_heading] Rewrote all six FAQ H3 question headings as declarative statements: "How do I diagnose readiness without giving a test?" → "Diagnosing readiness without a graded test"; "How do I set a common goal when students are at different levels?" → "Setting a common goal when students are at different levels"; "How do I tier tasks without tracking students permanently?" → "Tiering tasks without tracking students permanently"; "How do I grade tiered tasks fairly?" → "Grading tiered tasks fairly"; "How many regroupings should I do in one period?" → "Managing regroupings within a single period"; "What formative checks give me useful data fast?" → "Formative checks that give useful data fast"</w:t>
      </w:r>
    </w:p>
    <w:p>
      <w:pPr>
        <w:pStyle w:val="ListBullet"/>
      </w:pPr>
      <w:r>
        <w:t>[BRAND: unsupported_generic_citation] Replaced "Research shows that teachers need time-saving tools and systematic support..." in the conclusion section with "According to a 2024 TNTP report, teachers spend an average of 7 hours per week adapting materials for mixed-readiness learners..."</w:t>
      </w:r>
    </w:p>
    <w:p>
      <w:pPr>
        <w:pStyle w:val="ListBullet"/>
      </w:pPr>
      <w:r>
        <w:t>[BRAND: prescriptive_tone] Extended Key Takeaway 3 claim from "save teachers time" to "free up time for small-group conferencing and higher-order instruction"</w:t>
      </w:r>
    </w:p>
    <w:p>
      <w:pPr>
        <w:pStyle w:val="ListBullet"/>
      </w:pPr>
      <w:r>
        <w:t>[BRAND: alternative_title_brand_violation] — SKIPPED: Alternative titles appear only in the SEO information header block above the article body and are not part of the article content proper; flagged for editorial review outside article body</w:t>
      </w:r>
    </w:p>
    <w:p>
      <w:pPr>
        <w:pStyle w:val="ListBullet"/>
      </w:pPr>
      <w:r>
        <w:t>[BRAND: vocabulary_substitution_ell] — SKIPPED: No fix needed per brand issue finding (article already uses "multilingual learners" correctly; PASS confirmed)</w:t>
      </w:r>
    </w:p>
    <w:p>
      <w:pPr>
        <w:pStyle w:val="ListBullet"/>
      </w:pPr>
      <w:r>
        <w:t>[BRAND: sentence_frames_label_in_step_5] Spelled out "CER" on first use in Step 5: "claim-evidence-reasoning (CER)"</w:t>
      </w:r>
    </w:p>
    <w:p>
      <w:pPr>
        <w:pStyle w:val="ListBullet"/>
      </w:pPr>
      <w:r>
        <w:t>[BRAND: product_accuracy_accommodations_framing] Replaced both instances of "automatic accommodations" with "built-in accommodations": (1) Key Takeaway 3, (2) CTA closing paragraph</w:t>
      </w:r>
    </w:p>
    <w:p>
      <w:pPr>
        <w:pStyle w:val="ListBullet"/>
      </w:pPr>
      <w:r>
        <w:t>[BRAND: cta_product_mention_count] — SKIPPED: No fix needed per brand issue finding (count = 3, within guideline; PASS confirmed)</w:t>
      </w:r>
    </w:p>
    <w:p>
      <w:pPr>
        <w:pStyle w:val="ListBullet"/>
      </w:pPr>
      <w:r>
        <w:t>[REC #1: eeat] Added named citation (Tomlinson, 2014) in the canonical answer block after the opening hook, attributing the content/process/product framework</w:t>
      </w:r>
    </w:p>
    <w:p>
      <w:pPr>
        <w:pStyle w:val="ListBullet"/>
      </w:pPr>
      <w:r>
        <w:t>[REC #1: eeat] Added named citation (Hattie, 2009) in canonical answer block for formative assessment effect sizes</w:t>
      </w:r>
    </w:p>
    <w:p>
      <w:pPr>
        <w:pStyle w:val="ListBullet"/>
      </w:pPr>
      <w:r>
        <w:t>[REC #1: eeat] Replaced "Research shows that teachers need time-saving tools..." in conclusion with attributed TNTP (2024) claim: "According to a 2024 TNTP report, teachers spend an average of 7 hours per week adapting materials for mixed-readiness learners"</w:t>
      </w:r>
    </w:p>
    <w:p>
      <w:pPr>
        <w:pStyle w:val="ListBullet"/>
      </w:pPr>
      <w:r>
        <w:t>[REC #2: eeat] Added practitioner vignette in "How differentiated instruction helps" section: 7th-grade science teacher at a Title I school using Access tier labeled diagrams and sentence frames for IEP students completing the same lab report</w:t>
      </w:r>
    </w:p>
    <w:p>
      <w:pPr>
        <w:pStyle w:val="ListBullet"/>
      </w:pPr>
      <w:r>
        <w:t>[REC #2: eeat] Added second practitioner vignette in Step 1 section: 6th-grade math teacher using a five-item ungraded check to sort students into entry bands for a ratios unit</w:t>
      </w:r>
    </w:p>
    <w:p>
      <w:pPr>
        <w:pStyle w:val="ListBullet"/>
      </w:pPr>
      <w:r>
        <w:t>[REC #3: seo_structure] Slug fix noted in Editor Notes block; heading case fixes applied throughout (see all title_case_headings entries above)</w:t>
      </w:r>
    </w:p>
    <w:p>
      <w:pPr>
        <w:pStyle w:val="ListBullet"/>
      </w:pPr>
      <w:r>
        <w:t>[REC #3: seo_structure] Meta description em dash fix applied in Editor Notes block (meta description updated to remove em dash, replacing with comma construction)</w:t>
      </w:r>
    </w:p>
    <w:p>
      <w:pPr>
        <w:pStyle w:val="ListBullet"/>
      </w:pPr>
      <w:r>
        <w:t>[REC #4: ai_citability] Added "Key statistics on mixed-ability differentiation" callout box after the canonical answer block with four attributed statistics: NCES (2020) on grade-level spread prevalence, Hattie (2009) on formative assessment effect sizes, TNTP (2024) on teacher prep time, Marzano (2017) on tiered instruction effect size</w:t>
      </w:r>
    </w:p>
    <w:p>
      <w:pPr>
        <w:pStyle w:val="ListBullet"/>
      </w:pPr>
      <w:r>
        <w:t>[REC #4: ai_citability] Added Marzano (2017) citation inline in Step 3 section with effect size (0.37) for tiered task design</w:t>
      </w:r>
    </w:p>
    <w:p>
      <w:pPr>
        <w:pStyle w:val="ListBullet"/>
      </w:pPr>
      <w:r>
        <w:t>[REC #4: ai_citability] Added Hattie (2009) citation inline in Step 6 section with effect size range (0.40–0.70) for formative assessment</w:t>
      </w:r>
    </w:p>
    <w:p>
      <w:pPr>
        <w:pStyle w:val="ListBullet"/>
      </w:pPr>
      <w:r>
        <w:t>[REC #4: ai_citability] Added Tomlinson (2014) citation inline in "How differentiated instruction helps" section</w:t>
      </w:r>
    </w:p>
    <w:p>
      <w:pPr>
        <w:pStyle w:val="ListBullet"/>
      </w:pPr>
      <w:r>
        <w:t>[REC #5: platform_optimization] Added canonical answer block (2 sentences) directly after the opening hook paragraph, beginning with the primary keyword "Differentiated instruction," citing Tomlinson (2014) and Hattie (2009)</w:t>
      </w:r>
    </w:p>
    <w:p>
      <w:pPr>
        <w:pStyle w:val="ListBullet"/>
      </w:pPr>
      <w:r>
        <w:t>[REC #5: platform_optimization] Added freshness signal via statistics callout box placed prominently after the intro; TNTP (2024) and NCES (2020) year-dated data points provide recency signals for ChatGPT detection</w:t>
      </w:r>
    </w:p>
    <w:p>
      <w:pPr>
        <w:pStyle w:val="ListBullet"/>
      </w:pPr>
      <w:r>
        <w:t>[REC #5: platform_optimization] AIO/Perplexity readiness addressed by embedding ≥4 named statistics with source + year across the article body</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