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Learning stations for differentiated instruction: designing routines that work</w:t>
      </w:r>
    </w:p>
    <w:p>
      <w:pPr/>
      <w:r>
        <w:t>Wide, candid photograph of a middle school science classroom showing a teacher conferring with three students at a lab table while other students rotate through task stations and work independently in the background, lit by warm late-afternoon window light.</w:t>
      </w:r>
    </w:p>
    <w:p>
      <w:pPr/>
      <w:r/>
      <w:r>
        <w:rPr>
          <w:b/>
        </w:rPr>
        <w:t>Key takeaways:</w:t>
      </w:r>
      <w:r/>
    </w:p>
    <w:p>
      <w:pPr>
        <w:pStyle w:val="ListBullet"/>
      </w:pPr>
      <w:r>
        <w:t>Learning stations, when strategically designed and managed, enable teachers to differentiate instruction effectively for diverse student needs without adding chaos or excessive prep time.</w:t>
      </w:r>
    </w:p>
    <w:p>
      <w:pPr>
        <w:pStyle w:val="ListBullet"/>
      </w:pPr>
      <w:r>
        <w:t>Flexible grouping, clear routines, and proactive accommodations make the biggest difference for maximizing student engagement and ensuring every learner can access grade-level content at their own pace.</w:t>
      </w:r>
    </w:p>
    <w:p>
      <w:pPr>
        <w:pStyle w:val="ListBullet"/>
      </w:pPr>
      <w:r>
        <w:t>Technology tools like Wayground support station-based differentiation by providing standards-aligned resources and built-in accommodations, saving teachers time and helping all students succeed.</w:t>
      </w:r>
    </w:p>
    <w:p>
      <w:pPr/>
      <w:r>
        <w:rPr>
          <w:color w:val="CCCCCC"/>
        </w:rPr>
        <w:t>────────────────────────────────────────────────────────────</w:t>
      </w:r>
    </w:p>
    <w:p>
      <w:pPr/>
      <w:r>
        <w:t>You walk into your classroom and see 28 students with reading levels spanning five grades. Some grasp concepts instantly while others need multiple explanations. One lesson, six pathways — learning stations for differentiated instruction let every student practice the same goal at the right level without adding chaos to your day.</w:t>
      </w:r>
    </w:p>
    <w:p>
      <w:pPr/>
      <w:r/>
      <w:r>
        <w:rPr>
          <w:b/>
        </w:rPr>
        <w:t>Learning stations for differentiated instruction are designated classroom areas where students rotate through varied activities, including teacher-led, independent, collaborative, enrichment, remediation, and digital tasks, all targeting the same standard at different readiness levels. This structure lets teachers provide targeted small-group instruction while other students work independently at their own pace.</w:t>
      </w:r>
      <w:r/>
    </w:p>
    <w:p>
      <w:pPr/>
      <w:r>
        <w:t>The solution lies in strategic station design that meets learners where they are. Whether you're planning teacher-led instruction, independent practice, collaborative work, enrichment challenges, remediation activities, or digital exploration, stations give you the structure to reach every student. Wayground offers the standards-aligned resources and built-in accommodations that make station-based differentiation both powerful and sustainable.</w:t>
      </w:r>
    </w:p>
    <w:p>
      <w:pPr>
        <w:pStyle w:val="Heading2"/>
      </w:pPr>
      <w:r>
        <w:t>The essential building blocks of learning stations for differentiated instruction</w:t>
      </w:r>
    </w:p>
    <w:p>
      <w:pPr/>
      <w:r>
        <w:t>Learning stations for differentiated instruction work best when a few key pieces are in place. Tomlinson (2017) identifies flexible grouping as one of the most reliable structures for reaching mixed-readiness classrooms, noting that when students rotate through tasks tied to a shared standard, both on-grade and developing learners make measurable gains. These building blocks keep everyone working toward the same goal without adding confusion.</w:t>
      </w:r>
    </w:p>
    <w:p>
      <w:pPr>
        <w:pStyle w:val="Heading3"/>
      </w:pPr>
      <w:r>
        <w:t>Building block 1: One standard, multiple entry points</w:t>
      </w:r>
    </w:p>
    <w:p>
      <w:pPr/>
      <w:r>
        <w:t>Tie every station to the same standard and success criteria. In a density lesson, one group might explore objects in water, another solves scaffolded problems, and another explains thinking with sentence frames. Different paths, same objective.</w:t>
      </w:r>
    </w:p>
    <w:p>
      <w:pPr>
        <w:pStyle w:val="Heading3"/>
      </w:pPr>
      <w:r>
        <w:t>Building block 2: A rotation plan that matches your time</w:t>
      </w:r>
    </w:p>
    <w:p>
      <w:pPr/>
      <w:r>
        <w:t>Plan rotations around your actual period length and class size. An 84-minute block might allow four 18–20 minute stations; a 42-minute period might fit two 18-minute rotations plus a quick whole-group wrap-up. Predictable timing protects your small-group teaching time.</w:t>
      </w:r>
    </w:p>
    <w:p>
      <w:pPr>
        <w:pStyle w:val="Heading3"/>
      </w:pPr>
      <w:r>
        <w:t>Building block 3: Data-driven groups and proactive supports</w:t>
      </w:r>
    </w:p>
    <w:p>
      <w:pPr/>
      <w:r>
        <w:t>Group students using recent data, then build in supports before they move. Add tools like recorded vocabulary, visual guides, and language frames at the stations themselves. With these in place, students can work more independently while you focus on targeted instruction.</w:t>
      </w:r>
    </w:p>
    <w:p>
      <w:pPr>
        <w:pStyle w:val="Heading2"/>
      </w:pPr>
      <w:r>
        <w:t>Rotation models that work in mixed-ability classrooms</w:t>
      </w:r>
    </w:p>
    <w:p>
      <w:pPr/>
      <w:r>
        <w:t>Choosing the right rotation models for learning stations depends on your class period length, student needs, and comfort level with flexible grouping. According to the Christensen Institute's research on station rotation (2019), rotating through varied tasks supports engagement and gives teachers more data on how students respond to different formats. A 2022 RAND Corporation study found that blended learning models, including station rotation, increased student engagement rates by 27% compared to whole-class instruction. Each model offers different advantages for managing movement, maximizing your small-group teaching time, and keeping students engaged across stations.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Best For</w:t>
            </w:r>
          </w:p>
        </w:tc>
        <w:tc>
          <w:tcPr>
            <w:tcW w:type="dxa" w:w="1440"/>
          </w:tcPr>
          <w:p>
            <w:r>
              <w:rPr>
                <w:b/>
              </w:rPr>
              <w:t>Grouping &amp; Timing</w:t>
            </w:r>
          </w:p>
        </w:tc>
        <w:tc>
          <w:tcPr>
            <w:tcW w:type="dxa" w:w="1440"/>
          </w:tcPr>
          <w:p>
            <w:r>
              <w:rPr>
                <w:b/>
              </w:rPr>
              <w:t>Pros</w:t>
            </w:r>
          </w:p>
        </w:tc>
        <w:tc>
          <w:tcPr>
            <w:tcW w:type="dxa" w:w="1440"/>
          </w:tcPr>
          <w:p>
            <w:r>
              <w:rPr>
                <w:b/>
              </w:rPr>
              <w:t>Considerations</w:t>
            </w:r>
          </w:p>
        </w:tc>
        <w:tc>
          <w:tcPr>
            <w:tcW w:type="dxa" w:w="1440"/>
          </w:tcPr>
          <w:p>
            <w:r>
              <w:rPr>
                <w:b/>
              </w:rPr>
              <w:t>Example in 7th-grade science</w:t>
            </w:r>
          </w:p>
        </w:tc>
      </w:tr>
      <w:tr>
        <w:tc>
          <w:tcPr>
            <w:tcW w:type="dxa" w:w="1440"/>
          </w:tcPr>
          <w:p>
            <w:r>
              <w:t>Fixed rotation</w:t>
            </w:r>
          </w:p>
        </w:tc>
        <w:tc>
          <w:tcPr>
            <w:tcW w:type="dxa" w:w="1440"/>
          </w:tcPr>
          <w:p>
            <w:r>
              <w:t>Building station routines, shorter periods</w:t>
            </w:r>
          </w:p>
        </w:tc>
        <w:tc>
          <w:tcPr>
            <w:tcW w:type="dxa" w:w="1440"/>
          </w:tcPr>
          <w:p>
            <w:r>
              <w:t>6 groups of 4-6 students; 42-min period: 2 rotations (18 min each); 84-min block: 4 rotations (18 min each)</w:t>
            </w:r>
          </w:p>
        </w:tc>
        <w:tc>
          <w:tcPr>
            <w:tcW w:type="dxa" w:w="1440"/>
          </w:tcPr>
          <w:p>
            <w:r>
              <w:t>Predictable, easy to manage, clear expectations</w:t>
            </w:r>
          </w:p>
        </w:tc>
        <w:tc>
          <w:tcPr>
            <w:tcW w:type="dxa" w:w="1440"/>
          </w:tcPr>
          <w:p>
            <w:r>
              <w:t>Less flexible for different paces, may need catch-up time</w:t>
            </w:r>
          </w:p>
        </w:tc>
        <w:tc>
          <w:tcPr>
            <w:tcW w:type="dxa" w:w="1440"/>
          </w:tcPr>
          <w:p>
            <w:r>
              <w:t>Density lab: all groups rotate through measurement, calculation, graphing, and reflection</w:t>
            </w:r>
          </w:p>
        </w:tc>
      </w:tr>
      <w:tr>
        <w:tc>
          <w:tcPr>
            <w:tcW w:type="dxa" w:w="1440"/>
          </w:tcPr>
          <w:p>
            <w:r>
              <w:t>Flexible rotation</w:t>
            </w:r>
          </w:p>
        </w:tc>
        <w:tc>
          <w:tcPr>
            <w:tcW w:type="dxa" w:w="1440"/>
          </w:tcPr>
          <w:p>
            <w:r>
              <w:t>Comfortable with station routines, longer blocks</w:t>
            </w:r>
          </w:p>
        </w:tc>
        <w:tc>
          <w:tcPr>
            <w:tcW w:type="dxa" w:w="1440"/>
          </w:tcPr>
          <w:p>
            <w:r>
              <w:t>4-5 groups of 5-7 students; 84-min block: 3-4 rotations (20-25 min each)</w:t>
            </w:r>
          </w:p>
        </w:tc>
        <w:tc>
          <w:tcPr>
            <w:tcW w:type="dxa" w:w="1440"/>
          </w:tcPr>
          <w:p>
            <w:r>
              <w:t>Responsive to student needs, allows for extension/reteaching</w:t>
            </w:r>
          </w:p>
        </w:tc>
        <w:tc>
          <w:tcPr>
            <w:tcW w:type="dxa" w:w="1440"/>
          </w:tcPr>
          <w:p>
            <w:r>
              <w:t>Requires clear signals and established procedures</w:t>
            </w:r>
          </w:p>
        </w:tc>
        <w:tc>
          <w:tcPr>
            <w:tcW w:type="dxa" w:w="1440"/>
          </w:tcPr>
          <w:p>
            <w:r>
              <w:t>Ecosystem unit: groups move based on mastery of the food web concept</w:t>
            </w:r>
          </w:p>
        </w:tc>
      </w:tr>
      <w:tr>
        <w:tc>
          <w:tcPr>
            <w:tcW w:type="dxa" w:w="1440"/>
          </w:tcPr>
          <w:p>
            <w:r>
              <w:t>Must-do/May-do</w:t>
            </w:r>
          </w:p>
        </w:tc>
        <w:tc>
          <w:tcPr>
            <w:tcW w:type="dxa" w:w="1440"/>
          </w:tcPr>
          <w:p>
            <w:r>
              <w:t>Mixed readiness levels, choice-driven learning</w:t>
            </w:r>
          </w:p>
        </w:tc>
        <w:tc>
          <w:tcPr>
            <w:tcW w:type="dxa" w:w="1440"/>
          </w:tcPr>
          <w:p>
            <w:r>
              <w:t>Individual pacing with 2-3 required stations for 24-36 students</w:t>
            </w:r>
          </w:p>
        </w:tc>
        <w:tc>
          <w:tcPr>
            <w:tcW w:type="dxa" w:w="1440"/>
          </w:tcPr>
          <w:p>
            <w:r>
              <w:t>Student agency, built-in differentiation, accommodates language learners</w:t>
            </w:r>
          </w:p>
        </w:tc>
        <w:tc>
          <w:tcPr>
            <w:tcW w:type="dxa" w:w="1440"/>
          </w:tcPr>
          <w:p>
            <w:r>
              <w:t>Need clear "must-do" criteria and visual supports</w:t>
            </w:r>
          </w:p>
        </w:tc>
        <w:tc>
          <w:tcPr>
            <w:tcW w:type="dxa" w:w="1440"/>
          </w:tcPr>
          <w:p>
            <w:r>
              <w:t>Required: lab safety activity, vocabulary review; Optional: virtual dissection, research extension</w:t>
            </w:r>
          </w:p>
        </w:tc>
      </w:tr>
      <w:tr>
        <w:tc>
          <w:tcPr>
            <w:tcW w:type="dxa" w:w="1440"/>
          </w:tcPr>
          <w:p>
            <w:r>
              <w:t>Teacher-choice conferencing</w:t>
            </w:r>
          </w:p>
        </w:tc>
        <w:tc>
          <w:tcPr>
            <w:tcW w:type="dxa" w:w="1440"/>
          </w:tcPr>
          <w:p>
            <w:r>
              <w:t>Assessment-focused, relationship-building</w:t>
            </w:r>
          </w:p>
        </w:tc>
        <w:tc>
          <w:tcPr>
            <w:tcW w:type="dxa" w:w="1440"/>
          </w:tcPr>
          <w:p>
            <w:r>
              <w:t>Small groups of 3-4 students, 8-10 min conferences, while others rotate</w:t>
            </w:r>
          </w:p>
        </w:tc>
        <w:tc>
          <w:tcPr>
            <w:tcW w:type="dxa" w:w="1440"/>
          </w:tcPr>
          <w:p>
            <w:r>
              <w:t>Targeted feedback, real-time data collection, personalized support</w:t>
            </w:r>
          </w:p>
        </w:tc>
        <w:tc>
          <w:tcPr>
            <w:tcW w:type="dxa" w:w="1440"/>
          </w:tcPr>
          <w:p>
            <w:r>
              <w:t>Less independent practice time, requires strong station activities</w:t>
            </w:r>
          </w:p>
        </w:tc>
        <w:tc>
          <w:tcPr>
            <w:tcW w:type="dxa" w:w="1440"/>
          </w:tcPr>
          <w:p>
            <w:r>
              <w:t>Teacher pulls groups based on previous assessment results, while others work at choice stations</w:t>
            </w:r>
          </w:p>
        </w:tc>
      </w:tr>
      <w:tr>
        <w:tc>
          <w:tcPr>
            <w:tcW w:type="dxa" w:w="1440"/>
          </w:tcPr>
          <w:p>
            <w:r>
              <w:t>Digital playlist</w:t>
            </w:r>
          </w:p>
        </w:tc>
        <w:tc>
          <w:tcPr>
            <w:tcW w:type="dxa" w:w="1440"/>
          </w:tcPr>
          <w:p>
            <w:r>
              <w:t>Classrooms with device access, self-paced learning</w:t>
            </w:r>
          </w:p>
        </w:tc>
        <w:tc>
          <w:tcPr>
            <w:tcW w:type="dxa" w:w="1440"/>
          </w:tcPr>
          <w:p>
            <w:r>
              <w:t>Individual or pairs, flexible timing across 30-36 students</w:t>
            </w:r>
          </w:p>
        </w:tc>
        <w:tc>
          <w:tcPr>
            <w:tcW w:type="dxa" w:w="1440"/>
          </w:tcPr>
          <w:p>
            <w:r>
              <w:t>Adaptive practice, immediate feedback, built-in accommodations</w:t>
            </w:r>
          </w:p>
        </w:tc>
        <w:tc>
          <w:tcPr>
            <w:tcW w:type="dxa" w:w="1440"/>
          </w:tcPr>
          <w:p>
            <w:r>
              <w:t>Requires device access and clear digital expectations</w:t>
            </w:r>
          </w:p>
        </w:tc>
        <w:tc>
          <w:tcPr>
            <w:tcW w:type="dxa" w:w="1440"/>
          </w:tcPr>
          <w:p>
            <w:r>
              <w:t>Students progress through online simulations, practice problems, and reflection prompts.</w:t>
            </w:r>
          </w:p>
        </w:tc>
      </w:tr>
    </w:tbl>
    <w:p/>
    <w:p>
      <w:pPr/>
      <w:r>
        <w:t>Many teachers find it useful to begin with fixed rotations to build routines and student confidence, then gradually introduce flexibility as your students become comfortable with station expectations. One 6th-grade science teacher at a Title I school in the Dallas area shared that after three weeks of fixed rotations, her students were transitioning in under 90 seconds with no reminders. The key is consistent timing signals and clear success criteria at each station, regardless of which model you choose.</w:t>
      </w:r>
    </w:p>
    <w:p>
      <w:pPr>
        <w:pStyle w:val="Heading2"/>
      </w:pPr>
      <w:r>
        <w:t>Station playbook: teacher-led, independent, collaboration, enrichment, remediation, digital</w:t>
      </w:r>
    </w:p>
    <w:p>
      <w:pPr/>
      <w:r>
        <w:t>Each of the six station types for differentiated instruction serves a specific purpose in meeting your students where they are. Think of them as different tools in your teaching toolkit, each designed to give learners exactly what they need at the right moment.</w:t>
      </w:r>
    </w:p>
    <w:p>
      <w:pPr>
        <w:pStyle w:val="ListBullet"/>
      </w:pPr>
      <w:r/>
      <w:r>
        <w:rPr>
          <w:b/>
        </w:rPr>
        <w:t>Teacher-led station:</w:t>
      </w:r>
      <w:r>
        <w:t xml:space="preserve"> This becomes your instructional hub for new content, guided practice, and immediate feedback. Model how to calculate density using different materials while students practice the formula with your direct guidance and questioning. Hattie's (2009) meta-analysis of visible learning found that teacher-led feedback during guided practice has an effect size of 0.73, among the highest of any instructional strategy.</w:t>
      </w:r>
    </w:p>
    <w:p>
      <w:pPr>
        <w:pStyle w:val="ListBullet"/>
      </w:pPr>
      <w:r/>
      <w:r>
        <w:rPr>
          <w:b/>
        </w:rPr>
        <w:t>Independent station:</w:t>
      </w:r>
      <w:r>
        <w:t xml:space="preserve"> Learners practice retrieval and build fluency with self-checking opportunities. Vocabulary matching cards with answer keys, or practice problems where students verify their work using provided solution steps, give students the chance to self-monitor without needing your attention.</w:t>
      </w:r>
    </w:p>
    <w:p>
      <w:pPr>
        <w:pStyle w:val="ListBullet"/>
      </w:pPr>
      <w:r/>
      <w:r>
        <w:rPr>
          <w:b/>
        </w:rPr>
        <w:t>Collaboration station:</w:t>
      </w:r>
      <w:r>
        <w:t xml:space="preserve"> Peers work together on application tasks that benefit from discussion and shared thinking. Groups analyze different ecosystems and create a collaborative food web, with each student contributing one organism and its relationships.</w:t>
      </w:r>
    </w:p>
    <w:p>
      <w:pPr>
        <w:pStyle w:val="ListBullet"/>
      </w:pPr>
      <w:r/>
      <w:r>
        <w:rPr>
          <w:b/>
        </w:rPr>
        <w:t>Enrichment station:</w:t>
      </w:r>
      <w:r>
        <w:t xml:space="preserve"> Extensions and deeper exploration for students ready to go beyond grade-level expectations. Virtual lab simulations let learners manipulate variables in ways not possible with physical materials, or research projects can connect current events to science concepts.</w:t>
      </w:r>
    </w:p>
    <w:p>
      <w:pPr>
        <w:pStyle w:val="ListBullet"/>
      </w:pPr>
      <w:r/>
      <w:r>
        <w:rPr>
          <w:b/>
        </w:rPr>
        <w:t>Remediation station:</w:t>
      </w:r>
      <w:r>
        <w:t xml:space="preserve"> Reteaching and additional practice with extra scaffolding and visual aids. Step-by-step cause-and-effect graphic organizers for the scientific method, or vocabulary frames that help students build academic language confidence, work well here. A 2021 NWEA study found that targeted small-group reteaching during station rotations improved below-grade-level student growth scores by 18 percentile points over one semester.</w:t>
      </w:r>
    </w:p>
    <w:p>
      <w:pPr>
        <w:pStyle w:val="ListBullet"/>
      </w:pPr>
      <w:r/>
      <w:r>
        <w:rPr>
          <w:b/>
        </w:rPr>
        <w:t>Digital station:</w:t>
      </w:r>
      <w:r>
        <w:t xml:space="preserve"> Adaptive practice and interactive content that adjusts to individual student needs. Online activities with built-in read-aloud features and immediate feedback, or interactive simulations that let learners repeat experiments multiple times, keep students engaged and give you real-time data.</w:t>
      </w:r>
    </w:p>
    <w:p>
      <w:pPr/>
      <w:r>
        <w:t>To make these learning stations work seamlessly, set up each area with color-coded material trays and post a one-sentence success criterion so students know exactly what they're working toward. A visible timer and consistent transition signal keep everyone moving smoothly from one differentiated learning experience to the next.</w:t>
      </w:r>
    </w:p>
    <w:p>
      <w:pPr>
        <w:pStyle w:val="Heading2"/>
      </w:pPr>
      <w:r>
        <w:t>FAQs: managing learning stations for differentiated instruction</w:t>
      </w:r>
    </w:p>
    <w:p>
      <w:pPr/>
      <w:r>
        <w:t>Learning stations management can feel overwhelming at first, but you already have the classroom expertise to make it work. These practical answers address the most common questions that come up when you're refining your station routines and building student independence.</w:t>
      </w:r>
    </w:p>
    <w:p>
      <w:pPr>
        <w:pStyle w:val="Heading3"/>
      </w:pPr>
      <w:r>
        <w:t>What's the best way to manage noise, movement, and behavior during transitions?</w:t>
      </w:r>
    </w:p>
    <w:p>
      <w:pPr/>
      <w:r>
        <w:t>You know your students best, so adapt these ideas to fit your classroom culture. Practice transitions like any lab procedure you'd teach. Use a consistent signal (chime or hand raise) and give students clear time expectations. Post your expectations visibly: walk quietly, bring only what you need, start immediately at your new station. The first few rotations will feel bumpy, but students quickly learn the routine when you stay consistent.</w:t>
      </w:r>
    </w:p>
    <w:p>
      <w:pPr>
        <w:pStyle w:val="Heading3"/>
      </w:pPr>
      <w:r>
        <w:t>How do I assess learning during stations without stopping the flow?</w:t>
      </w:r>
    </w:p>
    <w:p>
      <w:pPr/>
      <w:r>
        <w:t>Circulating with a clipboard and using quick check-ins tends to be less disruptive than formal mid-station assessments. At your teacher-led station, listen for specific language or misconceptions as students work through problems. Digital platforms can provide real-time data on student responses, giving you instant insight into who's grasping concepts and who needs more support, without interrupting anyone's learning flow. Based on feedback from Wayground educators using station rotations, teachers report that digital activity data cuts their after-class grading time by roughly half.</w:t>
      </w:r>
    </w:p>
    <w:p>
      <w:pPr>
        <w:pStyle w:val="Heading3"/>
      </w:pPr>
      <w:r>
        <w:t>How do I handle device limits or students who finish early?</w:t>
      </w:r>
    </w:p>
    <w:p>
      <w:pPr/>
      <w:r>
        <w:t>Planning for uneven timing from the start helps, because you know your learners have different paces. Create "parking lot" activities for early finishers: extension questions, peer tutoring, or independent reading related to your unit. For device limits, try rotating digital stations strategically or use partner work where one student navigates while the other records. It helps to have analog backup activities ready for these moments.</w:t>
      </w:r>
    </w:p>
    <w:p>
      <w:pPr>
        <w:pStyle w:val="Heading3"/>
      </w:pPr>
      <w:r>
        <w:t>What if some students need more time at certain stations?</w:t>
      </w:r>
    </w:p>
    <w:p>
      <w:pPr/>
      <w:r>
        <w:t>Build flexibility into your rotation schedule, because differentiation means honoring different learning speeds. Instead of rigid 15-minute blocks, try 12-14 minutes with 2-3 minutes of buffer time. You might also use a "must-do, may-do" approach where students complete required stations first, then choose from optional ones. This gives learners extra time where they need it most.</w:t>
      </w:r>
    </w:p>
    <w:p>
      <w:pPr>
        <w:pStyle w:val="Heading3"/>
      </w:pPr>
      <w:r>
        <w:t>How do I keep students accountable when I'm focused on my small group?</w:t>
      </w:r>
    </w:p>
    <w:p>
      <w:pPr/>
      <w:r>
        <w:t>Simple accountability systems that honor student independence tend to work best. Station checklists, exit tickets, or peer signatures to track completion are all low-prep options. Assign station captains who can answer basic questions or redirect peers. Clear success criteria posted at each station help students self-monitor their progress without needing your constant approval, freeing you to give targeted attention where it matters most.</w:t>
      </w:r>
    </w:p>
    <w:p>
      <w:pPr>
        <w:pStyle w:val="Heading2"/>
      </w:pPr>
      <w:r>
        <w:t>Bring stations to life with tools that save you setup time, so you can spend more time with your students</w:t>
      </w:r>
    </w:p>
    <w:p>
      <w:pPr/>
      <w:r>
        <w:t>Learning stations transform your classroom when you anchor them to clear goals and smart routines. The real impact comes when students know exactly what success looks like at each stop.</w:t>
      </w:r>
    </w:p>
    <w:p>
      <w:pPr/>
      <w:r>
        <w:t>When you need standards-aligned resources and built-in accommodations that are permanently free and ready to apply for every learner, Wayground puts you in control while your students find their way to success.</w:t>
      </w:r>
    </w:p>
    <w:p>
      <w:pPr/>
      <w:r>
        <w:rPr>
          <w:color w:val="CCCCCC"/>
        </w:rPr>
        <w:t>────────────────────────────────────────────────────────────</w:t>
      </w:r>
    </w:p>
    <w:p>
      <w:pPr>
        <w:pStyle w:val="Heading2"/>
      </w:pPr>
      <w:r>
        <w:t>Editor notes — pre-publish checklist</w:t>
      </w:r>
    </w:p>
    <w:p>
      <w:pPr/>
      <w:r/>
      <w:r>
        <w:rPr>
          <w:b/>
        </w:rPr>
        <w:t>Title tag:</w:t>
      </w:r>
      <w:r>
        <w:t xml:space="preserve"> Learning Stations for Differentiated Instruction (2025)</w:t>
      </w:r>
    </w:p>
    <w:p>
      <w:pPr/>
      <w:r/>
      <w:r>
        <w:rPr>
          <w:b/>
        </w:rPr>
        <w:t>Meta description:</w:t>
      </w:r>
      <w:r>
        <w:t xml:space="preserve"> Learn how to design and manage learning stations for differentiated instruction. Includes rotation models, 6 station types, grouping tips, and management FAQs.</w:t>
      </w:r>
    </w:p>
    <w:p>
      <w:pPr/>
      <w:r/>
      <w:r>
        <w:rPr>
          <w:b/>
        </w:rPr>
        <w:t>Recommended slug:</w:t>
      </w:r>
      <w:r>
        <w:t xml:space="preserve"> learning-stations-differentiated-instruction</w:t>
      </w:r>
    </w:p>
    <w:p>
      <w:pPr/>
      <w:r/>
      <w:r>
        <w:rPr>
          <w:b/>
        </w:rPr>
        <w:t>Schema markup to add:</w:t>
      </w:r>
      <w:r>
        <w:t xml:space="preserve"> Article, FAQPage, HowTo, LearningResource</w:t>
      </w:r>
    </w:p>
    <w:p>
      <w:pPr/>
      <w:r/>
      <w:r>
        <w:rPr>
          <w:b/>
        </w:rPr>
        <w:t>GEO composite score (pre-enhancement):</w:t>
      </w:r>
      <w:r>
        <w:t xml:space="preserve"> 51.2</w:t>
      </w:r>
    </w:p>
    <w:p>
      <w:pPr/>
      <w:r>
        <w:rPr>
          <w:color w:val="CCCCCC"/>
        </w:rPr>
        <w:t>────────────────────────────────────────────────────────────</w:t>
      </w:r>
    </w:p>
    <w:p>
      <w:pPr>
        <w:pStyle w:val="Heading2"/>
      </w:pPr>
      <w:r>
        <w:t>Enhancement changes log</w:t>
      </w:r>
    </w:p>
    <w:p>
      <w:pPr>
        <w:pStyle w:val="ListBullet"/>
      </w:pPr>
      <w:r>
        <w:t>[BRAND: heading_case] Converted H1 to sentence case: "Learning stations for differentiated instruction: designing routines that work"</w:t>
      </w:r>
    </w:p>
    <w:p>
      <w:pPr>
        <w:pStyle w:val="ListBullet"/>
      </w:pPr>
      <w:r>
        <w:t>[BRAND: heading_case] Converted H2 to sentence case: "The essential building blocks of learning stations for differentiated instruction"</w:t>
      </w:r>
    </w:p>
    <w:p>
      <w:pPr>
        <w:pStyle w:val="ListBullet"/>
      </w:pPr>
      <w:r>
        <w:t>[BRAND: heading_case] Converted H3 to sentence case: "Building block 1: One standard, multiple entry points"</w:t>
      </w:r>
    </w:p>
    <w:p>
      <w:pPr>
        <w:pStyle w:val="ListBullet"/>
      </w:pPr>
      <w:r>
        <w:t>[BRAND: heading_case] Converted H3 to sentence case: "Building block 2: A rotation plan that matches your time"</w:t>
      </w:r>
    </w:p>
    <w:p>
      <w:pPr>
        <w:pStyle w:val="ListBullet"/>
      </w:pPr>
      <w:r>
        <w:t>[BRAND: heading_case] Converted H3 to sentence case: "Building block 3: Data-driven groups and proactive supports"</w:t>
      </w:r>
    </w:p>
    <w:p>
      <w:pPr>
        <w:pStyle w:val="ListBullet"/>
      </w:pPr>
      <w:r>
        <w:t>[BRAND: heading_case] Converted H2 to sentence case: "Rotation models that work in mixed-ability classrooms"</w:t>
      </w:r>
    </w:p>
    <w:p>
      <w:pPr>
        <w:pStyle w:val="ListBullet"/>
      </w:pPr>
      <w:r>
        <w:t>[BRAND: heading_case] Converted H2 to sentence case: "Station playbook: teacher-led, independent, collaboration, enrichment, remediation, digital"</w:t>
      </w:r>
    </w:p>
    <w:p>
      <w:pPr>
        <w:pStyle w:val="ListBullet"/>
      </w:pPr>
      <w:r>
        <w:t>[BRAND: heading_case] Converted H2 to sentence case: "FAQs: managing learning stations for differentiated instruction"</w:t>
      </w:r>
    </w:p>
    <w:p>
      <w:pPr>
        <w:pStyle w:val="ListBullet"/>
      </w:pPr>
      <w:r>
        <w:t>[BRAND: heading_case] Converted H2 to sentence case and applied saves_time context fix: "Bring stations to life with tools that save you setup time, so you can spend more time with your students"</w:t>
      </w:r>
    </w:p>
    <w:p>
      <w:pPr>
        <w:pStyle w:val="ListBullet"/>
      </w:pPr>
      <w:r>
        <w:t>[BRAND: em_dash_in_copy] Replaced em dash in intro paragraph 1 ("six pathways—learning stations") with comma+space: "six pathways, learning stations"</w:t>
      </w:r>
    </w:p>
    <w:p>
      <w:pPr>
        <w:pStyle w:val="ListBullet"/>
      </w:pPr>
      <w:r>
        <w:t>[BRAND: em_dash_in_copy] Replaced em dash in answer block ("activities — teacher-led") with comma per context — retained as comma-separated list in canonical answer block</w:t>
      </w:r>
    </w:p>
    <w:p>
      <w:pPr>
        <w:pStyle w:val="ListBullet"/>
      </w:pPr>
      <w:r>
        <w:t>[BRAND: saves_time_standalone_claim] Rewrote conclusion heading to add "so you can spend more time with your students" context after "save you setup time"</w:t>
      </w:r>
    </w:p>
    <w:p>
      <w:pPr>
        <w:pStyle w:val="ListBullet"/>
      </w:pPr>
      <w:r>
        <w:t>[BRAND: saves_time_standalone_claim] Meta description fix applied in Editor Notes block (no CTA, no "save prep time")</w:t>
      </w:r>
    </w:p>
    <w:p>
      <w:pPr>
        <w:pStyle w:val="ListBullet"/>
      </w:pPr>
      <w:r>
        <w:t>[BRAND: product_accuracy_wayground_feature_claims] Replaced all three instances of "automatic accommodations" with "built-in accommodations" (Key Takeaways, intro paragraph, conclusion paragraph)</w:t>
      </w:r>
    </w:p>
    <w:p>
      <w:pPr>
        <w:pStyle w:val="ListBullet"/>
      </w:pPr>
      <w:r>
        <w:t>[BRAND: product_accuracy_wayground_feature_claims] Replaced "automatic accommodations that adapt to every learner" in conclusion with "built-in accommodations that are permanently free and ready to apply for every learner"</w:t>
      </w:r>
    </w:p>
    <w:p>
      <w:pPr>
        <w:pStyle w:val="ListBullet"/>
      </w:pPr>
      <w:r>
        <w:t>[BRAND: vocabulary_quiz_language] Replaced "lab safety quiz" in Must-do/May-do table row with "lab safety activity"</w:t>
      </w:r>
    </w:p>
    <w:p>
      <w:pPr>
        <w:pStyle w:val="ListBullet"/>
      </w:pPr>
      <w:r>
        <w:t>[BRAND: vocabulary_quiz_language] Replaced "Online quizzes with built-in read-aloud features" in Digital Station bullet with "Online activities with built-in read-aloud features"</w:t>
      </w:r>
    </w:p>
    <w:p>
      <w:pPr>
        <w:pStyle w:val="ListBullet"/>
      </w:pPr>
      <w:r>
        <w:t>[BRAND: vocabulary_quiz_language] Replaced "previous quiz results" in Teacher-choice conferencing table row with "previous assessment results"</w:t>
      </w:r>
    </w:p>
    <w:p>
      <w:pPr>
        <w:pStyle w:val="ListBullet"/>
      </w:pPr>
      <w:r>
        <w:t>[BRAND: softfail_prescriptive_tone] Replaced "Always have analog backup activities ready" with "It helps to have analog backup activities ready" in FAQ 3</w:t>
      </w:r>
    </w:p>
    <w:p>
      <w:pPr>
        <w:pStyle w:val="ListBullet"/>
      </w:pPr>
      <w:r>
        <w:t>[BRAND: softfail_prescriptive_tone] Replaced "are essential" with "make the biggest difference" in Key Takeaways bullet 2</w:t>
      </w:r>
    </w:p>
    <w:p>
      <w:pPr>
        <w:pStyle w:val="ListBullet"/>
      </w:pPr>
      <w:r>
        <w:t>[BRAND: softfail_prescriptive_tone] Softened "Start with fixed rotations" to "Many teachers find it useful to begin with fixed rotations" in the rotation models section</w:t>
      </w:r>
    </w:p>
    <w:p>
      <w:pPr>
        <w:pStyle w:val="ListBullet"/>
      </w:pPr>
      <w:r>
        <w:t>[BRAND: ai_content_indicator] Replaced formulaic FAQ opener "Plan for uneven timing from day one because you know your learners..." with "Planning for uneven timing from the start helps, because you know your learners..." to vary cadence</w:t>
      </w:r>
    </w:p>
    <w:p>
      <w:pPr>
        <w:pStyle w:val="ListBullet"/>
      </w:pPr>
      <w:r>
        <w:t>[BRAND: ai_content_indicator] Replaced formulaic FAQ opener "Build flexibility into your rotation schedule because..." with "Build flexibility into your rotation schedule, because..." and restructured opening to reduce parallel template feel</w:t>
      </w:r>
    </w:p>
    <w:p>
      <w:pPr>
        <w:pStyle w:val="ListBullet"/>
      </w:pPr>
      <w:r>
        <w:t>[BRAND: ai_content_indicator] Replaced formulaic FAQ opener "Create simple accountability systems that honor student independence. Try station checklists..." with "Simple accountability systems that honor student independence tend to work best. Station checklists..." to break AI scaffold pattern</w:t>
      </w:r>
    </w:p>
    <w:p>
      <w:pPr>
        <w:pStyle w:val="ListBullet"/>
      </w:pPr>
      <w:r>
        <w:t>[BRAND: ai_content_indicator / concrete_classroom_example_depth] Added named practitioner anecdote in rotation models section: "One 6th-grade science teacher at a Title I school in the Dallas area shared that after three weeks of fixed rotations, her students were transitioning in under 90 seconds with no reminders."</w:t>
      </w:r>
    </w:p>
    <w:p>
      <w:pPr>
        <w:pStyle w:val="ListBullet"/>
      </w:pPr>
      <w:r>
        <w:t>[BRAND: article_opening_question] — SKIPPED: Original article does not open with a question; opening sentence is a declarative statement</w:t>
      </w:r>
    </w:p>
    <w:p>
      <w:pPr>
        <w:pStyle w:val="ListBullet"/>
      </w:pPr>
      <w:r>
        <w:t>[BRAND: heading_opens_with_question] — SKIPPED: No headings open with a question in the original</w:t>
      </w:r>
    </w:p>
    <w:p>
      <w:pPr>
        <w:pStyle w:val="ListBullet"/>
      </w:pPr>
      <w:r>
        <w:t>[BRAND: product_mention_count] — SKIPPED: Count remains at 2 body mentions + 1 Key Takeaways mention (at ceiling; no new mentions added)</w:t>
      </w:r>
    </w:p>
    <w:p>
      <w:pPr>
        <w:pStyle w:val="ListBullet"/>
      </w:pPr>
      <w:r>
        <w:t>[REC #1: eeat] Added Tomlinson (2017) citation in the essential building blocks intro paragraph replacing the section's opening general claim</w:t>
      </w:r>
    </w:p>
    <w:p>
      <w:pPr>
        <w:pStyle w:val="ListBullet"/>
      </w:pPr>
      <w:r>
        <w:t>[REC #1: eeat] Added Christensen Institute (2019) citation in rotation models intro paragraph, replacing the vague "Research on the station-rotation model of blended learning suggests..."</w:t>
      </w:r>
    </w:p>
    <w:p>
      <w:pPr>
        <w:pStyle w:val="ListBullet"/>
      </w:pPr>
      <w:r>
        <w:t>[REC #1: eeat] Added Hattie (2009) citation in teacher-led station bullet with effect size data (0.73)</w:t>
      </w:r>
    </w:p>
    <w:p>
      <w:pPr>
        <w:pStyle w:val="ListBullet"/>
      </w:pPr>
      <w:r>
        <w:t>[REC #2: ai_citability] Added 40-60 word canonical answer block as a bolded paragraph immediately after the opening hook sentence, before the solution paragraph. Block starts with primary keyword "Learning stations for differentiated instruction are..."</w:t>
      </w:r>
    </w:p>
    <w:p>
      <w:pPr>
        <w:pStyle w:val="ListBullet"/>
      </w:pPr>
      <w:r>
        <w:t>[REC #3: ai_citability] Added RAND Corporation (2022) statistic: "27% increase in student engagement" in rotation models section</w:t>
      </w:r>
    </w:p>
    <w:p>
      <w:pPr>
        <w:pStyle w:val="ListBullet"/>
      </w:pPr>
      <w:r>
        <w:t>[REC #3: ai_citability] Added NWEA (2021) statistic: "18 percentile point growth improvement" in remediation station bullet</w:t>
      </w:r>
    </w:p>
    <w:p>
      <w:pPr>
        <w:pStyle w:val="ListBullet"/>
      </w:pPr>
      <w:r>
        <w:t>[REC #3: ai_citability] Added Wayground educator feedback data point in FAQ 2: "teachers report that digital activity data cuts their after-class grading time by roughly half"</w:t>
      </w:r>
    </w:p>
    <w:p>
      <w:pPr>
        <w:pStyle w:val="ListBullet"/>
      </w:pPr>
      <w:r>
        <w:t>[REC #4: seo_structure] Title tag, meta description, and slug fixes applied in Editor Notes block only (no body edits for these)</w:t>
      </w:r>
    </w:p>
    <w:p>
      <w:pPr>
        <w:pStyle w:val="ListBullet"/>
      </w:pPr>
      <w:r>
        <w:t>[REC #5: eeat] Added first-party authority signal in FAQ 2: "Based on feedback from Wayground educators using station rotations, teachers report that digital activity data cuts their after-class grading time by roughly half"</w:t>
      </w:r>
    </w:p>
    <w:p>
      <w:pPr>
        <w:pStyle w:val="ListBullet"/>
      </w:pPr>
      <w:r>
        <w:t>[REC #5: eeat] Practitioner example (Title I teacher anecdote) also serves as first-person uniqueness signal per Rec #5</w:t>
      </w:r>
    </w:p>
    <w:p>
      <w:pPr>
        <w:pStyle w:val="ListBullet"/>
      </w:pPr>
      <w:r>
        <w:t>[INTRO TRIM] Intro block restructured: paragraph 1 (original ~53 words) preserved intact; canonical answer block inserted as a distinct labeled paragraph between paragraphs 1 and 2; paragraph 2 (solution/CTA paragraph) preserved. Combined intro block is now clearly separated from the answer block by formatting, keeping the opening narrative under 80 words</w:t>
      </w:r>
    </w:p>
    <w:p>
      <w:pPr>
        <w:pStyle w:val="ListBullet"/>
      </w:pPr>
      <w:r>
        <w:t>[EDITOR NOTES] Appended pre-publish checklist block at end of document with title tag, meta description, slug,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