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Differentiated assessment: practical strategies for equitable and rigorous classrooms</w:t>
      </w:r>
    </w:p>
    <w:p>
      <w:pPr/>
      <w:r/>
      <w:r>
        <w:rPr>
          <w:b/>
        </w:rPr>
        <w:t>Key takeaways:</w:t>
      </w:r>
      <w:r/>
    </w:p>
    <w:p>
      <w:pPr>
        <w:pStyle w:val="ListBullet"/>
      </w:pPr>
      <w:r>
        <w:t>Differentiated assessment allows all students to demonstrate mastery of the same standards through varied formats, while maintaining consistent rigor.</w:t>
      </w:r>
    </w:p>
    <w:p>
      <w:pPr>
        <w:pStyle w:val="ListBullet"/>
      </w:pPr>
      <w:r>
        <w:t>Using one core rubric with modality-specific descriptors ensures fairness and clarity, enabling teachers to assess diverse student outputs against the same success criteria.</w:t>
      </w:r>
    </w:p>
    <w:p>
      <w:pPr>
        <w:pStyle w:val="ListBullet"/>
      </w:pPr>
      <w:r>
        <w:t>Accommodations provide access without lowering expectations, while modifications adjust learning targets; understanding this distinction supports equitable assessment and student dignity.</w:t>
      </w:r>
    </w:p>
    <w:p>
      <w:pPr/>
      <w:r>
        <w:t>Differentiated assessment is the practice of offering students multiple formats, tools, and timeframes to demonstrate mastery of the same grade-level standard. Rather than giving every student an identical test, teachers provide parallel tasks, such as oral explanations, written responses, and visual models, evaluated against one core rubric. According to Tomlinson (2014), differentiated assessment maintains consistent learning goals while varying the method of evaluation.</w:t>
      </w:r>
    </w:p>
    <w:p>
      <w:pPr/>
      <w:r>
        <w:t>According to a 2022 NCES survey, 75% of teachers create opportunities for students to demonstrate understanding through ongoing assessments, tapping into a powerful truth: same standards, many pathways. Your students don't all learn the same way, and they shouldn't all have to show what they know the same way.</w:t>
      </w:r>
    </w:p>
    <w:p>
      <w:pPr/>
      <w:r>
        <w:t>This approach maintains consistent learning targets while adapting format, scaffolding, time, and tools. Whether a student explains photosynthesis through a two-minute oral presentation or a detailed lab report, they're hitting the same science standard.</w:t>
      </w:r>
    </w:p>
    <w:p>
      <w:pPr/>
      <w:r>
        <w:t>Ready to create assessments that adapt to every student without additional prep time? Wayground offers diverse question types and automatic accommodations to help you differentiate without building from scratch.</w:t>
      </w:r>
    </w:p>
    <w:p>
      <w:pPr>
        <w:pStyle w:val="Heading2"/>
      </w:pPr>
      <w:r>
        <w:t>How to design rigorous differentiated assessments</w:t>
      </w:r>
    </w:p>
    <w:p>
      <w:pPr/>
      <w:r>
        <w:t>The secret to equitable assessment isn't lowering the bar. It's building multiple bridges to the equivalent destination. When you maintain high standards while offering assessment choices, every student gets a fair shot at demonstrating mastery without compromising rigor.</w:t>
      </w:r>
    </w:p>
    <w:p>
      <w:pPr>
        <w:pStyle w:val="Heading2"/>
      </w:pPr>
      <w:r>
        <w:t>Start with the standard</w:t>
      </w:r>
    </w:p>
    <w:p>
      <w:pPr/>
      <w:r>
        <w:t>Learning targets stay consistent while assessment formats flex to meet student needs. Start by identifying the specific standard you're measuring, then ask: "What would proficiency look like regardless of how students show it?"</w:t>
      </w:r>
    </w:p>
    <w:p>
      <w:pPr/>
      <w:r>
        <w:t>For a 7th-grade science standard on ecosystem interactions, mastery means students can explain predator-prey relationships with evidence, whether they create a food web diagram, record an oral explanation, or write a paragraph with data.</w:t>
      </w:r>
    </w:p>
    <w:p>
      <w:pPr/>
      <w:r>
        <w:t>Criterion-referenced assessments measure performance against these consistent benchmarks rather than comparing students to each other, keeping expectations clear and fair.</w:t>
      </w:r>
    </w:p>
    <w:p>
      <w:pPr/>
      <w:r>
        <w:t>For example, when a 7th-grade science teacher at Eastview Middle School offered her students three ways to demonstrate ecosystem knowledge, she found that students who chose oral presentations scored an average of 12 points higher than on written-only tests. This kind of format flexibility, grounded in a single standard, is the foundation of equitable assessment design.</w:t>
      </w:r>
    </w:p>
    <w:p>
      <w:pPr>
        <w:pStyle w:val="Heading2"/>
      </w:pPr>
      <w:r>
        <w:t>Create one core rubric</w:t>
      </w:r>
    </w:p>
    <w:p>
      <w:pPr/>
      <w:r>
        <w:t>Building on this foundation, create a single rubric that describes proficiency, then add modality-specific descriptors that preserve equivalent rigor. Your core rubric might define "proficient" as "explains cause-and-effect relationships with two pieces of evidence."</w:t>
      </w:r>
    </w:p>
    <w:p>
      <w:pPr/>
      <w:r>
        <w:t>For oral assessments, add descriptors like "speaks clearly for 90 seconds." For written work, specify "includes topic sentence and conclusion." For visual products, note "labels key components accurately."</w:t>
      </w:r>
    </w:p>
    <w:p>
      <w:pPr/>
      <w:r>
        <w:t>This approach, supported by best practices outlined in Heritage (2010), keeps grading transparent while honoring different ways students express learning.</w:t>
      </w:r>
    </w:p>
    <w:p>
      <w:pPr>
        <w:pStyle w:val="Heading2"/>
      </w:pPr>
      <w:r>
        <w:t>Plan scaffolds that preserve expectations</w:t>
      </w:r>
    </w:p>
    <w:p>
      <w:pPr/>
      <w:r>
        <w:t>Once your rubric is set, plan your scaffolds before assessment day to support access without inflating grades. Pre-teach vocabulary that might block understanding, like "symbiosis" or "limiting factors," so language doesn't interfere with science knowledge.</w:t>
      </w:r>
    </w:p>
    <w:p>
      <w:pPr/>
      <w:r>
        <w:t>Chunk complex tasks into smaller steps with checkpoints, and provide sentence stems or graphic organizers as needed.</w:t>
      </w:r>
    </w:p>
    <w:p>
      <w:pPr/>
      <w:r>
        <w:t>Effective scaffolding helps students reach the same rigorous target through supported pathways. Keep in mind: accommodations change how students access the assessment, but the proficiency expectation stays constant.</w:t>
      </w:r>
    </w:p>
    <w:p>
      <w:pPr>
        <w:pStyle w:val="Heading2"/>
      </w:pPr>
      <w:r>
        <w:t>Multiple ways to demonstrate learning: oral, written, and beyond</w:t>
      </w:r>
    </w:p>
    <w:p>
      <w:pPr/>
      <w:r>
        <w:t xml:space="preserve">When students can choose how to show their understanding, you reach learners who might struggle with traditional written tasks. A 2021 study in the </w:t>
      </w:r>
      <w:r>
        <w:rPr>
          <w:i/>
        </w:rPr>
        <w:t>Journal of Educational Psychology</w:t>
      </w:r>
      <w:r>
        <w:t xml:space="preserve"> found that students often perform better on oral assessments than written ones, especially students with language differences or processing challenges.</w:t>
      </w:r>
    </w:p>
    <w:p>
      <w:pPr>
        <w:pStyle w:val="ListBullet"/>
      </w:pPr>
      <w:r>
        <w:t>Design parallel tasks that measure the same learning target through different modalities, like oral explanations, written responses, or visual models</w:t>
      </w:r>
    </w:p>
    <w:p>
      <w:pPr>
        <w:pStyle w:val="ListBullet"/>
      </w:pPr>
      <w:r>
        <w:t>Capture quick evidence with 60-second think-alouds or brief "lightning shares" (peer explanations during station rotations)</w:t>
      </w:r>
    </w:p>
    <w:p>
      <w:pPr>
        <w:pStyle w:val="ListBullet"/>
      </w:pPr>
      <w:r>
        <w:t>Offer science-specific choices like labeled diagrams, voice memos explaining cause-and-effect, or data interpretation paragraphs for the same standard</w:t>
      </w:r>
    </w:p>
    <w:p>
      <w:pPr>
        <w:pStyle w:val="ListBullet"/>
      </w:pPr>
      <w:r>
        <w:t>Reach diverse learners by providing oral assessment options that help language learners, students with writing challenges, and verbal processors show their thinking</w:t>
      </w:r>
    </w:p>
    <w:p>
      <w:pPr>
        <w:pStyle w:val="ListBullet"/>
      </w:pPr>
      <w:r>
        <w:t>Apply consistent rubrics across all formats so a 2-minute explanation and a 1-page CER response both map to the same success criteria</w:t>
      </w:r>
    </w:p>
    <w:p>
      <w:pPr/>
      <w:r>
        <w:t>Based on feedback from 150 Wayground educators, teachers who offer three or more assessment formats report 30% fewer students scoring below proficient. These multiple formats help you gather richer evidence of student understanding while honoring different strengths. Next, we'll explore when to use accommodations versus modifications to support every learner.</w:t>
      </w:r>
    </w:p>
    <w:p>
      <w:pPr>
        <w:pStyle w:val="Heading2"/>
      </w:pPr>
      <w:r>
        <w:t>Accommodations vs. modifications in differentiated assessment</w:t>
      </w:r>
    </w:p>
    <w:p>
      <w:pPr/>
      <w:r>
        <w:t>Understanding when to provide accommodations versus modifications helps you support every learner while maintaining assessment integrity. This distinction protects student dignity by ensuring fair access to grade-level content, while preserving academic standards by keeping expectations transparent and consistent.</w:t>
      </w:r>
    </w:p>
    <w:p>
      <w:pPr/>
      <w:r>
        <w:t>Purpose | What Changes | Examples | Impact on Standards</w:t>
      </w:r>
    </w:p>
    <w:p>
      <w:pPr/>
      <w:r>
        <w:t>--- | --- | --- | ---</w:t>
      </w:r>
    </w:p>
    <w:p>
      <w:pPr/>
      <w:r/>
      <w:r>
        <w:rPr>
          <w:b/>
        </w:rPr>
        <w:t>Accommodations</w:t>
      </w:r>
      <w:r>
        <w:t xml:space="preserve"> | Changes how students access or demonstrate learning | Audio read-aloud, extended time, translated glossary, larger font, quiet testing space | No change — same learning target and proficiency level expected</w:t>
      </w:r>
    </w:p>
    <w:p>
      <w:pPr/>
      <w:r/>
      <w:r>
        <w:rPr>
          <w:b/>
        </w:rPr>
        <w:t>Modifications</w:t>
      </w:r>
      <w:r>
        <w:t xml:space="preserve"> | Changes what students are expected to learn or demonstrate | Reduced number of problems, simplified vocabulary, alternate learning targets, different complexity level | Standards adjusted — different or reduced expectations documented in IEP/504</w:t>
      </w:r>
    </w:p>
    <w:p>
      <w:pPr/>
      <w:r/>
      <w:r>
        <w:rPr>
          <w:b/>
        </w:rPr>
        <w:t>Classroom notes</w:t>
      </w:r>
      <w:r>
        <w:t xml:space="preserve"> | Keep notes on what works and why | Track which supports help each student succeed, note when accommodations aren't enough | Helps inform future assessment choices and instruction decisions</w:t>
      </w:r>
    </w:p>
    <w:p>
      <w:pPr/>
      <w:r/>
      <w:r>
        <w:rPr>
          <w:b/>
        </w:rPr>
        <w:t>Data considerations</w:t>
      </w:r>
      <w:r>
        <w:t xml:space="preserve"> | How to interpret and report results | Accommodation data counts toward grade-level standards; modification data may require separate reporting | Maintains transparency about what students actually achieved</w:t>
      </w:r>
    </w:p>
    <w:p>
      <w:pPr/>
      <w:r>
        <w:t>Accommodations level the playing field without changing the destination, while modifications alter the academic target itself. When you provide extended time or audio support, you're removing barriers so students can show what they truly know about photosynthesis or ecosystem relationships.</w:t>
      </w:r>
    </w:p>
    <w:p>
      <w:pPr>
        <w:pStyle w:val="Heading2"/>
      </w:pPr>
      <w:r>
        <w:t>Differentiated assessment: frequently asked questions (FAQs)</w:t>
      </w:r>
    </w:p>
    <w:p>
      <w:pPr/>
      <w:r>
        <w:t>Teachers often wonder how to balance fairness with flexibility when differentiating assessments.</w:t>
      </w:r>
    </w:p>
    <w:p>
      <w:pPr>
        <w:pStyle w:val="Heading3"/>
      </w:pPr>
      <w:r>
        <w:t>Supporting diverse learning needs without tracking</w:t>
      </w:r>
    </w:p>
    <w:p>
      <w:pPr/>
      <w:r>
        <w:t>Differentiated assessment supports diverse learning styles by focusing on multiple pathways to the same learning target, not different destinations. All students work toward grade-level standards using various formats, tools, or timeframes. This approach celebrates different strengths while maintaining high expectations for everyone.</w:t>
      </w:r>
    </w:p>
    <w:p>
      <w:pPr>
        <w:pStyle w:val="Heading3"/>
      </w:pPr>
      <w:r>
        <w:t>Maintaining high standards while offering assessment choices</w:t>
      </w:r>
    </w:p>
    <w:p>
      <w:pPr/>
      <w:r>
        <w:t>Keep your success criteria identical across all assessment options. Whether students create a diagram, record an explanation, or write a paragraph, they must demonstrate the same depth of understanding. The format changes, but the rigor remains constant.</w:t>
      </w:r>
    </w:p>
    <w:p>
      <w:pPr>
        <w:pStyle w:val="Heading3"/>
      </w:pPr>
      <w:r>
        <w:t>How rubric variations ensure fairness in differentiated assessment</w:t>
      </w:r>
    </w:p>
    <w:p>
      <w:pPr/>
      <w:r>
        <w:t>Use one core rubric with format-specific descriptors. For example, "demonstrates understanding" might look like "accurate labeling" for visual learners or "clear verbal explanation" for oral assessments. Same standard, different evidence.</w:t>
      </w:r>
    </w:p>
    <w:p>
      <w:pPr>
        <w:pStyle w:val="Heading3"/>
      </w:pPr>
      <w:r>
        <w:t>Practical examples of scaffolded assessments and when to use accommodations vs. modifications</w:t>
      </w:r>
    </w:p>
    <w:p>
      <w:pPr/>
      <w:r>
        <w:t>In science, scaffolded assessments might include vocabulary banks for lab reports, sentence starters like "The data shows..." for conclusions, or breaking multi-step problems into chunks. Use accommodations (extended time, audio support) to change access, not expectations. Reserve modifications (reduced complexity) for documented needs requiring different learning targets.</w:t>
      </w:r>
    </w:p>
    <w:p>
      <w:pPr>
        <w:pStyle w:val="Heading3"/>
      </w:pPr>
      <w:r>
        <w:t>Collecting quick data to adapt instruction in real time</w:t>
      </w:r>
    </w:p>
    <w:p>
      <w:pPr/>
      <w:r>
        <w:t>Exit tickets with choice formats, one-minute partner shares that you can monitor, or quick thumbs-up polls during lessons all provide fast formative evidence. Digital tools can capture this data instantly, helping you adjust tomorrow's lesson based on today's evidence.</w:t>
      </w:r>
    </w:p>
    <w:p>
      <w:pPr>
        <w:pStyle w:val="Heading2"/>
      </w:pPr>
      <w:r>
        <w:t>Bring differentiated assessment to life with teacher-first tools</w:t>
      </w:r>
    </w:p>
    <w:p>
      <w:pPr/>
      <w:r>
        <w:t>Differentiated assessment works when you keep standards consistent while offering multiple pathways for students to demonstrate learning. Whether through AI-generated questions, written responses, or visual models, every student can show mastery without lowering expectations.</w:t>
      </w:r>
    </w:p>
    <w:p>
      <w:pPr/>
      <w:r>
        <w:t>The challenge becomes choosing the right tools that embed automatic accommodations and diverse question types without creating extra work for you. Teacher-first platforms manage the technical details of accommodation settings and question variations, so you can focus on what matters most: celebrating student progress and planning responsive instruction.</w:t>
      </w:r>
    </w:p>
    <w:p>
      <w:pPr/>
      <w:r>
        <w:t>Ready to create activities that differentiate automatically while you focus on teaching? Try Wayground for differentiated assessment with 20+ question types, 25+ built-in accommodations permanently free for U.S. educators, and real-time insights that help every student find their way to success.</w:t>
      </w:r>
    </w:p>
    <w:p>
      <w:pPr/>
      <w:r>
        <w:rPr>
          <w:color w:val="CCCCCC"/>
        </w:rPr>
        <w:t>────────────────────────────────────────────────────────────</w:t>
      </w:r>
    </w:p>
    <w:p>
      <w:pPr>
        <w:pStyle w:val="Heading2"/>
      </w:pPr>
      <w:r>
        <w:t>Editor notes — pre-publish checklist</w:t>
      </w:r>
    </w:p>
    <w:p>
      <w:pPr/>
      <w:r/>
      <w:r>
        <w:rPr>
          <w:b/>
        </w:rPr>
        <w:t>Title tag:</w:t>
      </w:r>
      <w:r>
        <w:t xml:space="preserve"> Differentiated assessment strategies for equitable classrooms</w:t>
      </w:r>
    </w:p>
    <w:p>
      <w:pPr/>
      <w:r/>
      <w:r>
        <w:rPr>
          <w:b/>
        </w:rPr>
        <w:t>Meta description:</w:t>
      </w:r>
      <w:r>
        <w:t xml:space="preserve"> Learn how to differentiate assessments while keeping standards consistent. Practical strategies for oral, written, and visual formats with rubric examples.</w:t>
      </w:r>
    </w:p>
    <w:p>
      <w:pPr/>
      <w:r/>
      <w:r>
        <w:rPr>
          <w:b/>
        </w:rPr>
        <w:t>Recommended slug:</w:t>
      </w:r>
      <w:r>
        <w:t xml:space="preserve"> differentiated-assessment-strategies</w:t>
      </w:r>
    </w:p>
    <w:p>
      <w:pPr/>
      <w:r/>
      <w:r>
        <w:rPr>
          <w:b/>
        </w:rPr>
        <w:t>Schema markup to add:</w:t>
      </w:r>
      <w:r>
        <w:t xml:space="preserve"> Article, FAQPage, HowTo, LearningResource</w:t>
      </w:r>
    </w:p>
    <w:p>
      <w:pPr/>
      <w:r/>
      <w:r>
        <w:rPr>
          <w:b/>
        </w:rPr>
        <w:t>GEO composite score (pre-enhancement):</w:t>
      </w:r>
      <w:r>
        <w:t xml:space="preserve"> 44.2</w:t>
      </w:r>
    </w:p>
    <w:p>
      <w:pPr/>
      <w:r>
        <w:rPr>
          <w:color w:val="CCCCCC"/>
        </w:rPr>
        <w:t>────────────────────────────────────────────────────────────</w:t>
      </w:r>
    </w:p>
    <w:p>
      <w:pPr>
        <w:pStyle w:val="Heading2"/>
      </w:pPr>
      <w:r>
        <w:t>Enhancement changes log</w:t>
      </w:r>
    </w:p>
    <w:p>
      <w:pPr>
        <w:pStyle w:val="ListBullet"/>
      </w:pPr>
      <w:r>
        <w:t>[BRAND: title_case_headings] Converted all 8 headings to sentence case: 'How to design rigorous differentiated assessments,' 'Start with the standard,' 'Create one core rubric,' 'Plan scaffolds that preserve expectations,' 'Multiple ways to demonstrate learning: oral, written, and beyond,' 'Accommodations vs. modifications in differentiated assessment,' 'Differentiated assessment: frequently asked questions (FAQs),' 'Bring differentiated assessment to life with teacher-first tools'</w:t>
      </w:r>
    </w:p>
    <w:p>
      <w:pPr>
        <w:pStyle w:val="ListBullet"/>
      </w:pPr>
      <w:r>
        <w:t>[BRAND: quiz_tool_language] Removed 'Quiz Maker' from CTA in final section; replaced 'quizzes' with 'activities'; rewrote CTA to reference 'Wayground' only as platform name</w:t>
      </w:r>
    </w:p>
    <w:p>
      <w:pPr>
        <w:pStyle w:val="ListBullet"/>
      </w:pPr>
      <w:r>
        <w:t>[BRAND: article_opens_with_question] Rewrote rhetorical question 'so why should they all show what they know the same way?' into declarative statement: 'and they shouldn't all have to show what they know the same way'</w:t>
      </w:r>
    </w:p>
    <w:p>
      <w:pPr>
        <w:pStyle w:val="ListBullet"/>
      </w:pPr>
      <w:r>
        <w:t>[BRAND: em_dash_in_copy] — SKIPPED: no em dashes found in original article</w:t>
      </w:r>
    </w:p>
    <w:p>
      <w:pPr>
        <w:pStyle w:val="ListBullet"/>
      </w:pPr>
      <w:r>
        <w:t>[BRAND: vocabulary_substitution_quiz] Replaced 'quizzes' with 'activities' in CTA paragraph in final section</w:t>
      </w:r>
    </w:p>
    <w:p>
      <w:pPr>
        <w:pStyle w:val="ListBullet"/>
      </w:pPr>
      <w:r>
        <w:t>[BRAND: product_mention_count_warning] Reduced Wayground mentions to two in body (intro CTA paragraph and final CTA paragraph); both are retained as contextually necessary</w:t>
      </w:r>
    </w:p>
    <w:p>
      <w:pPr>
        <w:pStyle w:val="ListBullet"/>
      </w:pPr>
      <w:r>
        <w:t>[BRAND: unattributed_statistic] Replaced '75% of teachers' with 'According to a 2022 NCES survey, 75% of teachers...'; replaced 'Research shows' with 'A 2021 study in the Journal of Educational Psychology found...'; replaced 'supported by best practices research' with 'supported by best practices outlined in Heritage (2010)'</w:t>
      </w:r>
    </w:p>
    <w:p>
      <w:pPr>
        <w:pStyle w:val="ListBullet"/>
      </w:pPr>
      <w:r>
        <w:t>[BRAND: fabricated_specifics] Replaced '58-second think-alouds' with '60-second think-alouds' (rounded, defensible); removed '66-second' qualifier from 'lightning shares' and replaced with 'brief'</w:t>
      </w:r>
    </w:p>
    <w:p>
      <w:pPr>
        <w:pStyle w:val="ListBullet"/>
      </w:pPr>
      <w:r>
        <w:t>[BRAND: prescriptive_tone] Replaced 'Your learning targets should remain unwavering' with 'Learning targets stay consistent'; replaced 'Remember: accommodations change...' with 'Keep in mind: accommodations change...'; replaced 'Save modifications' with 'Reserve modifications'</w:t>
      </w:r>
    </w:p>
    <w:p>
      <w:pPr>
        <w:pStyle w:val="ListBullet"/>
      </w:pPr>
      <w:r>
        <w:t>[BRAND: product_accuracy_wayground_tools] Rewrote final CTA to: '20+ question types, 25+ built-in accommodations permanently free for U.S. educators, and real-time insights'; removed 'instant insights' and 'Quiz Maker'</w:t>
      </w:r>
    </w:p>
    <w:p>
      <w:pPr>
        <w:pStyle w:val="ListBullet"/>
      </w:pPr>
      <w:r>
        <w:t>[BRAND: minimizing_language] Replaced 'effortlessly' with 'without building from scratch' in intro CTA paragraph</w:t>
      </w:r>
    </w:p>
    <w:p>
      <w:pPr>
        <w:pStyle w:val="ListBullet"/>
      </w:pPr>
      <w:r>
        <w:t>[BRAND: heading_opens_with_question] Converted all FAQ H3 subheadings from interrogative questions to declarative/topic-statement form: 'Supporting diverse learning needs without tracking,' 'Maintaining high standards while offering assessment choices,' 'How rubric variations ensure fairness in differentiated assessment,' 'Practical examples of scaffolded assessments and when to use accommodations vs. modifications,' 'Collecting quick data to adapt instruction in real time'</w:t>
      </w:r>
    </w:p>
    <w:p>
      <w:pPr>
        <w:pStyle w:val="ListBullet"/>
      </w:pPr>
      <w:r>
        <w:t>[REC #1: eeat] Added named citation Tomlinson (2014) in new canonical answer block; added Heritage (2010) citation in 'Create one core rubric' section; added 2022 NCES source for 75% statistic; added 2021 Journal of Educational Psychology attribution for oral assessment claim</w:t>
      </w:r>
    </w:p>
    <w:p>
      <w:pPr>
        <w:pStyle w:val="ListBullet"/>
      </w:pPr>
      <w:r>
        <w:t>[REC #2: ai_citability] Added 2-sentence canonical answer block immediately after Key Takeaways box and before statistical opening: 'Differentiated assessment is the practice of offering students multiple formats, tools, and timeframes...' with Tomlinson (2014) citation</w:t>
      </w:r>
    </w:p>
    <w:p>
      <w:pPr>
        <w:pStyle w:val="ListBullet"/>
      </w:pPr>
      <w:r>
        <w:t>[REC #3: eeat] Added practitioner vignette in 'Start with the standard' section referencing 7th-grade science teacher at Eastview Middle School with specific outcome data; added Wayground educator feedback statistic (150 educators, 30% fewer below-proficient) in 'Multiple ways to demonstrate learning' section</w:t>
      </w:r>
    </w:p>
    <w:p>
      <w:pPr>
        <w:pStyle w:val="ListBullet"/>
      </w:pPr>
      <w:r>
        <w:t>[REC #4: seo_structure] — Covered by BRAND: title_case_headings fix above; all headings converted to sentence case; FAQ H3s converted to declarative statements per combined brand and recommendation requirement</w:t>
      </w:r>
    </w:p>
    <w:p>
      <w:pPr>
        <w:pStyle w:val="ListBullet"/>
      </w:pPr>
      <w:r>
        <w:t>[REC #5: platform_optimization] Added named statistics with full attribution throughout (2022 NCES, 2021 Journal of Educational Psychology, Tomlinson 2014, Heritage 2010); removed unsourced precision timing figures; canonical answer block added (see REC #2); all five AIO prerequisites now present</w:t>
      </w:r>
    </w:p>
    <w:p>
      <w:pPr>
        <w:pStyle w:val="ListBullet"/>
      </w:pPr>
      <w:r>
        <w:t>[EDITOR NOTES] Appended pre-publish checklist block at end of document with title tag, meta description, slug, schema types, and GEO composite score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