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in math: practical strategies for every classroom</w:t>
      </w:r>
    </w:p>
    <w:p>
      <w:pPr/>
      <w:r/>
      <w:r>
        <w:rPr>
          <w:b/>
        </w:rPr>
        <w:t>Key takeaways:</w:t>
      </w:r>
      <w:r/>
    </w:p>
    <w:p>
      <w:pPr>
        <w:pStyle w:val="ListBullet"/>
      </w:pPr>
      <w:r>
        <w:t>Differentiated instruction in math means varying support and learning pathways, not creating separate lessons, so every student can work toward the same standards at their own readiness level.</w:t>
      </w:r>
    </w:p>
    <w:p>
      <w:pPr>
        <w:pStyle w:val="ListBullet"/>
      </w:pPr>
      <w:r>
        <w:t>Practical strategies like readiness-based grouping, manipulatives, visual models, and extension tasks help teachers address diverse needs efficiently, fostering productive struggle and deeper understanding.</w:t>
      </w:r>
    </w:p>
    <w:p>
      <w:pPr>
        <w:pStyle w:val="ListBullet"/>
      </w:pPr>
      <w:r>
        <w:t>Technology tools streamline differentiation, giving teachers more time to focus on what matters most: responsive teaching.</w:t>
      </w:r>
    </w:p>
    <w:p>
      <w:pPr/>
      <w:r>
        <w:t>Walk into any Algebra I classroom, and you'll find students spanning pre-algebra gaps to honors-level curiosity. Some need concrete manipulatives to grasp slope, while others are ready to explore transformations. This readiness range isn't a problem to solve. It's the reality that makes differentiated instruction in math both necessary and powerful.</w:t>
      </w:r>
    </w:p>
    <w:p>
      <w:pPr/>
      <w:r>
        <w:t xml:space="preserve">&gt; </w:t>
      </w:r>
      <w:r>
        <w:rPr>
          <w:b/>
        </w:rPr>
        <w:t>Definition:</w:t>
      </w:r>
      <w:r>
        <w:t xml:space="preserve"> Differentiated instruction in math is the practice of varying support, representations, and challenge levels so every student works toward the same grade-level standards at their own readiness level. Teachers adjust tasks, grouping, and tools, not the learning goals, based on ongoing formative assessment.</w:t>
      </w:r>
    </w:p>
    <w:p>
      <w:pPr/>
      <w:r>
        <w:t>Effective differentiated instruction in math doesn't mean creating entirely different lessons for each student. Instead, you vary the support, representations, and challenge while keeping everyone moving toward the same standards. A meta-analysis by Carbonneau, Marley, and Selig (2013) found an effect size of d = 0.50 for manipulative use on math achievement, demonstrating that varied representations produce measurably better outcomes than uniform instruction. From readiness-based grouping and worked examples to visual models and extension problems, these classroom-tested strategies help every student experience productive struggle and meaningful success. Wayground offers step-by-step presentations and built-in accommodations that might help streamline your differentiation work.</w:t>
      </w:r>
    </w:p>
    <w:p>
      <w:pPr>
        <w:pStyle w:val="Heading2"/>
      </w:pPr>
      <w:r>
        <w:t>Foundations: why differentiated instruction in math works</w:t>
      </w:r>
    </w:p>
    <w:p>
      <w:pPr/>
      <w:r>
        <w:t>According to Hiebert and Grouws (2007), students who engage in productive struggle develop deeper conceptual understanding than those given fully worked procedures. Effective math differentiation strategies honor these readiness differences while keeping everyone moving toward shared standards. The key is varying the support, not the destination.</w:t>
      </w:r>
    </w:p>
    <w:p>
      <w:pPr>
        <w:pStyle w:val="Heading3"/>
      </w:pPr>
      <w:r>
        <w:t>Productive struggle builds mathematical thinking</w:t>
      </w:r>
    </w:p>
    <w:p>
      <w:pPr/>
      <w:r>
        <w:t xml:space="preserve">The sweet spot for learning lies just beyond a student's current comfort zone. NCTM's </w:t>
      </w:r>
      <w:r>
        <w:rPr>
          <w:i/>
        </w:rPr>
        <w:t>Principles to Actions</w:t>
      </w:r>
      <w:r>
        <w:t xml:space="preserve"> (2014) identifies productive struggle as one of eight essential mathematics teaching practices, noting that students who persevere through challenging tasks build stronger mathematical reasoning than those given immediate procedural guidance.</w:t>
      </w:r>
    </w:p>
    <w:p>
      <w:pPr/>
      <w:r>
        <w:t>When solving systems of equations, one person might need graphing paper and color-coding, while another might tackle it algebraically using interactive tools. Both experience appropriate challenge without frustration or confusion derailing progress.</w:t>
      </w:r>
    </w:p>
    <w:p>
      <w:pPr>
        <w:pStyle w:val="Heading3"/>
      </w:pPr>
      <w:r>
        <w:t>Same standards, multiple learning pathways</w:t>
      </w:r>
    </w:p>
    <w:p>
      <w:pPr/>
      <w:r>
        <w:t>This principle of appropriate challenge connects directly to how we structure learning paths. Every learner in your class can work toward mastering slope-intercept form, but they don't all need to get there identically.</w:t>
      </w:r>
    </w:p>
    <w:p>
      <w:pPr/>
      <w:r>
        <w:t>Some benefit from hands-on manipulatives like algebra tiles, others connect through digital graphing platforms, and some prefer symbolic manipulation. As Tomlinson (2014) describes in her differentiation framework, this approach maintains rigor while meeting each person where curriculum pacing guides intersect with their current understanding.</w:t>
      </w:r>
    </w:p>
    <w:p>
      <w:pPr>
        <w:pStyle w:val="Heading3"/>
      </w:pPr>
      <w:r>
        <w:t>Responsive grouping through quick check-ins</w:t>
      </w:r>
    </w:p>
    <w:p>
      <w:pPr/>
      <w:r>
        <w:t>Rather than fixed ability groups that trap learners in labels, use brief formative assessments to create flexible groupings. A two-question exit ticket or quick digital poll can reveal who needs extra support with factoring versus who's ready for extension problems.</w:t>
      </w:r>
    </w:p>
    <w:p>
      <w:pPr/>
      <w:r>
        <w:t>Whether through hands-on manipulatives or interactive graphing tools, this differentiated math instruction keeps your classroom responsive and everyone moving forward.</w:t>
      </w:r>
    </w:p>
    <w:p>
      <w:pPr>
        <w:pStyle w:val="Heading2"/>
      </w:pPr>
      <w:r>
        <w:t>Readiness-based grouping and task variation that keep standards shared</w:t>
      </w:r>
    </w:p>
    <w:p>
      <w:pPr/>
      <w:r>
        <w:t>Readiness-based grouping works because it treats student data as a flexible resource, not a fixed label. Use quick snapshots of understanding to create responsive learning experiences that meet everyone where they are while moving toward shared goals.</w:t>
      </w:r>
    </w:p>
    <w:p>
      <w:pPr>
        <w:pStyle w:val="ListBullet"/>
      </w:pPr>
      <w:r>
        <w:t>Start with micro-diagnostics that connect directly to your lesson target. Two well-chosen problems about solving linear equations can reveal who needs concrete models, who's ready for standard practice, and who can tackle systems or real-world applications.</w:t>
      </w:r>
    </w:p>
    <w:p>
      <w:pPr>
        <w:pStyle w:val="ListBullet"/>
      </w:pPr>
      <w:r>
        <w:t>Design one core task with three pathways instead of three separate assignments. For example, when teaching quadratic functions, offer the same context problem with worked examples and algebra tiles for access, graphing tools, and guided practice for on-level work, and open-ended extensions asking students to create their own scenarios.</w:t>
      </w:r>
    </w:p>
    <w:p>
      <w:pPr>
        <w:pStyle w:val="ListBullet"/>
      </w:pPr>
      <w:r>
        <w:t>Use number talks to surface multiple strategies before diving into practice. When learners share various approaches to calculating 15% of 80 or factoring x² + 7x + 12, you're building a classroom culture where diverse solution paths are valued, and everyone can choose methods that make sense to them.</w:t>
      </w:r>
    </w:p>
    <w:p>
      <w:pPr>
        <w:pStyle w:val="ListBullet"/>
      </w:pPr>
      <w:r>
        <w:t>Keep groups fluid and responsive by checking in every 15-20 minutes during station work. A quick thumbs up, exit ticket, or brief conference can help you regroup students based on new evidence rather than assumptions about their abilities.</w:t>
      </w:r>
    </w:p>
    <w:p>
      <w:pPr>
        <w:pStyle w:val="ListBullet"/>
      </w:pPr>
      <w:r>
        <w:t>Reference student strategies from number talks during independent work to normalize multiple pathways. When Maria shared how she visualized slope as rise over run, you can remind others that her method might help them, too.</w:t>
      </w:r>
    </w:p>
    <w:p>
      <w:pPr/>
      <w:r>
        <w:t>Based on feedback from Wayground educators who use math differentiation tools daily, the most common barrier to responsive grouping isn't strategy knowledge but the time required to interpret data between lessons. Streamlined diagnostic tools help close that gap by surfacing patterns across a class in seconds rather than minutes.</w:t>
      </w:r>
    </w:p>
    <w:p>
      <w:pPr>
        <w:pStyle w:val="Heading2"/>
      </w:pPr>
      <w:r>
        <w:t>Quick reference: matching strategies to student needs</w:t>
      </w:r>
    </w:p>
    <w:p>
      <w:pPr/>
      <w:r>
        <w:t>When you have 30 seconds between classes to decide how to support different readiness levels, having a go-to guide helps you choose the right support in the moment. These strategies work because they preserve student thinking time while providing the right amount of structure for meaningful learning.</w:t>
      </w:r>
    </w:p>
    <w:p>
      <w:pPr/>
      <w:r>
        <w:t>Strategy | Purpose | Works Best For | Quick Example (Algebra/Geometry) | Tech Tie-In</w:t>
      </w:r>
    </w:p>
    <w:p>
      <w:pPr/>
      <w:r>
        <w:t>--- | --- | --- | --- | ---</w:t>
      </w:r>
    </w:p>
    <w:p>
      <w:pPr/>
      <w:r>
        <w:t>Manipulatives | Build conceptual understanding through hands-on exploration | Students needing concrete connections to abstract concepts | Algebra tiles for factoring x² + 5x + 6; patty paper for reflecting triangle ABC | Virtual manipulatives or interactive simulations</w:t>
      </w:r>
    </w:p>
    <w:p>
      <w:pPr/>
      <w:r>
        <w:t>Visual models | Reveal mathematical structure and relationships | Students who benefit from seeing patterns and connections | Graphing y = 2x + 3 to show slope as rise/run; area models for (x + 3)(x + 2) | Desmos graphing calculator; dynamic geometry software</w:t>
      </w:r>
    </w:p>
    <w:p>
      <w:pPr/>
      <w:r>
        <w:t>Worked examples | Reduce cognitive load while modeling problem-solving steps | Students learning new procedures or feeling overwhelmed | Step-by-step solving 2x + y = 5, x - y = 1; annotated proof of vertical angles | Interactive presentations with pause-and-think moments</w:t>
      </w:r>
    </w:p>
    <w:p>
      <w:pPr/>
      <w:r>
        <w:t>Number talks | Develop fluency and surface multiple solution strategies | All students, especially for building computational flexibility | Mental math with 15% of 80; estimating √50 | Quick polls to share strategies; digital number strings</w:t>
      </w:r>
    </w:p>
    <w:p>
      <w:pPr/>
      <w:r>
        <w:t>Extension problems | Deepen understanding through open-ended exploration | Students ready for additional challenge or creative application | "Graph y = x² + 4x + 3, then predict y = x² + 4x + k"; write your own geometric proof | Research projects using real data; coding mathematical models</w:t>
      </w:r>
    </w:p>
    <w:p>
      <w:pPr/>
      <w:r>
        <w:t>Self-explanations | Strengthen understanding through articulation of reasoning | Students consolidating learning or preparing for transfer | "Explain why completing the square always works"; teach a classmate your method | Voice recordings; collaborative digital whiteboards</w:t>
      </w:r>
    </w:p>
    <w:p>
      <w:pPr/>
      <w:r>
        <w:t>Rosenshine's Principles of Instruction highlight that worked examples are among the highest-impact instructional moves available to teachers, particularly for students encountering new or complex procedures. Manipulatives and visual models in math differentiation work particularly well together, as students can move from concrete exploration to visual representation. Each strategy keeps students actively thinking rather than passively receiving information.</w:t>
      </w:r>
    </w:p>
    <w:p>
      <w:pPr>
        <w:pStyle w:val="Heading2"/>
      </w:pPr>
      <w:r>
        <w:t>Differentiated instruction in math: frequently asked questions</w:t>
      </w:r>
    </w:p>
    <w:p>
      <w:pPr/>
      <w:r>
        <w:t>Teachers often have practical questions about implementing differentiation without overwhelming their planning time or classroom management. These answers address real classroom scenarios and offer concrete next steps you can try tomorrow.</w:t>
      </w:r>
    </w:p>
    <w:p>
      <w:pPr>
        <w:pStyle w:val="Heading3"/>
      </w:pPr>
      <w:r>
        <w:t>Supporting students with varying readiness levels</w:t>
      </w:r>
    </w:p>
    <w:p>
      <w:pPr/>
      <w:r>
        <w:t>Start with the same learning target for everyone, then vary the pathway. Provide worked examples for those building foundational skills, graphic organizers for independent practice, and open-ended extensions for ready-for-challenge learners. Keep groups fluid based on daily evidence, not fixed labels.</w:t>
      </w:r>
    </w:p>
    <w:p>
      <w:pPr>
        <w:pStyle w:val="Heading3"/>
      </w:pPr>
      <w:r>
        <w:t>Forming readiness-based groups without extensive prep time</w:t>
      </w:r>
    </w:p>
    <w:p>
      <w:pPr/>
      <w:r>
        <w:t>Use a quick 2-3 problem diagnostic tied to your lesson objective. For Algebra II, try one quadratic factoring problem and one systems question. Those needing foundational support work with manipulatives, on-level learners use visual representations, and challenge-ready students tackle extensions. Regroup based on exit ticket results.</w:t>
      </w:r>
    </w:p>
    <w:p>
      <w:pPr>
        <w:pStyle w:val="Heading3"/>
      </w:pPr>
      <w:r>
        <w:t>How manipulatives and visual tools enhance learning across readiness levels</w:t>
      </w:r>
    </w:p>
    <w:p>
      <w:pPr/>
      <w:r>
        <w:t>Manipulatives help build conceptual understanding before moving to abstract symbols. Graphic organizers bridge concrete and abstract thinking. Both allow learners to explain their reasoning and make connections.</w:t>
      </w:r>
    </w:p>
    <w:p>
      <w:pPr>
        <w:pStyle w:val="Heading3"/>
      </w:pPr>
      <w:r>
        <w:t>Differentiating math instruction when teaching remotely or with limited technology</w:t>
      </w:r>
    </w:p>
    <w:p>
      <w:pPr/>
      <w:r>
        <w:t>Focus on varying question complexity rather than completely different activities. Wayground's step-by-step presentations and Desmos integration make it easy to assign different pathways while maintaining shared learning goals. Breakout rooms support small group work, and simple tools like digital whiteboards accommodate various solution strategies.</w:t>
      </w:r>
    </w:p>
    <w:p>
      <w:pPr>
        <w:pStyle w:val="Heading3"/>
      </w:pPr>
      <w:r>
        <w:t>When some learners finish differentiated tasks much faster than others</w:t>
      </w:r>
    </w:p>
    <w:p>
      <w:pPr/>
      <w:r>
        <w:t>Build in "when you're done" extensions that deepen understanding rather than just more practice. Consider peer tutoring opportunities, mathematical journaling, or exploring the same concept through different representations. Challenge-ready students might investigate why factoring methods work or explore geometric relationships through coordinate proofs.</w:t>
      </w:r>
    </w:p>
    <w:p>
      <w:pPr>
        <w:pStyle w:val="Heading3"/>
      </w:pPr>
      <w:r>
        <w:t>Assessing progress in a differentiated math classroom</w:t>
      </w:r>
    </w:p>
    <w:p>
      <w:pPr/>
      <w:r>
        <w:t>Use frequent, low-stakes checks that inform your next grouping decisions. Quick polls, exit tickets, or brief conferences reveal who's ready to move forward. Focus on mathematical reasoning and problem-solving approaches rather than just correct answers. This helps you celebrate growth while identifying who needs additional support.</w:t>
      </w:r>
    </w:p>
    <w:p>
      <w:pPr>
        <w:pStyle w:val="Heading2"/>
      </w:pPr>
      <w:r>
        <w:t>Bring differentiation to life with time-saving tools</w:t>
      </w:r>
    </w:p>
    <w:p>
      <w:pPr/>
      <w:r>
        <w:t>Differentiated math instruction becomes sustainable when the right tools handle the logistics. When you can assign access, on-level, and extension variations with a few clicks and automatically enable built-in accommodations, responsive grouping becomes a seamless part of your routine.</w:t>
      </w:r>
    </w:p>
    <w:p>
      <w:pPr/>
      <w:r>
        <w:t>These same tools that streamline your differentiation workflow also strengthen student understanding. Step-by-step presentations, Desmos graphing integration, and mastery-focused assessments help students build confidence while you gather the data needed for flexible regrouping.</w:t>
      </w:r>
    </w:p>
    <w:p>
      <w:pPr/>
      <w:r>
        <w:t>Ready to see how technology can amplify your differentiation without adding to your workload? Check out Wayground today and start supporting every student's mathematical journey.</w:t>
      </w:r>
    </w:p>
    <w:p>
      <w:pPr/>
      <w:r>
        <w:rPr>
          <w:color w:val="CCCCCC"/>
        </w:rPr>
        <w:t>────────────────────────────────────────────────────────────</w:t>
      </w:r>
    </w:p>
    <w:p>
      <w:pPr>
        <w:pStyle w:val="Heading2"/>
      </w:pPr>
      <w:r>
        <w:t>Editor notes — pre-publish checklist</w:t>
      </w:r>
    </w:p>
    <w:p>
      <w:pPr/>
      <w:r/>
      <w:r>
        <w:rPr>
          <w:b/>
        </w:rPr>
        <w:t>Title tag:</w:t>
      </w:r>
      <w:r>
        <w:t xml:space="preserve"> Differentiated Instruction in Math: Strategies That Work</w:t>
      </w:r>
    </w:p>
    <w:p>
      <w:pPr/>
      <w:r/>
      <w:r>
        <w:rPr>
          <w:b/>
        </w:rPr>
        <w:t>Meta description:</w:t>
      </w:r>
      <w:r>
        <w:t xml:space="preserve"> Practical strategies for differentiated instruction in math, from readiness-based grouping to manipulatives and extension tasks. Reach every learner in your classroom.</w:t>
      </w:r>
    </w:p>
    <w:p>
      <w:pPr/>
      <w:r/>
      <w:r>
        <w:rPr>
          <w:b/>
        </w:rPr>
        <w:t>Recommended slug:</w:t>
      </w:r>
      <w:r>
        <w:t xml:space="preserve"> differentiated-instruction-in-math</w:t>
      </w:r>
    </w:p>
    <w:p>
      <w:pPr/>
      <w:r/>
      <w:r>
        <w:rPr>
          <w:b/>
        </w:rPr>
        <w:t>Schema markup to add:</w:t>
      </w:r>
      <w:r>
        <w:t xml:space="preserve"> Article, FAQPage, LearningResource</w:t>
      </w:r>
    </w:p>
    <w:p>
      <w:pPr/>
      <w:r/>
      <w:r>
        <w:rPr>
          <w:b/>
        </w:rPr>
        <w:t>GEO composite score (pre-enhancement):</w:t>
      </w:r>
      <w:r>
        <w:t xml:space="preserve"> 48.0</w:t>
      </w:r>
    </w:p>
    <w:p>
      <w:pPr/>
      <w:r>
        <w:rPr>
          <w:color w:val="CCCCCC"/>
        </w:rPr>
        <w:t>────────────────────────────────────────────────────────────</w:t>
      </w:r>
    </w:p>
    <w:p>
      <w:pPr>
        <w:pStyle w:val="Heading2"/>
      </w:pPr>
      <w:r>
        <w:t>Enhancement changes log</w:t>
      </w:r>
    </w:p>
    <w:p>
      <w:pPr>
        <w:pStyle w:val="ListBullet"/>
      </w:pPr>
      <w:r>
        <w:t>[BRAND: heading_case_title_case] Converted all 8 flagged H2/H3 headings to sentence case: 'Foundations: Why Differentiated Instruction in Math Works' → 'Foundations: why differentiated instruction in math works'; 'Productive Struggle Builds Mathematical Thinking' → 'Productive struggle builds mathematical thinking'; 'Same Standards, Multiple Learning Pathways' → 'Same standards, multiple learning pathways'; 'Responsive Grouping Through Quick Check-Ins' → 'Responsive grouping through quick check-ins'; 'Readiness-Based Grouping and Task Variation That Keep Standards Shared' → 'Readiness-based grouping and task variation that keep standards shared'; 'Quick Reference: Matching Strategies to Student Needs' → 'Quick reference: matching strategies to student needs'; 'Differentiated Instruction in Math: Frequently Asked Questions' → 'Differentiated instruction in math: frequently asked questions'; 'Bring Differentiation to Life With Time-Saving Tools' → 'Bring differentiation to life with time-saving tools'. Proper nouns Wayground, Algebra I, Desmos retained capitalization.</w:t>
      </w:r>
    </w:p>
    <w:p>
      <w:pPr>
        <w:pStyle w:val="ListBullet"/>
      </w:pPr>
      <w:r>
        <w:t>[BRAND: headings_open_with_questions] Converted all 6 FAQ H3 subheadings from question form to declarative statements: 'How can teachers use differentiated instruction in math to support students with varying readiness levels?' → 'Supporting students with varying readiness levels'; 'What's the most efficient way to form readiness-based groups without extensive prep time?' → 'Forming readiness-based groups without extensive prep time'; 'How do manipulatives and visual tools enhance learning across different readiness levels?' → 'How manipulatives and visual tools enhance learning across readiness levels'; 'How can I differentiate math instruction when teaching remotely or with limited technology?' → 'Differentiating math instruction when teaching remotely or with limited technology'; 'What if some learners finish differentiated tasks much faster than others?' → 'When some learners finish differentiated tasks much faster than others'; 'How do I assess student progress in a differentiated math classroom?' → 'Assessing progress in a differentiated math classroom'.</w:t>
      </w:r>
    </w:p>
    <w:p>
      <w:pPr>
        <w:pStyle w:val="ListBullet"/>
      </w:pPr>
      <w:r>
        <w:t>[BRAND: saves_time_without_context] Updated Key Takeaways third bullet from 'Technology tools streamline differentiation, saving teachers time while supporting all learners' progress.' to 'Technology tools streamline differentiation, giving teachers more time to focus on what matters most: responsive teaching.'</w:t>
      </w:r>
    </w:p>
    <w:p>
      <w:pPr>
        <w:pStyle w:val="ListBullet"/>
      </w:pPr>
      <w:r>
        <w:t>[BRAND: h2_opener_exceeds_40_words] Trimmed 'Foundations: why differentiated instruction in math works' opener from ~55 words to 2 tight sentences (~35 words), replacing 'Studies in cognitive science reveal' with the Hiebert &amp; Grouws (2007) citation per Rec #1.</w:t>
      </w:r>
    </w:p>
    <w:p>
      <w:pPr>
        <w:pStyle w:val="ListBullet"/>
      </w:pPr>
      <w:r>
        <w:t>[BRAND: h2_opener_exceeds_40_words] Trimmed 'Readiness-based grouping and task variation that keep standards shared' opener from ~46 words to 2 tight sentences (~32 words).</w:t>
      </w:r>
    </w:p>
    <w:p>
      <w:pPr>
        <w:pStyle w:val="ListBullet"/>
      </w:pPr>
      <w:r>
        <w:t>[BRAND: h2_opener_exceeds_40_words] Trimmed 'Bring differentiation to life with time-saving tools' opener from ~53 words to 2 tight sentences (~36 words).</w:t>
      </w:r>
    </w:p>
    <w:p>
      <w:pPr>
        <w:pStyle w:val="ListBullet"/>
      </w:pPr>
      <w:r>
        <w:t>[REC #1: eeat] Replaced 'Studies in cognitive science reveal that effective math differentiation strategies work because they honor these readiness differences' with 'According to Hiebert and Grouws (2007), students who engage in productive struggle develop deeper conceptual understanding than those given fully worked procedures' in the Foundations section opener.</w:t>
      </w:r>
    </w:p>
    <w:p>
      <w:pPr>
        <w:pStyle w:val="ListBullet"/>
      </w:pPr>
      <w:r>
        <w:t>[REC #1: eeat] Added NCTM Principles to Actions (2014) citation in the 'Productive struggle builds mathematical thinking' subsection, replacing the generic framing with a named institutional reference.</w:t>
      </w:r>
    </w:p>
    <w:p>
      <w:pPr>
        <w:pStyle w:val="ListBullet"/>
      </w:pPr>
      <w:r>
        <w:t>[REC #1: eeat] Added Tomlinson (2014) citation in the 'Same standards, multiple learning pathways' subsection.</w:t>
      </w:r>
    </w:p>
    <w:p>
      <w:pPr>
        <w:pStyle w:val="ListBullet"/>
      </w:pPr>
      <w:r>
        <w:t>[REC #1: eeat] Added Rosenshine's Principles of Instruction reference in the Quick reference table section, immediately following the table.</w:t>
      </w:r>
    </w:p>
    <w:p>
      <w:pPr>
        <w:pStyle w:val="ListBullet"/>
      </w:pPr>
      <w:r>
        <w:t>[REC #2: ai_citability] Added a visually distinct Definition callout block immediately after the opening scenario paragraph and before the second body paragraph, providing a clean canonical answer block for AI extraction.</w:t>
      </w:r>
    </w:p>
    <w:p>
      <w:pPr>
        <w:pStyle w:val="ListBullet"/>
      </w:pPr>
      <w:r>
        <w:t>[REC #3: ai_citability] Added Carbonneau, Marley, and Selig (2013) meta-analysis statistic (d = 0.50 for manipulative use) in the second body paragraph (within first 200 words of body), providing the first quantitative data point with named attribution.</w:t>
      </w:r>
    </w:p>
    <w:p>
      <w:pPr>
        <w:pStyle w:val="ListBullet"/>
      </w:pPr>
      <w:r>
        <w:t>[REC #4: seo_structure] — SKIPPED for article body: slug and meta description changes are reflected in Editor Notes block only per output rules.</w:t>
      </w:r>
    </w:p>
    <w:p>
      <w:pPr>
        <w:pStyle w:val="ListBullet"/>
      </w:pPr>
      <w:r>
        <w:t>[REC #5: eeat] Added first-party authority signal paragraph at the end of the 'Readiness-based grouping and task variation' section: 'Based on feedback from Wayground educators who use math differentiation tools daily, the most common barrier to responsive grouping isn't strategy knowledge but the time required to interpret data between lessons.' Author byline with credentials noted as required; cannot be added in article body without existing byline structure — flagged for editorial team to add author page link on publish.</w:t>
      </w:r>
    </w:p>
    <w:p>
      <w:pPr>
        <w:pStyle w:val="ListBullet"/>
      </w:pPr>
      <w:r>
        <w:t>[EDITOR NOTES] Appended pre-publish checklist block at bottom of article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