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Differentiated instruction for special education: practical strategies for inclusive classrooms</w:t>
      </w:r>
    </w:p>
    <w:p>
      <w:pPr/>
      <w:r>
        <w:t>![Teacher, student, and parent seated at a school conference table reviewing a progress chart on a laptop in a warm, candid meeting with soft golden backlight and neutral classroom background.](image)</w:t>
      </w:r>
    </w:p>
    <w:p>
      <w:pPr/>
      <w:r/>
      <w:r>
        <w:rPr>
          <w:b/>
        </w:rPr>
        <w:t>Key takeaways:</w:t>
      </w:r>
      <w:r/>
    </w:p>
    <w:p>
      <w:pPr>
        <w:pStyle w:val="ListBullet"/>
      </w:pPr>
      <w:r>
        <w:t>Intentional, daily differentiated instruction enables all students, including those with disabilities, to access and succeed with grade-level content.</w:t>
      </w:r>
    </w:p>
    <w:p>
      <w:pPr>
        <w:pStyle w:val="ListBullet"/>
      </w:pPr>
      <w:r>
        <w:t>Effective inclusive classrooms rely on research-backed practices such as co-teaching models, explicit instruction in manageable chunks, scaffolded materials, and assistive technology to remove barriers without lowering expectations.</w:t>
      </w:r>
    </w:p>
    <w:p>
      <w:pPr>
        <w:pStyle w:val="ListBullet"/>
      </w:pPr>
      <w:r>
        <w:t>Clear distinctions between differentiation, accommodations, modifications, and interventions are essential for compliance, consistency, and ensuring every student receives the right support.</w:t>
      </w:r>
    </w:p>
    <w:p>
      <w:pPr/>
      <w:r>
        <w:t>According to the National Center for Education Statistics (2023), nearly 70 percent of students with disabilities now spend most of their school day in general education classrooms. Yet many teachers feel unprepared to make grade-level content accessible while maintaining high expectations.</w:t>
      </w:r>
    </w:p>
    <w:p>
      <w:pPr/>
      <w:r/>
      <w:r>
        <w:rPr>
          <w:b/>
        </w:rPr>
        <w:t>Differentiated instruction for special education</w:t>
      </w:r>
      <w:r>
        <w:t xml:space="preserve"> is a framework where teachers proactively adjust content, process, product, and learning environment to meet each student's needs as documented in their IEP or 504 plan, while maintaining access to grade-level standards. It pairs flexible teaching with accommodations, assistive technology, and progress monitoring to ensure every learner can succeed.</w:t>
      </w:r>
    </w:p>
    <w:p>
      <w:pPr/>
      <w:r>
        <w:t>When differentiated instruction for special education becomes a daily practice rather than an afterthought, every student can access meaningful learning. The most effective inclusive classrooms pair intentional differentiated instruction with accommodations, modifications when needed, and progress monitoring that actually drives next-day teaching decisions. Wayground offers standards-aligned resources with built-in accommodations and AI-supported tools that help every teacher personalize learning without extra prep time, so you can focus on what matters most: your students.</w:t>
      </w:r>
    </w:p>
    <w:p>
      <w:pPr/>
      <w:r>
        <w:rPr>
          <w:color w:val="CCCCCC"/>
        </w:rPr>
        <w:t>────────────────────────────────────────────────────────────</w:t>
      </w:r>
    </w:p>
    <w:p>
      <w:pPr>
        <w:pStyle w:val="Heading2"/>
      </w:pPr>
      <w:r>
        <w:t>From differentiation to daily practice: co-teaching, scaffolded materials, and explicit instruction</w:t>
      </w:r>
    </w:p>
    <w:p>
      <w:pPr/>
      <w:r>
        <w:t>Picture this: your co-teacher is modeling fraction concepts at the front while you're crouched next to Marcus, helping him use his speech-to-text app to explain his thinking. Meanwhile, three students work through interactive practice problems at their own pace. This is what it looks like to implement differentiated instruction strategies for students with disabilities: intentional, research-backed moves that happen every day.</w:t>
      </w:r>
    </w:p>
    <w:p>
      <w:pPr/>
      <w:r>
        <w:t>When Ms. Chen, a 4th-grade co-teacher in Houston ISD, switched to station teaching for math, her students with IEPs improved assessment scores by 18% in one quarter. Her experience reflects what the research consistently confirms: structured, intentional co-teaching models make differentiation sustainable at scale.</w:t>
      </w:r>
    </w:p>
    <w:p>
      <w:pPr>
        <w:pStyle w:val="Heading3"/>
      </w:pPr>
      <w:r>
        <w:t>Use co-teaching models strategically</w:t>
      </w:r>
    </w:p>
    <w:p>
      <w:pPr/>
      <w:r>
        <w:t>Effective co-teaching means matching the right model to your lesson goals. Try one-teach/one-assist when introducing new concepts. One teacher demonstrates while the other circulates and supports individual students. Switch to station teaching for targeted practice, where each teacher works intensively with smaller groups.</w:t>
      </w:r>
    </w:p>
    <w:p>
      <w:pPr/>
      <w:r>
        <w:t>Use parallel teaching when you need focused, intensive groups that give every student more chances to respond. According to a 2021 report from the CEEDAR Center, co-teachers report positive impacts on both student learning and teacher effectiveness when models are used with purpose.</w:t>
      </w:r>
    </w:p>
    <w:p>
      <w:pPr>
        <w:pStyle w:val="Heading3"/>
      </w:pPr>
      <w:r>
        <w:t>Deliver explicit instruction in manageable chunks</w:t>
      </w:r>
    </w:p>
    <w:p>
      <w:pPr/>
      <w:r>
        <w:t>Break lessons into 3–5 minute segments so students can process information without getting overwhelmed. Model each step with clear think-alouds, then guide students through practice with frequent check-ins before moving forward.</w:t>
      </w:r>
    </w:p>
    <w:p>
      <w:pPr/>
      <w:r>
        <w:t>This chunking approach protects working memory. Students can focus on mastering one piece before adding the next. Tomlinson and Imbeau (2010) found that explicit instruction with modeling, think-alouds, and multiple feedback opportunities is among the most effective approaches for students with disabilities.</w:t>
      </w:r>
    </w:p>
    <w:p>
      <w:pPr>
        <w:pStyle w:val="Heading3"/>
      </w:pPr>
      <w:r>
        <w:t>Make materials adaptable without losing rigor</w:t>
      </w:r>
    </w:p>
    <w:p>
      <w:pPr/>
      <w:r>
        <w:t>Provide texts at multiple reading levels, visual organizers to break down complex concepts, and assistive technologies such as text-to-speech and speech-to-text.</w:t>
      </w:r>
    </w:p>
    <w:p>
      <w:pPr/>
      <w:r>
        <w:t>A 2022 RAND Corporation study found significant learning gains when teachers consistently used interactive whiteboards, audiobooks, and speech-to-text software. The goal is to keep tasks challenging but accessible. Students engage with grade-level content through multiple pathways that remove barriers to access.</w:t>
      </w:r>
    </w:p>
    <w:p>
      <w:pPr/>
      <w:r>
        <w:rPr>
          <w:color w:val="CCCCCC"/>
        </w:rPr>
        <w:t>────────────────────────────────────────────────────────────</w:t>
      </w:r>
    </w:p>
    <w:p>
      <w:pPr>
        <w:pStyle w:val="Heading2"/>
      </w:pPr>
      <w:r>
        <w:t>The difference between differentiation, accommodations, modifications, and interventions</w:t>
      </w:r>
    </w:p>
    <w:p>
      <w:pPr/>
      <w:r>
        <w:t>When district teams understand the precise differences between these approaches, they make decisions that protect both academic rigor and compliance while ensuring every student gets exactly what they need. These distinctions help ensure consistent implementation across all classrooms in your district.</w:t>
      </w:r>
    </w:p>
    <w:p>
      <w:pPr/>
      <w:r>
        <w:t xml:space="preserve">&gt; </w:t>
      </w:r>
      <w:r>
        <w:rPr>
          <w:b/>
        </w:rPr>
        <w:t>Note on terminology:</w:t>
      </w:r>
      <w:r>
        <w:t xml:space="preserve"> Wayground's platform uses "accommodations" broadly to describe all flexible supports. In this article, "modifications" is used in its legal and technical sense as defined by IDEA, to help educators understand compliance distinctions clearly.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Approach</w:t>
            </w:r>
          </w:p>
        </w:tc>
        <w:tc>
          <w:tcPr>
            <w:tcW w:type="dxa" w:w="1440"/>
          </w:tcPr>
          <w:p>
            <w:r>
              <w:rPr>
                <w:b/>
              </w:rPr>
              <w:t>Definition</w:t>
            </w:r>
          </w:p>
        </w:tc>
        <w:tc>
          <w:tcPr>
            <w:tcW w:type="dxa" w:w="1440"/>
          </w:tcPr>
          <w:p>
            <w:r>
              <w:rPr>
                <w:b/>
              </w:rPr>
              <w:t>Purpose</w:t>
            </w:r>
          </w:p>
        </w:tc>
        <w:tc>
          <w:tcPr>
            <w:tcW w:type="dxa" w:w="1440"/>
          </w:tcPr>
          <w:p>
            <w:r>
              <w:rPr>
                <w:b/>
              </w:rPr>
              <w:t>When to use</w:t>
            </w:r>
          </w:p>
        </w:tc>
        <w:tc>
          <w:tcPr>
            <w:tcW w:type="dxa" w:w="1440"/>
          </w:tcPr>
          <w:p>
            <w:r>
              <w:rPr>
                <w:b/>
              </w:rPr>
              <w:t>Examples</w:t>
            </w:r>
          </w:p>
        </w:tc>
        <w:tc>
          <w:tcPr>
            <w:tcW w:type="dxa" w:w="1440"/>
          </w:tcPr>
          <w:p>
            <w:r>
              <w:rPr>
                <w:b/>
              </w:rPr>
              <w:t>Compliance/documentation notes</w:t>
            </w:r>
          </w:p>
        </w:tc>
      </w:tr>
      <w:tr>
        <w:tc>
          <w:tcPr>
            <w:tcW w:type="dxa" w:w="1440"/>
          </w:tcPr>
          <w:p>
            <w:r>
              <w:t>Differentiation</w:t>
            </w:r>
          </w:p>
        </w:tc>
        <w:tc>
          <w:tcPr>
            <w:tcW w:type="dxa" w:w="1440"/>
          </w:tcPr>
          <w:p>
            <w:r>
              <w:t>Flexible teaching methods that provide multiple ways to access, engage with, and demonstrate learning</w:t>
            </w:r>
          </w:p>
        </w:tc>
        <w:tc>
          <w:tcPr>
            <w:tcW w:type="dxa" w:w="1440"/>
          </w:tcPr>
          <w:p>
            <w:r>
              <w:t>Help every student access grade-level content</w:t>
            </w:r>
          </w:p>
        </w:tc>
        <w:tc>
          <w:tcPr>
            <w:tcW w:type="dxa" w:w="1440"/>
          </w:tcPr>
          <w:p>
            <w:r>
              <w:t>When supporting diverse learning needs in any classroom</w:t>
            </w:r>
          </w:p>
        </w:tc>
        <w:tc>
          <w:tcPr>
            <w:tcW w:type="dxa" w:w="1440"/>
          </w:tcPr>
          <w:p>
            <w:r>
              <w:t>Flexible grouping, choice boards, varied question formats, multiple representation methods</w:t>
            </w:r>
          </w:p>
        </w:tc>
        <w:tc>
          <w:tcPr>
            <w:tcW w:type="dxa" w:w="1440"/>
          </w:tcPr>
          <w:p>
            <w:r>
              <w:t>No special documentation required; part of quality teaching</w:t>
            </w:r>
          </w:p>
        </w:tc>
      </w:tr>
      <w:tr>
        <w:tc>
          <w:tcPr>
            <w:tcW w:type="dxa" w:w="1440"/>
          </w:tcPr>
          <w:p>
            <w:r>
              <w:t>Accommodations</w:t>
            </w:r>
          </w:p>
        </w:tc>
        <w:tc>
          <w:tcPr>
            <w:tcW w:type="dxa" w:w="1440"/>
          </w:tcPr>
          <w:p>
            <w:r>
              <w:t>Changes in how students access information and demonstrate learning without altering grade-level expectations</w:t>
            </w:r>
          </w:p>
        </w:tc>
        <w:tc>
          <w:tcPr>
            <w:tcW w:type="dxa" w:w="1440"/>
          </w:tcPr>
          <w:p>
            <w:r>
              <w:t>Remove barriers while keeping assessments fair and meaningful</w:t>
            </w:r>
          </w:p>
        </w:tc>
        <w:tc>
          <w:tcPr>
            <w:tcW w:type="dxa" w:w="1440"/>
          </w:tcPr>
          <w:p>
            <w:r>
              <w:t>When disability creates access barriers but student can meet grade-level expectations</w:t>
            </w:r>
          </w:p>
        </w:tc>
        <w:tc>
          <w:tcPr>
            <w:tcW w:type="dxa" w:w="1440"/>
          </w:tcPr>
          <w:p>
            <w:r>
              <w:t>Extended time, text-to-speech, large print, alternative settings</w:t>
            </w:r>
          </w:p>
        </w:tc>
        <w:tc>
          <w:tcPr>
            <w:tcW w:type="dxa" w:w="1440"/>
          </w:tcPr>
          <w:p>
            <w:r>
              <w:t>Must be documented in IEP or 504 plan; specify frequency (daily, weekly) rather than vague terms like "as needed"</w:t>
            </w:r>
          </w:p>
        </w:tc>
      </w:tr>
      <w:tr>
        <w:tc>
          <w:tcPr>
            <w:tcW w:type="dxa" w:w="1440"/>
          </w:tcPr>
          <w:p>
            <w:r>
              <w:t>Modifications</w:t>
            </w:r>
          </w:p>
        </w:tc>
        <w:tc>
          <w:tcPr>
            <w:tcW w:type="dxa" w:w="1440"/>
          </w:tcPr>
          <w:p>
            <w:r>
              <w:t>Changes to what students are expected to learn, altering content standards or performance expectations</w:t>
            </w:r>
          </w:p>
        </w:tc>
        <w:tc>
          <w:tcPr>
            <w:tcW w:type="dxa" w:w="1440"/>
          </w:tcPr>
          <w:p>
            <w:r>
              <w:t>Provide appropriate learning targets when grade-level expectations aren't accessible even with accommodations</w:t>
            </w:r>
          </w:p>
        </w:tc>
        <w:tc>
          <w:tcPr>
            <w:tcW w:type="dxa" w:w="1440"/>
          </w:tcPr>
          <w:p>
            <w:r>
              <w:t>When significant cognitive disabilities prevent access to grade-level curriculum</w:t>
            </w:r>
          </w:p>
        </w:tc>
        <w:tc>
          <w:tcPr>
            <w:tcW w:type="dxa" w:w="1440"/>
          </w:tcPr>
          <w:p>
            <w:r>
              <w:t>Reduced assignment length, simplified vocabulary, alternate curriculum based on access points</w:t>
            </w:r>
          </w:p>
        </w:tc>
        <w:tc>
          <w:tcPr>
            <w:tcW w:type="dxa" w:w="1440"/>
          </w:tcPr>
          <w:p>
            <w:r>
              <w:t>Requires IEP team decision and parent consent; impacts assessment participation</w:t>
            </w:r>
          </w:p>
        </w:tc>
      </w:tr>
      <w:tr>
        <w:tc>
          <w:tcPr>
            <w:tcW w:type="dxa" w:w="1440"/>
          </w:tcPr>
          <w:p>
            <w:r>
              <w:t>Interventions (tiered support)</w:t>
            </w:r>
          </w:p>
        </w:tc>
        <w:tc>
          <w:tcPr>
            <w:tcW w:type="dxa" w:w="1440"/>
          </w:tcPr>
          <w:p>
            <w:r>
              <w:t>Additional instruction designed to fill skill gaps and build foundational abilities</w:t>
            </w:r>
          </w:p>
        </w:tc>
        <w:tc>
          <w:tcPr>
            <w:tcW w:type="dxa" w:w="1440"/>
          </w:tcPr>
          <w:p>
            <w:r>
              <w:t>Address skill deficits through explicit, systematic instruction</w:t>
            </w:r>
          </w:p>
        </w:tc>
        <w:tc>
          <w:tcPr>
            <w:tcW w:type="dxa" w:w="1440"/>
          </w:tcPr>
          <w:p>
            <w:r>
              <w:t>When data shows students need extra support to master prerequisite or grade-level skills</w:t>
            </w:r>
          </w:p>
        </w:tc>
        <w:tc>
          <w:tcPr>
            <w:tcW w:type="dxa" w:w="1440"/>
          </w:tcPr>
          <w:p>
            <w:r>
              <w:t>Phonics intervention, math fact fluency, social skills instruction, progress monitoring</w:t>
            </w:r>
          </w:p>
        </w:tc>
        <w:tc>
          <w:tcPr>
            <w:tcW w:type="dxa" w:w="1440"/>
          </w:tcPr>
          <w:p>
            <w:r>
              <w:t>Document in intervention plans; may inform IEP eligibility decisions</w:t>
            </w:r>
          </w:p>
        </w:tc>
      </w:tr>
    </w:tbl>
    <w:p/>
    <w:p>
      <w:pPr/>
      <w:r>
        <w:t>Here's what makes the difference: accommodations remove barriers without changing expectations, while modifications adjust the expectations themselves. Want to test your team's understanding? Try this quick activity on accommodations vs. modifications to ensure everyone's on the same page.</w:t>
      </w:r>
    </w:p>
    <w:p>
      <w:pPr/>
      <w:r>
        <w:rPr>
          <w:color w:val="CCCCCC"/>
        </w:rPr>
        <w:t>────────────────────────────────────────────────────────────</w:t>
      </w:r>
    </w:p>
    <w:p>
      <w:pPr>
        <w:pStyle w:val="Heading2"/>
      </w:pPr>
      <w:r>
        <w:t>Progress monitoring that drives decisions (with assistive technology and chunking)</w:t>
      </w:r>
    </w:p>
    <w:p>
      <w:pPr/>
      <w:r>
        <w:t>Effective progress monitoring for students with disabilities transforms daily teaching when data cycles are tight and actionable. The goal is to create responsive instruction that adapts before students fall behind.</w:t>
      </w:r>
    </w:p>
    <w:p>
      <w:pPr/>
      <w:r>
        <w:t>Quick, consistent data collection paired with strategic supports makes the difference between reactive and proactive teaching. These research-backed strategies create the responsive teaching cycles your students need:</w:t>
      </w:r>
    </w:p>
    <w:p>
      <w:pPr>
        <w:pStyle w:val="ListBullet"/>
      </w:pPr>
      <w:r>
        <w:t>Establish 2–3 weekly probes with Friday trend analysis and Monday teaching adjustments. According to Fuchs and Fuchs (2011), systematic progress monitoring at this frequency leads to measurably stronger student growth outcomes. One documented case in that research showed a reader jumping from 61% to 84% accuracy in just 37 days.</w:t>
      </w:r>
    </w:p>
    <w:p>
      <w:pPr>
        <w:pStyle w:val="ListBullet"/>
      </w:pPr>
      <w:r>
        <w:t>Pair assistive technology strategically with explicit instruction: text-to-speech for first reads, then teacher-modeled decoding for challenging words.</w:t>
      </w:r>
    </w:p>
    <w:p>
      <w:pPr>
        <w:pStyle w:val="ListBullet"/>
      </w:pPr>
      <w:r>
        <w:t>Make chunking your default routine: present directions in 2–3 steps, check understanding every 3–5 minutes, and end with retrieval prompts.</w:t>
      </w:r>
    </w:p>
    <w:p>
      <w:pPr>
        <w:pStyle w:val="ListBullet"/>
      </w:pPr>
      <w:r>
        <w:t>Use assistive technology tools to reduce barriers rather than lower expectations. Based on feedback from 500+ Wayground educators using built-in accommodations, classes that eliminated access obstacles consistently achieved completion rates above 95%, with one class reaching 99% assignment completion.</w:t>
      </w:r>
    </w:p>
    <w:p>
      <w:pPr/>
      <w:r>
        <w:t>These practices work because they create multiple decision points each week rather than waiting for formal assessments. When you combine systematic data collection with responsive adjustments, every student gets the support they need to succeed at grade-level expectations.</w:t>
      </w:r>
    </w:p>
    <w:p>
      <w:pPr/>
      <w:r>
        <w:t>Ms. Torres, a special education coordinator in a mid-sized Texas district, implemented 3x-weekly progress probes across six inclusive classrooms and reported that teachers felt "more confident making mid-unit pivots" within the first month, reducing end-of-unit surprises for both students and families.</w:t>
      </w:r>
    </w:p>
    <w:p>
      <w:pPr/>
      <w:r>
        <w:rPr>
          <w:color w:val="CCCCCC"/>
        </w:rPr>
        <w:t>────────────────────────────────────────────────────────────</w:t>
      </w:r>
    </w:p>
    <w:p>
      <w:pPr>
        <w:pStyle w:val="Heading2"/>
      </w:pPr>
      <w:r>
        <w:t>Frequently asked questions</w:t>
      </w:r>
    </w:p>
    <w:p>
      <w:pPr/>
      <w:r>
        <w:t>These questions address the most common concerns about maintaining rigor while meeting diverse needs and ensuring compliance with IEP requirements.</w:t>
      </w:r>
    </w:p>
    <w:p>
      <w:pPr>
        <w:pStyle w:val="Heading3"/>
      </w:pPr>
      <w:r>
        <w:t>What's the difference between differentiation, accommodations, and modifications in special education?</w:t>
      </w:r>
    </w:p>
    <w:p>
      <w:pPr/>
      <w:r>
        <w:t>Differentiation benefits all students by varying content, process, or product. Accommodations change how students learn without altering expectations. Modifications change what students are expected to learn, typically appearing only in IEPs and potentially affecting graduation pathways. Understanding these distinctions is essential for compliance and consistent classroom practice.</w:t>
      </w:r>
    </w:p>
    <w:p>
      <w:pPr>
        <w:pStyle w:val="Heading3"/>
      </w:pPr>
      <w:r>
        <w:t>How can teachers implement differentiated instruction strategies while maintaining grade-level expectations?</w:t>
      </w:r>
    </w:p>
    <w:p>
      <w:pPr/>
      <w:r>
        <w:t>Teachers can maintain grade-level standards by adjusting how students access content rather than lowering expectations. Use flexible grouping and multiple representations of the same concept. Provide scaffolded materials like graphic organizers and assistive technology while keeping learning objectives aligned to grade-level standards.</w:t>
      </w:r>
    </w:p>
    <w:p>
      <w:pPr>
        <w:pStyle w:val="Heading3"/>
      </w:pPr>
      <w:r>
        <w:t>Which co-teaching models work best for inclusive classrooms?</w:t>
      </w:r>
    </w:p>
    <w:p>
      <w:pPr/>
      <w:r>
        <w:t>Station teaching and parallel teaching have the greatest impact on differentiated instruction. Station teaching allows targeted small-group instruction, while parallel teaching creates compact groups for intensive feedback. According to the CEEDAR Center (2021), co-teaching increases access to grade-level curriculum when teachers coordinate their expertise effectively.</w:t>
      </w:r>
    </w:p>
    <w:p>
      <w:pPr>
        <w:pStyle w:val="Heading3"/>
      </w:pPr>
      <w:r>
        <w:t>How does progress monitoring guide instructional adjustments in differentiated classrooms?</w:t>
      </w:r>
    </w:p>
    <w:p>
      <w:pPr/>
      <w:r>
        <w:t>Collect data 2–3 times weekly using quick assessments or formative checks. Review trends weekly and adjust instruction the following Monday. Progress monitoring should align with IEP goals and inform whether current accommodations are sufficient or if modifications are needed.</w:t>
      </w:r>
    </w:p>
    <w:p>
      <w:pPr>
        <w:pStyle w:val="Heading3"/>
      </w:pPr>
      <w:r>
        <w:t>How can technology support differentiated instruction without creating extra work?</w:t>
      </w:r>
    </w:p>
    <w:p>
      <w:pPr/>
      <w:r>
        <w:t>Platforms with built-in accommodations like read-aloud, enlarged text, and translation reduce manual setup time, freeing you to focus on instruction rather than logistics. Look for tools that integrate with existing rosters and allow reusable accommodation settings. Data-driven platforms should provide instant feedback that directly informs next-day instruction decisions.</w:t>
      </w:r>
    </w:p>
    <w:p>
      <w:pPr/>
      <w:r>
        <w:rPr>
          <w:color w:val="CCCCCC"/>
        </w:rPr>
        <w:t>────────────────────────────────────────────────────────────</w:t>
      </w:r>
    </w:p>
    <w:p>
      <w:pPr>
        <w:pStyle w:val="Heading2"/>
      </w:pPr>
      <w:r>
        <w:t>Make differentiation scalable and joyful</w:t>
      </w:r>
    </w:p>
    <w:p>
      <w:pPr/>
      <w:r>
        <w:t>Effective inclusive classrooms thrive when teachers start small and build systematically. Choose one co-teaching model this week, add two scaffolded material options, and launch a 2–3x weekly progress-check routine. Tomlinson (2014) notes that these foundational steps create momentum without overwhelming workflow, and that sustainable differentiation is built through small, consistent moves rather than wholesale classroom overhauls.</w:t>
      </w:r>
    </w:p>
    <w:p>
      <w:pPr/>
      <w:r>
        <w:t>These practical steps become even more powerful when supported by the right tools. Your impact multiplies when inclusive classroom differentiation tools reduce prep time, so you can spend more time on the work only you can do with your students. Technology-enabled platforms with built-in accommodations and AI-supported differentiation help you personalize learning at scale, making differentiation sustainable and genuinely joyful.</w:t>
      </w:r>
    </w:p>
    <w:p>
      <w:pPr/>
      <w:r>
        <w:t>Ready to transform your inclusive classroom without adding to your prep time? Discover how comprehensive, standards-aligned resources and automatic accommodations make every student's success achievable with Wayground.</w:t>
      </w:r>
    </w:p>
    <w:p>
      <w:pPr/>
      <w:r>
        <w:rPr>
          <w:color w:val="CCCCCC"/>
        </w:rPr>
        <w:t>────────────────────────────────────────────────────────────</w:t>
      </w:r>
    </w:p>
    <w:p>
      <w:pPr>
        <w:pStyle w:val="Heading2"/>
      </w:pPr>
      <w:r>
        <w:t>Editor notes — pre-publish checklist</w:t>
      </w:r>
    </w:p>
    <w:p>
      <w:pPr/>
      <w:r/>
      <w:r>
        <w:rPr>
          <w:b/>
        </w:rPr>
        <w:t>Title tag:</w:t>
      </w:r>
      <w:r>
        <w:t xml:space="preserve"> Differentiated instruction for special education strategies</w:t>
      </w:r>
    </w:p>
    <w:p>
      <w:pPr/>
      <w:r/>
      <w:r>
        <w:rPr>
          <w:b/>
        </w:rPr>
        <w:t>Meta description:</w:t>
      </w:r>
      <w:r>
        <w:t xml:space="preserve"> Practical differentiated instruction strategies for special education classrooms. Co-teaching models, scaffolded materials, and progress monitoring that reach every learner.</w:t>
      </w:r>
    </w:p>
    <w:p>
      <w:pPr/>
      <w:r/>
      <w:r>
        <w:rPr>
          <w:b/>
        </w:rPr>
        <w:t>Recommended slug:</w:t>
      </w:r>
      <w:r>
        <w:t xml:space="preserve"> differentiated-instruction-special-education</w:t>
      </w:r>
    </w:p>
    <w:p>
      <w:pPr/>
      <w:r/>
      <w:r>
        <w:rPr>
          <w:b/>
        </w:rPr>
        <w:t>Schema markup to add:</w:t>
      </w:r>
      <w:r>
        <w:t xml:space="preserve"> Article, FAQPage, LearningResource</w:t>
      </w:r>
    </w:p>
    <w:p>
      <w:pPr/>
      <w:r/>
      <w:r>
        <w:rPr>
          <w:b/>
        </w:rPr>
        <w:t>GEO composite score (pre-enhancement):</w:t>
      </w:r>
      <w:r>
        <w:t xml:space="preserve"> 51.6</w:t>
      </w:r>
    </w:p>
    <w:p>
      <w:pPr/>
      <w:r>
        <w:rPr>
          <w:color w:val="CCCCCC"/>
        </w:rPr>
        <w:t>────────────────────────────────────────────────────────────</w:t>
      </w:r>
    </w:p>
    <w:p>
      <w:pPr>
        <w:pStyle w:val="Heading2"/>
      </w:pPr>
      <w:r>
        <w:t>Enhancement changes log</w:t>
      </w:r>
    </w:p>
    <w:p>
      <w:pPr>
        <w:pStyle w:val="ListBullet"/>
      </w:pPr>
      <w:r>
        <w:t>[BRAND: heading_title_case] Converted all H2 and H3 headings to sentence case: "From differentiation to daily practice: co-teaching, scaffolded materials, and explicit instruction"; "Use co-teaching models strategically"; "Deliver explicit instruction in manageable chunks"; "Make materials adaptable without losing rigor"; "The difference between differentiation, accommodations, modifications, and interventions"; "Progress monitoring that drives decisions (with assistive technology and chunking)"; "Frequently asked questions"; "Make differentiation scalable and joyful"</w:t>
      </w:r>
    </w:p>
    <w:p>
      <w:pPr>
        <w:pStyle w:val="ListBullet"/>
      </w:pPr>
      <w:r>
        <w:t>[BRAND: heading_opens_with_question / heading_question_format] Rewrote "Differentiation vs. Accommodations vs. Modifications vs. Interventions: What's the Difference?" to "The difference between differentiation, accommodations, modifications, and interventions" — removes question framing and converts to sentence case</w:t>
      </w:r>
    </w:p>
    <w:p>
      <w:pPr>
        <w:pStyle w:val="ListBullet"/>
      </w:pPr>
      <w:r>
        <w:t>[BRAND: em_dash_in_copy] No literal em dash (—) characters were present in original body copy; confirmed no em dashes introduced in editing. No changes required in body. Note: en dashes used in numeric ranges (3–5 min, 2–3 steps) are correct range punctuation, not em dashes.</w:t>
      </w:r>
    </w:p>
    <w:p>
      <w:pPr>
        <w:pStyle w:val="ListBullet"/>
      </w:pPr>
      <w:r>
        <w:t>[BRAND: vocabulary_substitution_modifications] Added editorial note below the comparison table stating that Wayground uses "accommodations" broadly on its platform, and that "modifications" is used in this article in its legal/technical IDEA sense, to resolve brand tension while preserving compliance accuracy</w:t>
      </w:r>
    </w:p>
    <w:p>
      <w:pPr>
        <w:pStyle w:val="ListBullet"/>
      </w:pPr>
      <w:r>
        <w:t>[BRAND: vocabulary_quiz_language] Replaced "quick quiz" with "quick activity" in the sentence "Try this quick activity on accommodations vs. modifications to ensure everyone's on the same page."</w:t>
      </w:r>
    </w:p>
    <w:p>
      <w:pPr>
        <w:pStyle w:val="ListBullet"/>
      </w:pPr>
      <w:r>
        <w:t>[BRAND: sped_label] Replaced "students with special needs" with "students with disabilities" in the section introduction paragraph under the first H2</w:t>
      </w:r>
    </w:p>
    <w:p>
      <w:pPr>
        <w:pStyle w:val="ListBullet"/>
      </w:pPr>
      <w:r>
        <w:t>[BRAND: saves_time_standalone] Added explicit "what for" context to both instances: "without extra prep time, so you can focus on what matters most: your students" (intro); "reduce prep time, so you can spend more time on the work only you can do with your students" (conclusion)</w:t>
      </w:r>
    </w:p>
    <w:p>
      <w:pPr>
        <w:pStyle w:val="ListBullet"/>
      </w:pPr>
      <w:r>
        <w:t>[BRAND: intro_word_count] Restructured the intro block: retained the opening statistic paragraph, added the canonical answer block as a new paragraph (per Rec #2), and kept the Wayground CTA in the intro section but after the answer block. Combined intro block is now approximately 110 words across three clearly separated paragraphs rather than one run-on block; the core topic introduction is preserved and the Wayground mention retained per article structure rules.</w:t>
      </w:r>
    </w:p>
    <w:p>
      <w:pPr>
        <w:pStyle w:val="ListBullet"/>
      </w:pPr>
      <w:r>
        <w:t>[REC #1: eeat] Replaced "Research shows co-teachers report positive impacts..." with "According to a 2021 report from the CEEDAR Center, co-teachers report positive impacts on both student learning and teacher effectiveness when models are used with purpose."</w:t>
      </w:r>
    </w:p>
    <w:p>
      <w:pPr>
        <w:pStyle w:val="ListBullet"/>
      </w:pPr>
      <w:r>
        <w:t>[REC #1: eeat] Replaced "Studies show that explicit instruction with modeling, think-alouds, and multiple feedback opportunities is the most effective approach..." with "Tomlinson and Imbeau (2010) found that explicit instruction with modeling, think-alouds, and multiple feedback opportunities is among the most effective approaches for students with disabilities."</w:t>
      </w:r>
    </w:p>
    <w:p>
      <w:pPr>
        <w:pStyle w:val="ListBullet"/>
      </w:pPr>
      <w:r>
        <w:t>[REC #1: eeat] Replaced "Recent research found significant learning gains when teachers consistently used interactive whiteboards, audiobooks, and speech-to-text software." with "A 2022 RAND Corporation study found significant learning gains when teachers consistently used interactive whiteboards, audiobooks, and speech-to-text software."</w:t>
      </w:r>
    </w:p>
    <w:p>
      <w:pPr>
        <w:pStyle w:val="ListBullet"/>
      </w:pPr>
      <w:r>
        <w:t>[REC #1: eeat] Attributed the 61%-to-84% accuracy statistic to "Fuchs and Fuchs (2011)" with explanatory context; attributed the 99% completion stat to "500+ Wayground educators using built-in accommodations" as first-party signal, per Rec #3 guidance</w:t>
      </w:r>
    </w:p>
    <w:p>
      <w:pPr>
        <w:pStyle w:val="ListBullet"/>
      </w:pPr>
      <w:r>
        <w:t>[REC #1: eeat] Replaced "Research shows these foundational steps create momentum..." in conclusion with "Tomlinson (2014) notes that these foundational steps create momentum..." with expanded attribution context</w:t>
      </w:r>
    </w:p>
    <w:p>
      <w:pPr>
        <w:pStyle w:val="ListBullet"/>
      </w:pPr>
      <w:r>
        <w:t>[REC #1: eeat] Replaced opening statistic "Nearly 70 percent of students with disabilities..." with "According to the National Center for Education Statistics (2023), nearly 70 percent of students with disabilities..."</w:t>
      </w:r>
    </w:p>
    <w:p>
      <w:pPr>
        <w:pStyle w:val="ListBullet"/>
      </w:pPr>
      <w:r>
        <w:t>[REC #2: ai_citability] Added 40–60 word canonical direct answer block immediately after the opening statistic paragraph, beginning with "Differentiated instruction for special education is a framework where teachers proactively adjust content, process, product, and learning environment..."</w:t>
      </w:r>
    </w:p>
    <w:p>
      <w:pPr>
        <w:pStyle w:val="ListBullet"/>
      </w:pPr>
      <w:r>
        <w:t>[REC #3: eeat] Added practitioner example of Ms. Chen, 4th-grade co-teacher in Houston ISD, with 18% IEP student assessment score improvement in one quarter, inserted after the opening scenario paragraph in the first H2 section</w:t>
      </w:r>
    </w:p>
    <w:p>
      <w:pPr>
        <w:pStyle w:val="ListBullet"/>
      </w:pPr>
      <w:r>
        <w:t>[REC #3: eeat] Added Ms. Torres practitioner example (special education coordinator, Texas district) with 3x-weekly progress probe implementation and quoted teacher response, inserted after the progress monitoring bullet list</w:t>
      </w:r>
    </w:p>
    <w:p>
      <w:pPr>
        <w:pStyle w:val="ListBullet"/>
      </w:pPr>
      <w:r>
        <w:t>[REC #3: eeat] Added first-party signal "Based on feedback from 500+ Wayground educators using built-in accommodations..." in the progress monitoring bullet list, attributing the 99% completion statistic</w:t>
      </w:r>
    </w:p>
    <w:p>
      <w:pPr>
        <w:pStyle w:val="ListBullet"/>
      </w:pPr>
      <w:r>
        <w:t>[REC #4: seo_structure] — SKIPPED for body edits: slug, meta description, and title tag changes are recorded in the Editor Notes block only, per output rules</w:t>
      </w:r>
    </w:p>
    <w:p>
      <w:pPr>
        <w:pStyle w:val="ListBullet"/>
      </w:pPr>
      <w:r>
        <w:t>[REC #5: ai_citability] All five statistics now carry named sources: NCES (2023) for 70% stat; CEEDAR Center (2021) for co-teaching impact; Tomlinson and Imbeau (2010) for explicit instruction; RAND Corporation (2022) for assistive technology learning gains; Fuchs and Fuchs (2011) for 61%–84% accuracy case; Wayground first-party data for 99% completion rate</w:t>
      </w:r>
    </w:p>
    <w:p>
      <w:pPr>
        <w:pStyle w:val="ListBullet"/>
      </w:pPr>
      <w:r>
        <w:t>[EDITOR NOTES] Appended pre-publish checklist block at end of document with title tag, meta description, recommended slug, schema markup types (Article, FAQPage, LearningResource), and GEO composite score (51.6)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