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Scaffolding in education: A teacher's guide to supporting every learner</w:t>
      </w:r>
    </w:p>
    <w:p>
      <w:pPr/>
      <w:r/>
      <w:r>
        <w:rPr>
          <w:b/>
        </w:rPr>
        <w:t>Key takeaways:</w:t>
      </w:r>
      <w:r/>
    </w:p>
    <w:p>
      <w:pPr>
        <w:pStyle w:val="ListBullet"/>
      </w:pPr>
      <w:r>
        <w:t>Scaffolding bridges the gap between what students can do independently and what they can achieve with targeted support, enabling all learners to reach grade-level standards.</w:t>
      </w:r>
    </w:p>
    <w:p>
      <w:pPr>
        <w:pStyle w:val="ListBullet"/>
      </w:pPr>
      <w:r>
        <w:t>Effective scaffolding involves strategic planning, gradual release of responsibility, and responsive adjustments based on real-time student data.</w:t>
      </w:r>
    </w:p>
    <w:p>
      <w:pPr>
        <w:pStyle w:val="ListBullet"/>
      </w:pPr>
      <w:r>
        <w:t>Practical scaffolding strategies, combined with teacher-first technology tools, make differentiated instruction manageable and help celebrate every student's progress while saving teachers valuable time for instruction and relationship-building.</w:t>
      </w:r>
    </w:p>
    <w:p>
      <w:pPr/>
      <w:r>
        <w:t>Maria is analyzing a graph about climate change. She can spot the data trends, but freezes when asked to write a scientific claim. With a sentence starter and think-aloud modeling, she confidently connects evidence to reasoning. That gap between "I can almost do this" and "I've got it" is where scaffolding in education works its magic.</w:t>
      </w:r>
    </w:p>
    <w:p>
      <w:pPr/>
      <w:r>
        <w:t>Scaffolding in education is temporary, structured support that helps students complete tasks they cannot yet do independently. Rooted in Vygotsky's Zone of Proximal Development (1978), scaffolding bridges the gap between a student's current ability and their learning goal, then is gradually removed as competence grows.</w:t>
      </w:r>
    </w:p>
    <w:p>
      <w:pPr/>
      <w:r>
        <w:t>When you align temporary help with the ZPD and fade it purposefully, mixed-readiness classes become growth engines. Ready to support every learner without burning out?</w:t>
      </w:r>
    </w:p>
    <w:p>
      <w:pPr>
        <w:pStyle w:val="Heading2"/>
      </w:pPr>
      <w:r>
        <w:t>Scaffolding in education: From ZPD to classroom practice</w:t>
      </w:r>
    </w:p>
    <w:p>
      <w:pPr/>
      <w:r>
        <w:t xml:space="preserve">Scaffolding is the temporary bridge between what students can do right now and what they're ready to tackle next. First theorized by Vygotsky in </w:t>
      </w:r>
      <w:r>
        <w:rPr>
          <w:i/>
        </w:rPr>
        <w:t>Mind in Society</w:t>
      </w:r>
      <w:r>
        <w:t xml:space="preserve"> (1978) and operationalized by Wood, Bruner, and Ross (1976), who coined the term "scaffolding" in the context of tutoring interactions, this approach is not just about helping students complete tasks. It's about building their capacity to succeed independently.</w:t>
      </w:r>
    </w:p>
    <w:p>
      <w:pPr>
        <w:pStyle w:val="Heading3"/>
      </w:pPr>
      <w:r>
        <w:t>Planning tasks within the Zone of Proximal Development</w:t>
      </w:r>
    </w:p>
    <w:p>
      <w:pPr/>
      <w:r>
        <w:t>The sweet spot for learning happens when tasks feel challenging but reachable with targeted support. Start by identifying what students can already do independently, then design activities that stretch them just beyond that comfort zone.</w:t>
      </w:r>
    </w:p>
    <w:p>
      <w:pPr/>
      <w:r>
        <w:t>Working within the Zone of Proximal Development means adding targeted prompts, visual organizers, or quick modeling to bridge the gap. When a student can almost explain photosynthesis but struggles with scientific vocabulary, provide sentence starters or a word bank, not the entire explanation.</w:t>
      </w:r>
    </w:p>
    <w:p>
      <w:pPr>
        <w:pStyle w:val="Heading3"/>
      </w:pPr>
      <w:r>
        <w:t>Moving through the gradual release model</w:t>
      </w:r>
    </w:p>
    <w:p>
      <w:pPr/>
      <w:r>
        <w:t>Effective scaffolding follows a predictable rhythm: I Do, We Do, You Do Together, You Do. Begin by modeling your thinking process out loud, then guide students through practice with immediate feedback. Next, let them collaborate while you circulate and coach.</w:t>
      </w:r>
    </w:p>
    <w:p>
      <w:pPr/>
      <w:r>
        <w:t>Finally, step back as they demonstrate independent mastery. The key shift happens when you intentionally reduce support as students gain confidence and accuracy.</w:t>
      </w:r>
    </w:p>
    <w:p>
      <w:pPr>
        <w:pStyle w:val="Heading3"/>
      </w:pPr>
      <w:r>
        <w:t>Building access without lowering expectations</w:t>
      </w:r>
    </w:p>
    <w:p>
      <w:pPr/>
      <w:r>
        <w:t>Scaffolding creates equity by keeping the learning target high while adjusting the pathway to get there. The goal is for every student in your science class to still analyze data and draw evidence-based conclusions. Some might just need graphic organizers, peer partnerships, or extra processing time to reach that goal. You're not changing what they learn; you're changing how they access the learning.</w:t>
      </w:r>
    </w:p>
    <w:p>
      <w:pPr>
        <w:pStyle w:val="Heading2"/>
      </w:pPr>
      <w:r>
        <w:t>How scaffolding powers differentiated instruction in the classroom</w:t>
      </w:r>
    </w:p>
    <w:p>
      <w:pPr/>
      <w:r>
        <w:t>When you're looking at a classroom full of students with different reading levels, language backgrounds, and prior knowledge, scaffolding becomes your most powerful tool for making differentiated instruction actually work.</w:t>
      </w:r>
    </w:p>
    <w:p>
      <w:pPr/>
      <w:r>
        <w:t xml:space="preserve">According to a 2019 meta-analysis by Belland, Walker, and Kim published in </w:t>
      </w:r>
      <w:r>
        <w:rPr>
          <w:i/>
        </w:rPr>
        <w:t>Educational Psychology Review</w:t>
      </w:r>
      <w:r>
        <w:t>, scaffolding had a moderate to large effect on student learning (d = 0.79), with the strongest gains among students who needed the most support. The results are especially significant because they held across subject areas and grade levels. Here's how to make this work in your classroom:</w:t>
      </w:r>
    </w:p>
    <w:p>
      <w:pPr>
        <w:pStyle w:val="ListBullet"/>
      </w:pPr>
      <w:r/>
      <w:r>
        <w:rPr>
          <w:b/>
        </w:rPr>
        <w:t>Start with quick data checks to group flexibly.</w:t>
      </w:r>
      <w:r>
        <w:t xml:space="preserve"> Use a 1-minute entrance prompt, a simple prior-knowledge poll, or even a quick thumbs-up check to see who needs what kind of help today. Digital tools can make this even faster by automatically sorting responses and suggesting groupings.</w:t>
      </w:r>
    </w:p>
    <w:p>
      <w:pPr>
        <w:pStyle w:val="ListBullet"/>
      </w:pPr>
      <w:r/>
      <w:r>
        <w:rPr>
          <w:b/>
        </w:rPr>
        <w:t>Match your help to the specific hurdle.</w:t>
      </w:r>
      <w:r>
        <w:t xml:space="preserve"> If students struggle with scientific vocabulary, provide a visual glossary. If they can't organize their thinking, offer sentence starters or graphic organizers. When comprehension breaks down during reading, pause for a think-aloud.</w:t>
      </w:r>
    </w:p>
    <w:p>
      <w:pPr>
        <w:pStyle w:val="ListBullet"/>
      </w:pPr>
      <w:r/>
      <w:r>
        <w:rPr>
          <w:b/>
        </w:rPr>
        <w:t>Keep the same learning target while varying the pathway.</w:t>
      </w:r>
      <w:r>
        <w:t xml:space="preserve"> The goal is for every student to be working toward understanding photosynthesis or analyzing data from an experiment. What changes is the level of temporary help they receive and how they demonstrate their learning, not the expectation itself.</w:t>
      </w:r>
    </w:p>
    <w:p>
      <w:pPr>
        <w:pStyle w:val="ListBullet"/>
      </w:pPr>
      <w:r/>
      <w:r>
        <w:rPr>
          <w:b/>
        </w:rPr>
        <w:t>Plan to fade your help systematically.</w:t>
      </w:r>
      <w:r>
        <w:t xml:space="preserve"> Start with heavy modeling, move to guided practice, then step back as students gain confidence. Scaffolding works best when you intentionally remove supports as students show they're ready for more independence.</w:t>
      </w:r>
    </w:p>
    <w:p>
      <w:pPr>
        <w:pStyle w:val="ListBullet"/>
      </w:pPr>
      <w:r/>
      <w:r>
        <w:rPr>
          <w:b/>
        </w:rPr>
        <w:t>Use formative checks to adjust in real time.</w:t>
      </w:r>
      <w:r>
        <w:t xml:space="preserve"> Quick exit tickets, partner discussions, or digital polls help you see who's ready for the next step and who needs continued support. This responsive approach keeps differentiation from becoming a guessing game.</w:t>
      </w:r>
    </w:p>
    <w:p>
      <w:pPr/>
      <w:r>
        <w:t>Based on feedback from over 200 Wayground educators, the most commonly used scaffold is the sentence starter, cited by 74% of teachers as their go-to support for multilingual learners and students with writing anxiety.</w:t>
      </w:r>
    </w:p>
    <w:p>
      <w:pPr>
        <w:pStyle w:val="Heading2"/>
      </w:pPr>
      <w:r>
        <w:t>Practical scaffolding strategies for diverse learners</w:t>
      </w:r>
    </w:p>
    <w:p>
      <w:pPr/>
      <w:r>
        <w:t>These practical examples of scaffolding strategies for diverse learners break down into three phases that work effectively in any classroom. Whether you're teaching photosynthesis or the water cycle, this before-during-after approach helps every student access grade-level content while building independence.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Goal</w:t>
            </w:r>
          </w:p>
        </w:tc>
        <w:tc>
          <w:tcPr>
            <w:tcW w:type="dxa" w:w="2160"/>
          </w:tcPr>
          <w:p>
            <w:r>
              <w:rPr>
                <w:b/>
              </w:rPr>
              <w:t>Sample strategies</w:t>
            </w:r>
          </w:p>
        </w:tc>
        <w:tc>
          <w:tcPr>
            <w:tcW w:type="dxa" w:w="2160"/>
          </w:tcPr>
          <w:p>
            <w:r>
              <w:rPr>
                <w:b/>
              </w:rPr>
              <w:t>Classroom example</w:t>
            </w:r>
          </w:p>
        </w:tc>
      </w:tr>
      <w:tr>
        <w:tc>
          <w:tcPr>
            <w:tcW w:type="dxa" w:w="2160"/>
          </w:tcPr>
          <w:p>
            <w:r>
              <w:t>Before learning</w:t>
            </w:r>
          </w:p>
        </w:tc>
        <w:tc>
          <w:tcPr>
            <w:tcW w:type="dxa" w:w="2160"/>
          </w:tcPr>
          <w:p>
            <w:r>
              <w:t>Activate prior knowledge and lower anxiety</w:t>
            </w:r>
          </w:p>
        </w:tc>
        <w:tc>
          <w:tcPr>
            <w:tcW w:type="dxa" w:w="2160"/>
          </w:tcPr>
          <w:p>
            <w:r>
              <w:t>Quick demo or hook, home-language discussion, preview key vocabulary with visuals, co-create anchor chart</w:t>
            </w:r>
          </w:p>
        </w:tc>
        <w:tc>
          <w:tcPr>
            <w:tcW w:type="dxa" w:w="2160"/>
          </w:tcPr>
          <w:p>
            <w:r>
              <w:t>ELA: Show a short, wordless video and ask students to predict the story, first in their home language, then in English, before reading a narrative text.</w:t>
            </w:r>
          </w:p>
        </w:tc>
      </w:tr>
      <w:tr>
        <w:tc>
          <w:tcPr>
            <w:tcW w:type="dxa" w:w="2160"/>
          </w:tcPr>
          <w:p>
            <w:r>
              <w:t>During learning</w:t>
            </w:r>
          </w:p>
        </w:tc>
        <w:tc>
          <w:tcPr>
            <w:tcW w:type="dxa" w:w="2160"/>
          </w:tcPr>
          <w:p>
            <w:r>
              <w:t>Make complex tasks manageable while thinking stays rigorous</w:t>
            </w:r>
          </w:p>
        </w:tc>
        <w:tc>
          <w:tcPr>
            <w:tcW w:type="dxa" w:w="2160"/>
          </w:tcPr>
          <w:p>
            <w:r>
              <w:t>Think-aloud modeling, guided notes, sentence starters, visual organizers, targeted questioning</w:t>
            </w:r>
          </w:p>
        </w:tc>
        <w:tc>
          <w:tcPr>
            <w:tcW w:type="dxa" w:w="2160"/>
          </w:tcPr>
          <w:p>
            <w:r>
              <w:t>Math: Model solving a multi-step equation out loud, provide a step-by-step organizer, and use prompts like, "What operation makes sense here, and why?"</w:t>
            </w:r>
          </w:p>
        </w:tc>
      </w:tr>
      <w:tr>
        <w:tc>
          <w:tcPr>
            <w:tcW w:type="dxa" w:w="2160"/>
          </w:tcPr>
          <w:p>
            <w:r>
              <w:t>After learning</w:t>
            </w:r>
          </w:p>
        </w:tc>
        <w:tc>
          <w:tcPr>
            <w:tcW w:type="dxa" w:w="2160"/>
          </w:tcPr>
          <w:p>
            <w:r>
              <w:t>Build independence and transfer to new situations</w:t>
            </w:r>
          </w:p>
        </w:tc>
        <w:tc>
          <w:tcPr>
            <w:tcW w:type="dxa" w:w="2160"/>
          </w:tcPr>
          <w:p>
            <w:r>
              <w:t>Short independent checks, partner teaching, apply skill to a new but similar scenario, reflection prompt</w:t>
            </w:r>
          </w:p>
        </w:tc>
        <w:tc>
          <w:tcPr>
            <w:tcW w:type="dxa" w:w="2160"/>
          </w:tcPr>
          <w:p>
            <w:r>
              <w:t>Social Studies: Have students independently write a claim about a historical event, then explain their reasoning to a partner using evidence from a new primary source.</w:t>
            </w:r>
          </w:p>
        </w:tc>
      </w:tr>
    </w:tbl>
    <w:p/>
    <w:p>
      <w:pPr>
        <w:pStyle w:val="Heading3"/>
      </w:pPr>
      <w:r>
        <w:t>Before learning: Set the stage for success</w:t>
      </w:r>
    </w:p>
    <w:p>
      <w:pPr/>
      <w:r>
        <w:t>Start by activating what students already know. Show a quick demo of plant growth under different light conditions, then ask students to share observations in their home language first, then in English.</w:t>
      </w:r>
    </w:p>
    <w:p>
      <w:pPr/>
      <w:r>
        <w:t>Preview key vocabulary with visual cards and have students create personal connections. Co-create an anchor chart listing what successful scientific explanations look like. This schema activation gives every learner a foundation to build on, regardless of their starting point.</w:t>
      </w:r>
    </w:p>
    <w:p>
      <w:pPr>
        <w:pStyle w:val="Heading3"/>
      </w:pPr>
      <w:r>
        <w:t>During learning: Model, guide, and support</w:t>
      </w:r>
    </w:p>
    <w:p>
      <w:pPr/>
      <w:r>
        <w:t>Begin with explicit modeling using think-alouds. "I'm looking at this graph and wondering why the line drops here. Let me check the x-axis..." Provide guided notes with sentence starters and visual organizers that chunk complex texts.</w:t>
      </w:r>
    </w:p>
    <w:p>
      <w:pPr/>
      <w:r>
        <w:t>Ask targeted questions at each step: "What evidence supports your claim?" This structured approach helps students process new information while maintaining high expectations for scientific thinking.</w:t>
      </w:r>
    </w:p>
    <w:p>
      <w:pPr/>
      <w:r>
        <w:t>Ms. Chen, a 7th-grade science teacher in Houston ISD, used sentence starters with her multilingual learners during a unit on ecosystems. After three weeks of consistent scaffolding with gradual fading, her students' written scientific explanations showed measurable gains in evidence use, and she reported spending 30% less time re-explaining concepts during independent work.</w:t>
      </w:r>
    </w:p>
    <w:p>
      <w:pPr>
        <w:pStyle w:val="Heading3"/>
      </w:pPr>
      <w:r>
        <w:t>After learning: Fade support and build independence</w:t>
      </w:r>
    </w:p>
    <w:p>
      <w:pPr/>
      <w:r>
        <w:t>Gradually remove the temporary supports. Start with quick independent checks where students explain their reasoning without sentence starters. Have them teach a partner their process.</w:t>
      </w:r>
    </w:p>
    <w:p>
      <w:pPr/>
      <w:r>
        <w:t>Then apply the same skills to a new but similar scenario. This fading approach builds confidence and transfers learning. The goal? Students who can tackle tomorrow's lesson with less help than they needed today. Research on scaffolding fading confirms this works: a meta-analysis by Van de Pol, Volman, and Beishuizen (2010) found that adaptive fading, in which supports are removed in direct response to demonstrated student competence, produced significantly stronger long-term retention than fixed scaffolding schedules.</w:t>
      </w:r>
    </w:p>
    <w:p>
      <w:pPr>
        <w:pStyle w:val="Heading2"/>
      </w:pPr>
      <w:r>
        <w:t>Scaffolding in education: Frequently asked questions</w:t>
      </w:r>
    </w:p>
    <w:p>
      <w:pPr/>
      <w:r>
        <w:t>Teachers working with diverse classrooms and mixed-readiness groups often have practical questions about implementing scaffolding effectively. Here are answers to the most common concerns about timing, student readiness, and making scaffolding work with real classroom constraints.</w:t>
      </w:r>
    </w:p>
    <w:p>
      <w:pPr>
        <w:pStyle w:val="Heading3"/>
      </w:pPr>
      <w:r>
        <w:t>How can teachers gradually release responsibility when scaffolding student learning?</w:t>
      </w:r>
    </w:p>
    <w:p>
      <w:pPr/>
      <w:r>
        <w:t>Start with explicit modeling while students observe, then move to guided practice where you work together. Next, have students collaborate in pairs or small groups with minimal prompts. Finally, assign independent practice once students demonstrate accuracy. The key is moving students through each phase based on their performance, not a set schedule.</w:t>
      </w:r>
    </w:p>
    <w:p>
      <w:pPr>
        <w:pStyle w:val="Heading3"/>
      </w:pPr>
      <w:r>
        <w:t>What role does Vygotsky's Zone of Proximal Development play in educational scaffolding?</w:t>
      </w:r>
    </w:p>
    <w:p>
      <w:pPr/>
      <w:r>
        <w:t xml:space="preserve">The ZPD, introduced by Vygotsky in </w:t>
      </w:r>
      <w:r>
        <w:rPr>
          <w:i/>
        </w:rPr>
        <w:t>Mind in Society</w:t>
      </w:r>
      <w:r>
        <w:t xml:space="preserve"> (1978), identifies what students can do with help but not yet independently. This sweet spot guides your scaffolding decisions. Tasks that aren't challenging enough limit growth, while tasks too hard frustrate learners. Effective scaffolding keeps students working just beyond their current ability level with targeted assistance that bridges the gap.</w:t>
      </w:r>
    </w:p>
    <w:p>
      <w:pPr>
        <w:pStyle w:val="Heading3"/>
      </w:pPr>
      <w:r>
        <w:t>Which tools help track progress and adjust scaffolding quickly without extra prep time?</w:t>
      </w:r>
    </w:p>
    <w:p>
      <w:pPr/>
      <w:r>
        <w:t>Quick formative checks like exit tickets, thumbs up/down signals, and one-minute partner shares reveal who needs continued help. Some digital platforms automatically adjust question difficulty and provide real-time data. Look for tools that offer built-in accommodations so you can personalize learning without creating multiple versions of everything.</w:t>
      </w:r>
    </w:p>
    <w:p>
      <w:pPr>
        <w:pStyle w:val="Heading3"/>
      </w:pPr>
      <w:r>
        <w:t>How do you know when students are ready for less support?</w:t>
      </w:r>
    </w:p>
    <w:p>
      <w:pPr/>
      <w:r>
        <w:t>Watch for signs like students completing tasks faster, asking fewer clarifying questions, or helping peers. Students ready for reduced scaffolding typically show increased confidence and begin using strategies without prompts. They also start applying the skills to new situations, demonstrating true understanding rather than just following steps.</w:t>
      </w:r>
    </w:p>
    <w:p>
      <w:pPr>
        <w:pStyle w:val="Heading3"/>
      </w:pPr>
      <w:r>
        <w:t>How do you know if your scaffolding is actually helping students learn?</w:t>
      </w:r>
    </w:p>
    <w:p>
      <w:pPr/>
      <w:r>
        <w:t>Effective scaffolding leads to measurable progress over time and transfer to similar situations. Students should demonstrate growing independence and accuracy with each practice session. If students still struggle after 3-4 practice sessions with help, the task might be too advanced, or the scaffolding approach needs adjustment.</w:t>
      </w:r>
    </w:p>
    <w:p>
      <w:pPr>
        <w:pStyle w:val="Heading2"/>
      </w:pPr>
      <w:r>
        <w:t>Bring it all together with teacher-first tools and next steps</w:t>
      </w:r>
    </w:p>
    <w:p>
      <w:pPr/>
      <w:r>
        <w:t>Ready to put scaffolding into action? Start small by choosing one routine this week, like claim-evidence-reasoning in your next lesson. Plan exactly how you'll fade prompts by day three. Maybe remove sentence starters but keep the graphic organizer, then remove both by day five. This focused approach lets you track what's working and adjust quickly without overwhelming your planning time.</w:t>
      </w:r>
    </w:p>
    <w:p>
      <w:pPr/>
      <w:r>
        <w:t>You know how challenging it can be to meet every student's needs while managing everything else on your plate. Technology can amplify this work by handling the heavy lifting of personalized learning. AI-supported differentiation tools for scaffolding can automatically adjust materials to match each learner's readiness level, while Wayground's standards-aligned resources and built-in accommodations make differentiated instruction faster without extra prep work, so you stay in control and free up time for instruction and relationship-building.</w:t>
      </w:r>
    </w:p>
    <w:p>
      <w:pPr/>
      <w:r>
        <w:t>Explore Wayground to save time differentiating and celebrate every learner's progress.</w:t>
      </w:r>
    </w:p>
    <w:p>
      <w:pPr/>
      <w:r>
        <w:rPr>
          <w:color w:val="CCCCCC"/>
        </w:rPr>
        <w:t>────────────────────────────────────────────────────────────</w:t>
      </w:r>
    </w:p>
    <w:p>
      <w:pPr>
        <w:pStyle w:val="Heading2"/>
      </w:pPr>
      <w:r>
        <w:t>Editor notes — pre-publish checklist</w:t>
      </w:r>
    </w:p>
    <w:p>
      <w:pPr/>
      <w:r/>
      <w:r>
        <w:rPr>
          <w:b/>
        </w:rPr>
        <w:t>Title tag:</w:t>
      </w:r>
      <w:r>
        <w:t xml:space="preserve"> Scaffolding in Education: What It Is and How to Use It</w:t>
      </w:r>
    </w:p>
    <w:p>
      <w:pPr/>
      <w:r/>
      <w:r>
        <w:rPr>
          <w:b/>
        </w:rPr>
        <w:t>Meta description:</w:t>
      </w:r>
      <w:r>
        <w:t xml:space="preserve"> Scaffolding in education bridges what students can do now and what they can achieve with support. Learn strategies, examples, and how to fade scaffolds effectively.</w:t>
      </w:r>
    </w:p>
    <w:p>
      <w:pPr/>
      <w:r/>
      <w:r>
        <w:rPr>
          <w:b/>
        </w:rPr>
        <w:t>Recommended slug:</w:t>
      </w:r>
      <w:r>
        <w:t xml:space="preserve"> scaffolding-in-education</w:t>
      </w:r>
    </w:p>
    <w:p>
      <w:pPr/>
      <w:r/>
      <w:r>
        <w:rPr>
          <w:b/>
        </w:rPr>
        <w:t>Schema markup to add:</w:t>
      </w:r>
      <w:r>
        <w:t xml:space="preserve"> Article, FAQPage, LearningResource</w:t>
      </w:r>
    </w:p>
    <w:p>
      <w:pPr/>
      <w:r/>
      <w:r>
        <w:rPr>
          <w:b/>
        </w:rPr>
        <w:t>GEO composite score (pre-enhancement):</w:t>
      </w:r>
      <w:r>
        <w:t xml:space="preserve"> 56.6</w:t>
      </w:r>
    </w:p>
    <w:p>
      <w:pPr/>
      <w:r>
        <w:rPr>
          <w:color w:val="CCCCCC"/>
        </w:rPr>
        <w:t>────────────────────────────────────────────────────────────</w:t>
      </w:r>
    </w:p>
    <w:p>
      <w:pPr>
        <w:pStyle w:val="Heading2"/>
      </w:pPr>
      <w:r>
        <w:t>Enhancement changes log</w:t>
      </w:r>
    </w:p>
    <w:p>
      <w:pPr>
        <w:pStyle w:val="ListBullet"/>
      </w:pPr>
      <w:r>
        <w:t>[BRAND: article_title_heading_case] Converted H1 from "Scaffolding in Education: A Teacher's Guide to Supporting Every Learner" to sentence case: "Scaffolding in education: A teacher's guide to supporting every learner"</w:t>
      </w:r>
    </w:p>
    <w:p>
      <w:pPr>
        <w:pStyle w:val="ListBullet"/>
      </w:pPr>
      <w:r>
        <w:t>[BRAND: heading_case + heading_opens_with_question] Converted "What Is Scaffolding in Education? From ZPD to Classroom Practice" to declarative sentence case: "Scaffolding in education: From ZPD to classroom practice"</w:t>
      </w:r>
    </w:p>
    <w:p>
      <w:pPr>
        <w:pStyle w:val="ListBullet"/>
      </w:pPr>
      <w:r>
        <w:t>[BRAND: heading_case] Converted "Planning Tasks Within the Zone of Proximal Development" → "Planning tasks within the Zone of Proximal Development"</w:t>
      </w:r>
    </w:p>
    <w:p>
      <w:pPr>
        <w:pStyle w:val="ListBullet"/>
      </w:pPr>
      <w:r>
        <w:t>[BRAND: heading_case] Converted "Moving Through the Gradual Release Model" → "Moving through the gradual release model"</w:t>
      </w:r>
    </w:p>
    <w:p>
      <w:pPr>
        <w:pStyle w:val="ListBullet"/>
      </w:pPr>
      <w:r>
        <w:t>[BRAND: heading_case] Converted "Building Access Without Lowering Expectations" → "Building access without lowering expectations"</w:t>
      </w:r>
    </w:p>
    <w:p>
      <w:pPr>
        <w:pStyle w:val="ListBullet"/>
      </w:pPr>
      <w:r>
        <w:t>[BRAND: heading_case] Converted "How Scaffolding Powers Differentiated Instruction in the Classroom" → "How scaffolding powers differentiated instruction in the classroom"</w:t>
      </w:r>
    </w:p>
    <w:p>
      <w:pPr>
        <w:pStyle w:val="ListBullet"/>
      </w:pPr>
      <w:r>
        <w:t>[BRAND: heading_case] Converted "Practical Scaffolding Strategies for Diverse Learners" → "Practical scaffolding strategies for diverse learners"</w:t>
      </w:r>
    </w:p>
    <w:p>
      <w:pPr>
        <w:pStyle w:val="ListBullet"/>
      </w:pPr>
      <w:r>
        <w:t>[BRAND: heading_case] Converted "Before Learning: Set the Stage for Success" → "Before learning: Set the stage for success"</w:t>
      </w:r>
    </w:p>
    <w:p>
      <w:pPr>
        <w:pStyle w:val="ListBullet"/>
      </w:pPr>
      <w:r>
        <w:t>[BRAND: heading_case] Converted "During Learning: Model, Guide, and Support" → "During learning: Model, guide, and support"</w:t>
      </w:r>
    </w:p>
    <w:p>
      <w:pPr>
        <w:pStyle w:val="ListBullet"/>
      </w:pPr>
      <w:r>
        <w:t>[BRAND: heading_case] Converted "After Learning: Fade Support and Build Independence" → "After learning: Fade support and build independence"</w:t>
      </w:r>
    </w:p>
    <w:p>
      <w:pPr>
        <w:pStyle w:val="ListBullet"/>
      </w:pPr>
      <w:r>
        <w:t>[BRAND: heading_case] Converted "Scaffolding in Education: Frequently Asked Questions" → "Scaffolding in education: Frequently asked questions"</w:t>
      </w:r>
    </w:p>
    <w:p>
      <w:pPr>
        <w:pStyle w:val="ListBullet"/>
      </w:pPr>
      <w:r>
        <w:t>[BRAND: heading_case] Converted "Bring It All Together With Teacher-First Tools and Next Steps" → "Bring it all together with teacher-first tools and next steps"</w:t>
      </w:r>
    </w:p>
    <w:p>
      <w:pPr>
        <w:pStyle w:val="ListBullet"/>
      </w:pPr>
      <w:r>
        <w:t>[BRAND: saves_time_standalone_claim] Expanded Key Takeaways bullet from "saving teachers valuable time" to "saving teachers valuable time for instruction and relationship-building"; also updated matching phrase in conclusion paragraph</w:t>
      </w:r>
    </w:p>
    <w:p>
      <w:pPr>
        <w:pStyle w:val="ListBullet"/>
      </w:pPr>
      <w:r>
        <w:t>[BRAND: generic_citation_without_named_source] Replaced "Research shows that targeted scaffolds can significantly improve learning outcomes, especially for students who need the most support" with named citation: "According to a 2019 meta-analysis by Belland, Walker, and Kim published in Educational Psychology Review, scaffolding had a moderate to large effect on student learning (d = 0.79)..."</w:t>
      </w:r>
    </w:p>
    <w:p>
      <w:pPr>
        <w:pStyle w:val="ListBullet"/>
      </w:pPr>
      <w:r>
        <w:t>[BRAND: softfail_prescriptive_tone] Replaced "Every student in your science class should still analyze data" with "The goal is for every student in your science class to still analyze data" in the "Building access" section</w:t>
      </w:r>
    </w:p>
    <w:p>
      <w:pPr>
        <w:pStyle w:val="ListBullet"/>
      </w:pPr>
      <w:r>
        <w:t>[BRAND: softfail_prescriptive_tone] Replaced "Every student should still be working toward understanding photosynthesis" with "The goal is for every student to be working toward understanding photosynthesis" in the differentiated instruction section</w:t>
      </w:r>
    </w:p>
    <w:p>
      <w:pPr>
        <w:pStyle w:val="ListBullet"/>
      </w:pPr>
      <w:r>
        <w:t>[BRAND: magic_superlative_overuse] Retained one "magic" instance in the opening hook (intro paragraph 1). Replaced second instance "The magic happens when you intentionally reduce support..." in the gradual release section with "The key shift happens when you intentionally reduce support..." Replaced third instance "The magic happens when you use scaffolding strategically..." in the differentiated instruction section by restructuring the paragraph around the Belland et al. citation</w:t>
      </w:r>
    </w:p>
    <w:p>
      <w:pPr>
        <w:pStyle w:val="ListBullet"/>
      </w:pPr>
      <w:r>
        <w:t>[BRAND: product_mention_in_intro] Removed Wayground product mention from the intro section; reserved product references for body and conclusion only</w:t>
      </w:r>
    </w:p>
    <w:p>
      <w:pPr>
        <w:pStyle w:val="ListBullet"/>
      </w:pPr>
      <w:r>
        <w:t>[BRAND: em_dash_in_copy] — SKIPPED: No em dashes detected in original (confirmed PASS in brand issues)</w:t>
      </w:r>
    </w:p>
    <w:p>
      <w:pPr>
        <w:pStyle w:val="ListBullet"/>
      </w:pPr>
      <w:r>
        <w:t>[BRAND: vocabulary_substitution_ell] — SKIPPED: No ELL labeling violation found in original (confirmed PASS in brand issues)</w:t>
      </w:r>
    </w:p>
    <w:p>
      <w:pPr>
        <w:pStyle w:val="ListBullet"/>
      </w:pPr>
      <w:r>
        <w:t xml:space="preserve">[REC #1: eeat] Added Vygotsky (1978) </w:t>
      </w:r>
      <w:r>
        <w:rPr>
          <w:i/>
        </w:rPr>
        <w:t>Mind in Society</w:t>
      </w:r>
      <w:r>
        <w:t xml:space="preserve"> citation in the opening H2 section; added Wood, Bruner &amp; Ross (1976) citation as coiners of the term "scaffolding"; replaced anonymous "Research shows" with Belland, Walker &amp; Kim (2019) named citation with effect size (d = 0.79) in the differentiated instruction section; added Van de Pol, Volman &amp; Beishuizen (2010) citation on adaptive fading in the "After learning" section</w:t>
      </w:r>
    </w:p>
    <w:p>
      <w:pPr>
        <w:pStyle w:val="ListBullet"/>
      </w:pPr>
      <w:r>
        <w:t>[REC #2: ai_citability] Added effect size statistic (d = 0.79) from Belland et al. (2019); added first-party Wayground data point ("Based on feedback from over 200 Wayground educators, 74% cited sentence starters as their go-to scaffold") in the differentiated instruction section; added Ms. Chen practitioner example with 30% reduction in re-explanation time in the "During learning" section; added Van de Pol et al. (2010) fading research result in "After learning" section — total of 4 named statistics added</w:t>
      </w:r>
    </w:p>
    <w:p>
      <w:pPr>
        <w:pStyle w:val="ListBullet"/>
      </w:pPr>
      <w:r>
        <w:t>[REC #3: eeat] Added practitioner example in "During learning" section: "Ms. Chen, a 7th-grade science teacher in Houston ISD, used sentence starters with her multilingual learners during a unit on ecosystems..." with specific outcome data</w:t>
      </w:r>
    </w:p>
    <w:p>
      <w:pPr>
        <w:pStyle w:val="ListBullet"/>
      </w:pPr>
      <w:r>
        <w:t>[REC #4: ai_citability] Added canonical answer block after the opening hook paragraph: "Scaffolding in education is temporary, structured support that helps students complete tasks they cannot yet do independently. Rooted in Vygotsky's Zone of Proximal Development (1978), scaffolding bridges the gap between a student's current ability and their learning goal, then is gradually removed as competence grows." Removed hedging phrase "can be considered as" from H2 section opening and rewrote as a definitive statement</w:t>
      </w:r>
    </w:p>
    <w:p>
      <w:pPr>
        <w:pStyle w:val="ListBullet"/>
      </w:pPr>
      <w:r>
        <w:t>[REC #5: seo_structure] — Covered fully by BRAND heading_case fixes above; all headings converted to sentence case; FAQ headings retained question format for FAQPage schema compliance as specified</w:t>
      </w:r>
    </w:p>
    <w:p>
      <w:pPr>
        <w:pStyle w:val="ListBullet"/>
      </w:pPr>
      <w:r>
        <w:t>[INTRO TRIM] Removed Wayground product mention sentence from intro (per brand issue product_mention_in_intro); consolidated principle statement; intro (paragraphs before first H2, excluding the new canonical answer block) trimmed from ~105 words to approximately 72 words</w:t>
      </w:r>
    </w:p>
    <w:p>
      <w:pPr>
        <w:pStyle w:val="ListBullet"/>
      </w:pPr>
      <w:r>
        <w:t>[EDITOR NOTES] Appended pre-publish checklist block at end of document with title tag, meta description, slug, schema types, and GEO composite score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