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PROCESS CATALOGUE</w:t>
      </w:r>
    </w:p>
    <w:p>
      <w:pPr>
        <w:spacing w:after="100"/>
        <w:jc w:val="center"/>
      </w:pPr>
      <w:r>
        <w:rPr>
          <w:rFonts w:ascii="Arial" w:cs="Arial" w:eastAsia="Arial" w:hAnsi="Arial"/>
          <w:color w:val="6C757D"/>
          <w:sz w:val="36"/>
          <w:szCs w:val="36"/>
        </w:rPr>
        <w:t xml:space="preserve">Development Readiness Report</w:t>
      </w:r>
    </w:p>
    <w:p>
      <w:pPr>
        <w:spacing w:after="40"/>
        <w:jc w:val="center"/>
      </w:pPr>
      <w:r>
        <w:rPr>
          <w:rFonts w:ascii="Arial" w:cs="Arial" w:eastAsia="Arial" w:hAnsi="Arial"/>
          <w:color w:val="1A1A2E"/>
          <w:sz w:val="28"/>
          <w:szCs w:val="28"/>
        </w:rPr>
        <w:t xml:space="preserve">Blueprint v1.9 Assessment</w:t>
      </w:r>
    </w:p>
    <w:p>
      <w:pPr>
        <w:spacing w:before="200" w:after="200"/>
        <w:jc w:val="center"/>
      </w:pPr>
      <w:r>
        <w:rPr>
          <w:rFonts w:ascii="Arial" w:cs="Arial" w:eastAsia="Arial" w:hAnsi="Arial"/>
          <w:color w:val="F5C518"/>
          <w:sz w:val="20"/>
          <w:szCs w:val="20"/>
        </w:rPr>
        <w:t xml:space="preserve">━━━━━━━━━━━━━━━━━━━━━━━━━━━━━━━━━━━━━━━━━━━━━━━━</w:t>
      </w:r>
    </w:p>
    <w:p>
      <w:pPr>
        <w:spacing w:after="60"/>
        <w:jc w:val="center"/>
      </w:pPr>
      <w:r>
        <w:rPr>
          <w:rFonts w:ascii="Arial" w:cs="Arial" w:eastAsia="Arial" w:hAnsi="Arial"/>
          <w:color w:val="6C757D"/>
          <w:sz w:val="22"/>
          <w:szCs w:val="22"/>
        </w:rPr>
        <w:t xml:space="preserve">Prepared: 1 February 2026</w:t>
      </w:r>
    </w:p>
    <w:p>
      <w:pPr>
        <w:spacing w:after="60"/>
        <w:jc w:val="center"/>
      </w:pPr>
      <w:r>
        <w:rPr>
          <w:rFonts w:ascii="Arial" w:cs="Arial" w:eastAsia="Arial" w:hAnsi="Arial"/>
          <w:color w:val="6C757D"/>
          <w:sz w:val="20"/>
          <w:szCs w:val="20"/>
        </w:rPr>
        <w:t xml:space="preserve">Document: 7,281 lines  |  16 sections  |  45+ data tables</w:t>
      </w:r>
    </w:p>
    <w:p>
      <w:pPr>
        <w:spacing w:after="60"/>
        <w:jc w:val="center"/>
      </w:pPr>
      <w:r>
        <w:rPr>
          <w:rFonts w:ascii="Arial" w:cs="Arial" w:eastAsia="Arial" w:hAnsi="Arial"/>
          <w:color w:val="6C757D"/>
          <w:sz w:val="20"/>
          <w:szCs w:val="20"/>
        </w:rPr>
        <w:t xml:space="preserve">Source: Surity Process Catalogue Operating Model (14 Excel sheets)</w:t>
      </w:r>
    </w:p>
    <w:p>
      <w:pPr>
        <w:spacing w:before="600" w:after="60"/>
        <w:jc w:val="center"/>
      </w:pPr>
      <w:r>
        <w:rPr>
          <w:rFonts w:ascii="Arial" w:cs="Arial" w:eastAsia="Arial" w:hAnsi="Arial"/>
          <w:b/>
          <w:bCs/>
          <w:color w:val="28A745"/>
          <w:sz w:val="28"/>
          <w:szCs w:val="28"/>
        </w:rPr>
        <w:t xml:space="preserve">VERDICT: READY FOR DEVELOPMENT</w:t>
      </w:r>
    </w:p>
    <w:p>
      <w:pPr>
        <w:jc w:val="center"/>
      </w:pPr>
      <w:r>
        <w:rPr>
          <w:rFonts w:ascii="Arial" w:cs="Arial" w:eastAsia="Arial" w:hAnsi="Arial"/>
          <w:color w:val="6C757D"/>
          <w:sz w:val="20"/>
          <w:szCs w:val="20"/>
        </w:rPr>
        <w:t xml:space="preserve">Overall Readiness: 76%  —  Strong foundation with targeted gaps to address during build</w:t>
      </w:r>
    </w:p>
    <w:p>
      <w:r>
        <w:br w:type="page"/>
      </w:r>
    </w:p>
    <w:p>
      <w:pPr>
        <w:pStyle w:val="Heading1"/>
        <w:spacing w:before="360" w:after="180"/>
      </w:pPr>
      <w:r>
        <w:rPr>
          <w:rFonts w:ascii="Arial" w:cs="Arial" w:eastAsia="Arial" w:hAnsi="Arial"/>
          <w:b/>
          <w:bCs/>
          <w:color w:val="1A1A2E"/>
          <w:sz w:val="32"/>
          <w:szCs w:val="32"/>
        </w:rPr>
        <w:t xml:space="preserve">1. Executive Summary</w:t>
      </w:r>
    </w:p>
    <w:p>
      <w:pPr>
        <w:spacing w:before="80" w:after="80" w:line="276"/>
      </w:pPr>
      <w:r>
        <w:rPr>
          <w:rFonts w:ascii="Arial" w:cs="Arial" w:eastAsia="Arial" w:hAnsi="Arial"/>
          <w:color w:val="333333"/>
          <w:sz w:val="20"/>
          <w:szCs w:val="20"/>
        </w:rPr>
        <w:t xml:space="preserve">Blueprint v1.9 has been systematically reviewed across all 16 sections to assess development readiness for the Process Catalogue multi-tenant SaaS platform. The specification covers architecture, requirements, data model, UI design, authentication, non-functional requirements, and technical stack for both Global (Vercel/Supabase) and China (Alibaba Cloud) deployments.</w:t>
      </w:r>
    </w:p>
    <w:p>
      <w:pPr>
        <w:pStyle w:val="Heading2"/>
        <w:spacing w:before="280" w:after="140"/>
      </w:pPr>
      <w:r>
        <w:rPr>
          <w:rFonts w:ascii="Arial" w:cs="Arial" w:eastAsia="Arial" w:hAnsi="Arial"/>
          <w:b/>
          <w:bCs/>
          <w:color w:val="1A1A2E"/>
          <w:sz w:val="26"/>
          <w:szCs w:val="26"/>
        </w:rPr>
        <w:t xml:space="preserve">1.1 Readiness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4760"/>
      </w:tblGrid>
      <w:tr>
        <w:tc>
          <w:tcPr>
            <w:tcW w:type="dxa" w:w="2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Category</w:t>
            </w:r>
          </w:p>
        </w:tc>
        <w:tc>
          <w:tcPr>
            <w:tcW w:type="dxa" w:w="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Score</w:t>
            </w:r>
          </w:p>
        </w:tc>
        <w:tc>
          <w:tcPr>
            <w:tcW w:type="dxa" w:w="1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Status</w:t>
            </w:r>
          </w:p>
        </w:tc>
        <w:tc>
          <w:tcPr>
            <w:tcW w:type="dxa" w:w="47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Summary</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Architecture</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95%</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Excellent</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 Spine + 7 components, clear separation of concerns</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Requirements</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95%</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Excellent</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All features detailed, all 14 Excel sheets mapped to data model</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Data Model</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98%</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Excellent</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45+ tables, ERD, indexes, RLS, constraints fully specified</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UI Specification</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Very Good</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12 screens, design system, 16 components, accessibility</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 &amp; Security</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95%</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Excellent</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Passwordless magic links, domain restriction, RBAC, audit logging</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Technical Stack</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90%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28A745"/>
                <w:sz w:val="18"/>
                <w:szCs w:val="18"/>
              </w:rPr>
              <w:t xml:space="preserve">✅ Very Good</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Global + China stacks with rationale, dual deployment model</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NFRs</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85%</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6C757D"/>
                <w:sz w:val="18"/>
                <w:szCs w:val="18"/>
              </w:rPr>
              <w:t xml:space="preserve">✅ Good</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Performance, security, scalability targets with measurable thresholds</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Implementation Guide</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DC3545"/>
                <w:sz w:val="18"/>
                <w:szCs w:val="18"/>
              </w:rPr>
              <w:t xml:space="preserve">30%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FFC107"/>
                <w:sz w:val="18"/>
                <w:szCs w:val="18"/>
              </w:rPr>
              <w:t xml:space="preserve">⚠️ Needs Work</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Section 16 placeholder — build instructions, file structure needed</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API Documentation</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FFC107"/>
                <w:sz w:val="18"/>
                <w:szCs w:val="18"/>
              </w:rPr>
              <w:t xml:space="preserve">60%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FFC107"/>
                <w:sz w:val="18"/>
                <w:szCs w:val="18"/>
              </w:rPr>
              <w:t xml:space="preserve">⚠️ Needs Work</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Endpoints listed but request/response schemas not defined</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Testing Strategy</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DC3545"/>
                <w:sz w:val="18"/>
                <w:szCs w:val="18"/>
              </w:rPr>
              <w:t xml:space="preserve">20%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FFC107"/>
                <w:sz w:val="18"/>
                <w:szCs w:val="18"/>
              </w:rPr>
              <w:t xml:space="preserve">⚠️ Needs Work</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Not specified — unit, integration, E2E approach needed</w:t>
            </w:r>
          </w:p>
        </w:tc>
      </w:tr>
    </w:tbl>
    <w:p>
      <w:pPr>
        <w:spacing w:before="200"/>
      </w:pPr>
    </w:p>
    <w:p>
      <w:pPr>
        <w:spacing w:before="80" w:after="80" w:line="276"/>
      </w:pPr>
      <w:r>
        <w:rPr>
          <w:rFonts w:ascii="Arial" w:cs="Arial" w:eastAsia="Arial" w:hAnsi="Arial"/>
          <w:b/>
          <w:bCs/>
          <w:color w:val="1A1A2E"/>
          <w:sz w:val="20"/>
          <w:szCs w:val="20"/>
        </w:rPr>
        <w:t xml:space="preserve">Overall Score: </w:t>
      </w:r>
      <w:r>
        <w:rPr>
          <w:rFonts w:ascii="Arial" w:cs="Arial" w:eastAsia="Arial" w:hAnsi="Arial"/>
          <w:color w:val="333333"/>
          <w:sz w:val="20"/>
          <w:szCs w:val="20"/>
        </w:rPr>
        <w:t xml:space="preserve">76% — Ready for development with targeted gaps to fill during build.</w:t>
      </w:r>
    </w:p>
    <w:p>
      <w:pPr>
        <w:spacing w:before="80" w:after="80" w:line="276"/>
      </w:pPr>
      <w:r>
        <w:rPr>
          <w:rFonts w:ascii="Arial" w:cs="Arial" w:eastAsia="Arial" w:hAnsi="Arial"/>
          <w:b/>
          <w:bCs/>
          <w:color w:val="1A1A2E"/>
          <w:sz w:val="20"/>
          <w:szCs w:val="20"/>
        </w:rPr>
        <w:t xml:space="preserve">Recommendation: </w:t>
      </w:r>
      <w:r>
        <w:rPr>
          <w:rFonts w:ascii="Arial" w:cs="Arial" w:eastAsia="Arial" w:hAnsi="Arial"/>
          <w:color w:val="333333"/>
          <w:sz w:val="20"/>
          <w:szCs w:val="20"/>
        </w:rPr>
        <w:t xml:space="preserve">Begin development immediately. Prioritize foundation (auth, shell, database) then core features (Process Catalogue, RIADA, Business Model). Address gaps incrementally.</w:t>
      </w:r>
    </w:p>
    <w:p>
      <w:r>
        <w:br w:type="page"/>
      </w:r>
    </w:p>
    <w:p>
      <w:pPr>
        <w:pStyle w:val="Heading1"/>
        <w:spacing w:before="360" w:after="180"/>
      </w:pPr>
      <w:r>
        <w:rPr>
          <w:rFonts w:ascii="Arial" w:cs="Arial" w:eastAsia="Arial" w:hAnsi="Arial"/>
          <w:b/>
          <w:bCs/>
          <w:color w:val="1A1A2E"/>
          <w:sz w:val="32"/>
          <w:szCs w:val="32"/>
        </w:rPr>
        <w:t xml:space="preserve">2. Specification Strengths</w:t>
      </w:r>
    </w:p>
    <w:p>
      <w:pPr>
        <w:pStyle w:val="Heading2"/>
        <w:spacing w:before="280" w:after="140"/>
      </w:pPr>
      <w:r>
        <w:rPr>
          <w:rFonts w:ascii="Arial" w:cs="Arial" w:eastAsia="Arial" w:hAnsi="Arial"/>
          <w:b/>
          <w:bCs/>
          <w:color w:val="1A1A2E"/>
          <w:sz w:val="26"/>
          <w:szCs w:val="26"/>
        </w:rPr>
        <w:t xml:space="preserve">2.1 Architecture Clarity (95%)</w:t>
      </w:r>
    </w:p>
    <w:p>
      <w:pPr>
        <w:spacing w:before="80" w:after="80" w:line="276"/>
      </w:pPr>
      <w:r>
        <w:rPr>
          <w:rFonts w:ascii="Arial" w:cs="Arial" w:eastAsia="Arial" w:hAnsi="Arial"/>
          <w:color w:val="333333"/>
          <w:sz w:val="20"/>
          <w:szCs w:val="20"/>
        </w:rPr>
        <w:t xml:space="preserve">The Process Spine integration model provides an elegant central backbone. Every component (Business Model, RIADA, Operating Model, Portfolio, Surveys) attaches to the same process hierarchy through well-defined foreign keys. The 6-level hierarchy (L0–L5) with primary and secondary process classifications enables multi-dimensional roll-up without data duplication. The separation between core process data and component-specific concerns is clean and will support independent feature development.</w:t>
      </w:r>
    </w:p>
    <w:p>
      <w:pPr>
        <w:pStyle w:val="Heading2"/>
        <w:spacing w:before="280" w:after="140"/>
      </w:pPr>
      <w:r>
        <w:rPr>
          <w:rFonts w:ascii="Arial" w:cs="Arial" w:eastAsia="Arial" w:hAnsi="Arial"/>
          <w:b/>
          <w:bCs/>
          <w:color w:val="1A1A2E"/>
          <w:sz w:val="26"/>
          <w:szCs w:val="26"/>
        </w:rPr>
        <w:t xml:space="preserve">2.2 Data Model Completeness (98%)</w:t>
      </w:r>
    </w:p>
    <w:p>
      <w:pPr>
        <w:spacing w:before="80" w:after="80" w:line="276"/>
      </w:pPr>
      <w:r>
        <w:rPr>
          <w:rFonts w:ascii="Arial" w:cs="Arial" w:eastAsia="Arial" w:hAnsi="Arial"/>
          <w:color w:val="333333"/>
          <w:sz w:val="20"/>
          <w:szCs w:val="20"/>
        </w:rPr>
        <w:t xml:space="preserve">This is the strongest area of the specification. All 45+ tables include column names, data types, constraints, and foreign key relationships. The ERD documents entity relationships visually. Indexes are specified for common query patterns (tenant lookups, hierarchy traversal, status filtering). Row-Level Security policies are defined for multi-tenant isolation. Polymorphic attachments for RIADA (attaching to processes, projects, or BM components) are thoughtfully designed. Hierarchical query optimization uses materialized paths for fast tree traversal.</w:t>
      </w:r>
    </w:p>
    <w:p>
      <w:pPr>
        <w:pStyle w:val="Heading2"/>
        <w:spacing w:before="280" w:after="140"/>
      </w:pPr>
      <w:r>
        <w:rPr>
          <w:rFonts w:ascii="Arial" w:cs="Arial" w:eastAsia="Arial" w:hAnsi="Arial"/>
          <w:b/>
          <w:bCs/>
          <w:color w:val="1A1A2E"/>
          <w:sz w:val="26"/>
          <w:szCs w:val="26"/>
        </w:rPr>
        <w:t xml:space="preserve">2.3 Requirements Depth (95%)</w:t>
      </w:r>
    </w:p>
    <w:p>
      <w:pPr>
        <w:spacing w:before="80" w:after="80" w:line="276"/>
      </w:pPr>
      <w:r>
        <w:rPr>
          <w:rFonts w:ascii="Arial" w:cs="Arial" w:eastAsia="Arial" w:hAnsi="Arial"/>
          <w:color w:val="333333"/>
          <w:sz w:val="20"/>
          <w:szCs w:val="20"/>
        </w:rPr>
        <w:t xml:space="preserve">Each of the 7 feature components has comprehensive specifications: Business Model covers canvas components, agentic fields, and SWOT/RIADA attachment. Process Catalogue defines the 6-level hierarchy with automation tracking and resource allocation. RIADA specifies all 5 types (Risk, Issue, Action, Dependency, Assumption) across 4 categories and 4 severity levels. Operating Model covers 10 components with current/future state tracking. Portfolio includes 7-level hierarchy, WSVF prioritization, and light PM features. Surveys support 4 modes (AI Fluency, Operating Model maturity, Change Readiness, Adoption Evidence). All 14 Excel source sheets are mapped to the data model.</w:t>
      </w:r>
    </w:p>
    <w:p>
      <w:pPr>
        <w:pStyle w:val="Heading2"/>
        <w:spacing w:before="280" w:after="140"/>
      </w:pPr>
      <w:r>
        <w:rPr>
          <w:rFonts w:ascii="Arial" w:cs="Arial" w:eastAsia="Arial" w:hAnsi="Arial"/>
          <w:b/>
          <w:bCs/>
          <w:color w:val="1A1A2E"/>
          <w:sz w:val="26"/>
          <w:szCs w:val="26"/>
        </w:rPr>
        <w:t xml:space="preserve">2.4 Authentication System (95%)</w:t>
      </w:r>
    </w:p>
    <w:p>
      <w:pPr>
        <w:spacing w:before="80" w:after="80" w:line="276"/>
      </w:pPr>
      <w:r>
        <w:rPr>
          <w:rFonts w:ascii="Arial" w:cs="Arial" w:eastAsia="Arial" w:hAnsi="Arial"/>
          <w:color w:val="333333"/>
          <w:sz w:val="20"/>
          <w:szCs w:val="20"/>
        </w:rPr>
        <w:t xml:space="preserve">The passwordless magic link authentication system (Section 6.2) is specified to production-ready depth: token characteristics (64-char, 15-min expiry, single-use), rate limiting (5 per hour per email, 60s cooldown), domain-restricted access with DNS TXT verification, self-registration and admin-invited flows, complete data model (OrganizationDomain, MagicLinkToken, UserSession, AuthAuditLog tables), 18 API endpoints covering auth, user management, and domain management, plus China deployment mapping to Alibaba IDaaS/DirectMail.</w:t>
      </w:r>
    </w:p>
    <w:p>
      <w:pPr>
        <w:pStyle w:val="Heading2"/>
        <w:spacing w:before="280" w:after="140"/>
      </w:pPr>
      <w:r>
        <w:rPr>
          <w:rFonts w:ascii="Arial" w:cs="Arial" w:eastAsia="Arial" w:hAnsi="Arial"/>
          <w:b/>
          <w:bCs/>
          <w:color w:val="1A1A2E"/>
          <w:sz w:val="26"/>
          <w:szCs w:val="26"/>
        </w:rPr>
        <w:t xml:space="preserve">2.5 UI Design System (90%)</w:t>
      </w:r>
    </w:p>
    <w:p>
      <w:pPr>
        <w:spacing w:before="80" w:after="80" w:line="276"/>
      </w:pPr>
      <w:r>
        <w:rPr>
          <w:rFonts w:ascii="Arial" w:cs="Arial" w:eastAsia="Arial" w:hAnsi="Arial"/>
          <w:color w:val="333333"/>
          <w:sz w:val="20"/>
          <w:szCs w:val="20"/>
        </w:rPr>
        <w:t xml:space="preserve">Section 10 provides a comprehensive UI specification: application shell (collapsible sidebar, header with org switcher, global search, notifications), 12 screen wireframes, a 16-component design system (Surity brand colors, Nunito font, light/dark mode), WCAG 2.1 AA accessibility, 4 responsive breakpoints with mobile bottom navigation, and standardized patterns for data tables, forms, empty states, and report generation.</w:t>
      </w:r>
    </w:p>
    <w:p>
      <w:r>
        <w:br w:type="page"/>
      </w:r>
    </w:p>
    <w:p>
      <w:pPr>
        <w:pStyle w:val="Heading1"/>
        <w:spacing w:before="360" w:after="180"/>
      </w:pPr>
      <w:r>
        <w:rPr>
          <w:rFonts w:ascii="Arial" w:cs="Arial" w:eastAsia="Arial" w:hAnsi="Arial"/>
          <w:b/>
          <w:bCs/>
          <w:color w:val="1A1A2E"/>
          <w:sz w:val="32"/>
          <w:szCs w:val="32"/>
        </w:rPr>
        <w:t xml:space="preserve">3. Issues &amp; Gaps Identified</w:t>
      </w:r>
    </w:p>
    <w:p>
      <w:pPr>
        <w:pStyle w:val="Heading2"/>
        <w:spacing w:before="280" w:after="140"/>
      </w:pPr>
      <w:r>
        <w:rPr>
          <w:rFonts w:ascii="Arial" w:cs="Arial" w:eastAsia="Arial" w:hAnsi="Arial"/>
          <w:b/>
          <w:bCs/>
          <w:color w:val="1A1A2E"/>
          <w:sz w:val="26"/>
          <w:szCs w:val="26"/>
        </w:rPr>
        <w:t xml:space="preserve">3.1 Critical: Section 16 Implementation Notes (30%)</w:t>
      </w:r>
    </w:p>
    <w:p>
      <w:pPr>
        <w:spacing w:before="80" w:after="80" w:line="276"/>
      </w:pPr>
      <w:r>
        <w:rPr>
          <w:rFonts w:ascii="Arial" w:cs="Arial" w:eastAsia="Arial" w:hAnsi="Arial"/>
          <w:color w:val="333333"/>
          <w:sz w:val="20"/>
          <w:szCs w:val="20"/>
        </w:rPr>
        <w:t xml:space="preserve">Section 16 is entirely placeholder text. For Claude Code to build effectively, this section needs: step-by-step build instructions for both Global and China stacks, recommended file/directory structure for Next.js frontend and FastAPI backend, dependency manifests (package.json, requirements.txt, environment variables), data migration strategy for importing the 14 Excel sheets, and a CI/CD pipeline configuration. Without this, the developer must make structural decisions that should be specification-driven.</w:t>
      </w:r>
    </w:p>
    <w:p>
      <w:pPr>
        <w:pStyle w:val="Heading3"/>
        <w:spacing w:before="200" w:after="100"/>
      </w:pPr>
      <w:r>
        <w:rPr>
          <w:rFonts w:ascii="Arial" w:cs="Arial" w:eastAsia="Arial" w:hAnsi="Arial"/>
          <w:b/>
          <w:bCs/>
          <w:color w:val="495057"/>
          <w:sz w:val="22"/>
          <w:szCs w:val="22"/>
        </w:rPr>
        <w:t xml:space="preserve">Recommended File Structure</w:t>
      </w:r>
    </w:p>
    <w:p>
      <w:pPr>
        <w:spacing w:before="80" w:after="80" w:line="276"/>
      </w:pPr>
      <w:r>
        <w:rPr>
          <w:rFonts w:ascii="Arial" w:cs="Arial" w:eastAsia="Arial" w:hAnsi="Arial"/>
          <w:color w:val="333333"/>
          <w:sz w:val="20"/>
          <w:szCs w:val="20"/>
        </w:rPr>
        <w:t xml:space="preserve">/frontend (Next.js 14+ App Router) — /app, /components (shadcn/ui + custom), /lib (utilities, API client), /hooks (React hooks), /locales (i18n). /backend (FastAPI) — /app/api/v1 (endpoints), /app/services (business logic), /app/models (SQLAlchemy ORM), /app/core (auth, multi-tenancy middleware), /alembic (migrations), /tests. /docs — /architecture, /api (OpenAPI specs).</w:t>
      </w:r>
    </w:p>
    <w:p>
      <w:pPr>
        <w:pStyle w:val="Heading2"/>
        <w:spacing w:before="280" w:after="140"/>
      </w:pPr>
      <w:r>
        <w:rPr>
          <w:rFonts w:ascii="Arial" w:cs="Arial" w:eastAsia="Arial" w:hAnsi="Arial"/>
          <w:b/>
          <w:bCs/>
          <w:color w:val="1A1A2E"/>
          <w:sz w:val="26"/>
          <w:szCs w:val="26"/>
        </w:rPr>
        <w:t xml:space="preserve">3.2 Important: Authentication Specification Contradictions</w:t>
      </w:r>
    </w:p>
    <w:p>
      <w:pPr>
        <w:spacing w:before="80" w:after="80" w:line="276"/>
      </w:pPr>
      <w:r>
        <w:rPr>
          <w:rFonts w:ascii="Arial" w:cs="Arial" w:eastAsia="Arial" w:hAnsi="Arial"/>
          <w:color w:val="333333"/>
          <w:sz w:val="20"/>
          <w:szCs w:val="20"/>
        </w:rPr>
        <w:t xml:space="preserve">Section 6.2 specifies passwordless magic link authentication as the primary method. However, Section 8.2 (Security NFRs) states 'OAuth 2.0 / OIDC, SAML 2.0 for enterprise SSO.' Section 9 (Technical Architecture) references 'Supabase Auth + Clerk (SSO)' for Global and 'Keycloak' for China. The GitHub Integration section (6.3) references 'Encrypted OAuth token.' These are not necessarily contradictory (magic links for standard users, SSO for enterprise), but the Blueprint needs a clear statement reconciling these: magic link as the primary default, with OAuth/SAML as optional enterprise add-ons. The implementation priority should be magic links first, SSO second.</w:t>
      </w:r>
    </w:p>
    <w:p>
      <w:pPr>
        <w:pStyle w:val="Heading2"/>
        <w:spacing w:before="280" w:after="140"/>
      </w:pPr>
      <w:r>
        <w:rPr>
          <w:rFonts w:ascii="Arial" w:cs="Arial" w:eastAsia="Arial" w:hAnsi="Arial"/>
          <w:b/>
          <w:bCs/>
          <w:color w:val="1A1A2E"/>
          <w:sz w:val="26"/>
          <w:szCs w:val="26"/>
        </w:rPr>
        <w:t xml:space="preserve">3.3 Important: Section Numbering Errors</w:t>
      </w:r>
    </w:p>
    <w:p>
      <w:pPr>
        <w:spacing w:before="80" w:after="80" w:line="276"/>
      </w:pPr>
      <w:r>
        <w:rPr>
          <w:rFonts w:ascii="Arial" w:cs="Arial" w:eastAsia="Arial" w:hAnsi="Arial"/>
          <w:color w:val="333333"/>
          <w:sz w:val="20"/>
          <w:szCs w:val="20"/>
        </w:rPr>
        <w:t xml:space="preserve">Several structural issues exist in the document: Section 5 (Reference Data Catalogues) exists as subsections (5.1–5.3) but has no parent '## 5' heading — it appears embedded between Sections 4 and 6. Sections 11, 12, and 13 are entirely missing from the numbering — the document jumps from Section 10 (UI Design) to Section 14 (Open Questions). Within Section 6.3 (GitHub Integration), subsection numbering conflicts: '6.4.1' and '6.4.2' are used for GitHub features, then reused for LLM Integration, then reused again for Permission Model. Webhook Events is numbered '6.2.3' but should be under 6.3.x or 6.4.x.</w:t>
      </w:r>
    </w:p>
    <w:p>
      <w:pPr>
        <w:pStyle w:val="Heading3"/>
        <w:spacing w:before="200" w:after="100"/>
      </w:pPr>
      <w:r>
        <w:rPr>
          <w:rFonts w:ascii="Arial" w:cs="Arial" w:eastAsia="Arial" w:hAnsi="Arial"/>
          <w:b/>
          <w:bCs/>
          <w:color w:val="495057"/>
          <w:sz w:val="22"/>
          <w:szCs w:val="22"/>
        </w:rPr>
        <w:t xml:space="preserve">Recommended Section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Correct Number</w:t>
            </w:r>
          </w:p>
        </w:tc>
        <w:tc>
          <w:tcPr>
            <w:tcW w:type="dxa" w:w="3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Current Number</w:t>
            </w:r>
          </w:p>
        </w:tc>
        <w:tc>
          <w:tcPr>
            <w:tcW w:type="dxa" w:w="39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Action Required</w:t>
            </w:r>
          </w:p>
        </w:tc>
      </w:tr>
      <w:tr>
        <w:tc>
          <w:tcPr>
            <w:tcW w:type="dxa" w:w="2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 5</w:t>
            </w:r>
          </w:p>
        </w:tc>
        <w:tc>
          <w:tcPr>
            <w:tcW w:type="dxa" w:w="3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(missing)</w:t>
            </w:r>
          </w:p>
        </w:tc>
        <w:tc>
          <w:tcPr>
            <w:tcW w:type="dxa" w:w="39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Add parent heading for Reference Data Catalogues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 11</w:t>
            </w:r>
          </w:p>
        </w:tc>
        <w:tc>
          <w:tcPr>
            <w:tcW w:type="dxa" w:w="3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(missing)</w:t>
            </w:r>
          </w:p>
        </w:tc>
        <w:tc>
          <w:tcPr>
            <w:tcW w:type="dxa" w:w="39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Reserve or add content (e.g., Glossary)</w:t>
            </w:r>
          </w:p>
        </w:tc>
      </w:tr>
      <w:tr>
        <w:tc>
          <w:tcPr>
            <w:tcW w:type="dxa" w:w="2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 12</w:t>
            </w:r>
          </w:p>
        </w:tc>
        <w:tc>
          <w:tcPr>
            <w:tcW w:type="dxa" w:w="3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(missing)</w:t>
            </w:r>
          </w:p>
        </w:tc>
        <w:tc>
          <w:tcPr>
            <w:tcW w:type="dxa" w:w="39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Reserve or add content (e.g., Appendices)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 13</w:t>
            </w:r>
          </w:p>
        </w:tc>
        <w:tc>
          <w:tcPr>
            <w:tcW w:type="dxa" w:w="3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(missing)</w:t>
            </w:r>
          </w:p>
        </w:tc>
        <w:tc>
          <w:tcPr>
            <w:tcW w:type="dxa" w:w="39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Reserve or add content (e.g., Decision Log)</w:t>
            </w:r>
          </w:p>
        </w:tc>
      </w:tr>
      <w:tr>
        <w:tc>
          <w:tcPr>
            <w:tcW w:type="dxa" w:w="2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6.3.1–6.3.5</w:t>
            </w:r>
          </w:p>
        </w:tc>
        <w:tc>
          <w:tcPr>
            <w:tcW w:type="dxa" w:w="3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6.4.1–6.4.2 / 6.2.3–6.2.5</w:t>
            </w:r>
          </w:p>
        </w:tc>
        <w:tc>
          <w:tcPr>
            <w:tcW w:type="dxa" w:w="39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Renumber GitHub Integration subsections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6.4.1–6.4.11</w:t>
            </w:r>
          </w:p>
        </w:tc>
        <w:tc>
          <w:tcPr>
            <w:tcW w:type="dxa" w:w="3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6.4.1–6.4.2 (duped)</w:t>
            </w:r>
          </w:p>
        </w:tc>
        <w:tc>
          <w:tcPr>
            <w:tcW w:type="dxa" w:w="39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Renumber LLM Integration subsections</w:t>
            </w:r>
          </w:p>
        </w:tc>
      </w:tr>
      <w:tr>
        <w:tc>
          <w:tcPr>
            <w:tcW w:type="dxa" w:w="2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6.5.1–6.5.3</w:t>
            </w:r>
          </w:p>
        </w:tc>
        <w:tc>
          <w:tcPr>
            <w:tcW w:type="dxa" w:w="3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6.4.1–6.4.3 (duped)</w:t>
            </w:r>
          </w:p>
        </w:tc>
        <w:tc>
          <w:tcPr>
            <w:tcW w:type="dxa" w:w="39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Renumber Permission Model subsections</w:t>
            </w:r>
          </w:p>
        </w:tc>
      </w:tr>
    </w:tbl>
    <w:p>
      <w:pPr>
        <w:pStyle w:val="Heading2"/>
        <w:spacing w:before="280" w:after="140"/>
      </w:pPr>
      <w:r>
        <w:rPr>
          <w:rFonts w:ascii="Arial" w:cs="Arial" w:eastAsia="Arial" w:hAnsi="Arial"/>
          <w:b/>
          <w:bCs/>
          <w:color w:val="1A1A2E"/>
          <w:sz w:val="26"/>
          <w:szCs w:val="26"/>
        </w:rPr>
        <w:t xml:space="preserve">3.4 Moderate: API Documentation Gaps</w:t>
      </w:r>
    </w:p>
    <w:p>
      <w:pPr>
        <w:spacing w:before="80" w:after="80" w:line="276"/>
      </w:pPr>
      <w:r>
        <w:rPr>
          <w:rFonts w:ascii="Arial" w:cs="Arial" w:eastAsia="Arial" w:hAnsi="Arial"/>
          <w:color w:val="333333"/>
          <w:sz w:val="20"/>
          <w:szCs w:val="20"/>
        </w:rPr>
        <w:t xml:space="preserve">Section 9.7 lists API endpoints by resource but lacks request/response payload schemas, error response formats, pagination strategy (cursor vs offset), and rate limiting details per endpoint. FastAPI auto-generates OpenAPI documentation, so the critical need is defining Pydantic models (request/response schemas) during implementation. A Postman collection and curl examples document would also accelerate testing.</w:t>
      </w:r>
    </w:p>
    <w:p>
      <w:pPr>
        <w:pStyle w:val="Heading2"/>
        <w:spacing w:before="280" w:after="140"/>
      </w:pPr>
      <w:r>
        <w:rPr>
          <w:rFonts w:ascii="Arial" w:cs="Arial" w:eastAsia="Arial" w:hAnsi="Arial"/>
          <w:b/>
          <w:bCs/>
          <w:color w:val="1A1A2E"/>
          <w:sz w:val="26"/>
          <w:szCs w:val="26"/>
        </w:rPr>
        <w:t xml:space="preserve">3.5 Moderate: Prompt Library Implementation Details</w:t>
      </w:r>
    </w:p>
    <w:p>
      <w:pPr>
        <w:spacing w:before="80" w:after="80" w:line="276"/>
      </w:pPr>
      <w:r>
        <w:rPr>
          <w:rFonts w:ascii="Arial" w:cs="Arial" w:eastAsia="Arial" w:hAnsi="Arial"/>
          <w:color w:val="333333"/>
          <w:sz w:val="20"/>
          <w:szCs w:val="20"/>
        </w:rPr>
        <w:t xml:space="preserve">Section 4.4.6 comprehensively specifies the Prompt Library (templates, execution, context injection) but does not address: LLM provider abstraction layer (OpenAI vs Anthropic vs Alibaba Qwen), token counting and cost tracking per tenant, prompt template versioning, context size limits for large processes, or streaming vs batch execution. This requires an LLM service abstraction with pluggable providers.</w:t>
      </w:r>
    </w:p>
    <w:p>
      <w:pPr>
        <w:pStyle w:val="Heading2"/>
        <w:spacing w:before="280" w:after="140"/>
      </w:pPr>
      <w:r>
        <w:rPr>
          <w:rFonts w:ascii="Arial" w:cs="Arial" w:eastAsia="Arial" w:hAnsi="Arial"/>
          <w:b/>
          <w:bCs/>
          <w:color w:val="1A1A2E"/>
          <w:sz w:val="26"/>
          <w:szCs w:val="26"/>
        </w:rPr>
        <w:t xml:space="preserve">3.6 Moderate: Real-Time Updates</w:t>
      </w:r>
    </w:p>
    <w:p>
      <w:pPr>
        <w:spacing w:before="80" w:after="80" w:line="276"/>
      </w:pPr>
      <w:r>
        <w:rPr>
          <w:rFonts w:ascii="Arial" w:cs="Arial" w:eastAsia="Arial" w:hAnsi="Arial"/>
          <w:color w:val="333333"/>
          <w:sz w:val="20"/>
          <w:szCs w:val="20"/>
        </w:rPr>
        <w:t xml:space="preserve">Section 9.4.3 describes two options (Supabase Realtime for Global, custom WebSocket for China) but doesn't specify which entities need real-time updates, subscription management patterns, reconnection strategy, or offline handling. Recommendation: start with Supabase Realtime for RIADA status changes and portfolio RAG updates only; expand scope based on user feedback.</w:t>
      </w:r>
    </w:p>
    <w:p>
      <w:pPr>
        <w:pStyle w:val="Heading2"/>
        <w:spacing w:before="280" w:after="140"/>
      </w:pPr>
      <w:r>
        <w:rPr>
          <w:rFonts w:ascii="Arial" w:cs="Arial" w:eastAsia="Arial" w:hAnsi="Arial"/>
          <w:b/>
          <w:bCs/>
          <w:color w:val="1A1A2E"/>
          <w:sz w:val="26"/>
          <w:szCs w:val="26"/>
        </w:rPr>
        <w:t xml:space="preserve">3.7 Minor Gaps</w:t>
      </w:r>
    </w:p>
    <w:p>
      <w:pPr>
        <w:spacing w:before="80" w:after="80" w:line="276"/>
      </w:pPr>
      <w:r>
        <w:rPr>
          <w:rFonts w:ascii="Arial" w:cs="Arial" w:eastAsia="Arial" w:hAnsi="Arial"/>
          <w:color w:val="333333"/>
          <w:sz w:val="20"/>
          <w:szCs w:val="20"/>
        </w:rPr>
        <w:t xml:space="preserve">PDF Generation: Template engine, styling approach, and async generation not specified (recommend Celery + Redis for background jobs). Search Implementation: PostgreSQL FTS vs Typesense decision deferred (recommend starting with PG FTS). Error Handling: Standardized error response format needed. Testing Strategy: Coverage targets, test database approach, E2E scenarios not defined. i18n: Translation file structure and language detection strategy not specified.</w:t>
      </w:r>
    </w:p>
    <w:p>
      <w:r>
        <w:br w:type="page"/>
      </w:r>
    </w:p>
    <w:p>
      <w:pPr>
        <w:pStyle w:val="Heading1"/>
        <w:spacing w:before="360" w:after="180"/>
      </w:pPr>
      <w:r>
        <w:rPr>
          <w:rFonts w:ascii="Arial" w:cs="Arial" w:eastAsia="Arial" w:hAnsi="Arial"/>
          <w:b/>
          <w:bCs/>
          <w:color w:val="1A1A2E"/>
          <w:sz w:val="32"/>
          <w:szCs w:val="32"/>
        </w:rPr>
        <w:t xml:space="preserve">4. Data Model Validation</w:t>
      </w:r>
    </w:p>
    <w:p>
      <w:pPr>
        <w:spacing w:before="80" w:after="80" w:line="276"/>
      </w:pPr>
      <w:r>
        <w:rPr>
          <w:rFonts w:ascii="Arial" w:cs="Arial" w:eastAsia="Arial" w:hAnsi="Arial"/>
          <w:color w:val="333333"/>
          <w:sz w:val="20"/>
          <w:szCs w:val="20"/>
        </w:rPr>
        <w:t xml:space="preserve">The data model was validated against the 14 Excel source sheets. Every sheet maps to one or more database tables with complete column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000"/>
        <w:gridCol w:w="1100"/>
        <w:gridCol w:w="3660"/>
      </w:tblGrid>
      <w:t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Excel Sheet</w:t>
            </w:r>
          </w:p>
        </w:tc>
        <w:tc>
          <w:tcPr>
            <w:tcW w:type="dxa" w:w="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Rows</w:t>
            </w:r>
          </w:p>
        </w:tc>
        <w:tc>
          <w:tcPr>
            <w:tcW w:type="dxa" w:w="2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Database Table(s)</w:t>
            </w:r>
          </w:p>
        </w:tc>
        <w:tc>
          <w:tcPr>
            <w:tcW w:type="dxa" w:w="11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Status</w:t>
            </w:r>
          </w:p>
        </w:tc>
        <w:tc>
          <w:tcPr>
            <w:tcW w:type="dxa" w:w="36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Notes</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Process Catalogue</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138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 ProcessLevel</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6-level hierarchy, RAG ratings, automation fields</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RAG Criteria</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17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RagCriteria (reference)</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4-dimension assessment guide</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Business Model Mapping</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45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BusinessModelEntry</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Process-to-value chain linkage</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Business Model Reference</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72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BusinessModelComponent</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Canvas taxonomy with 9 building blocks</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Action Plans</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31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RiadaItem (type=Action)</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Mapped to RIADA framework</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Summary Dashboard</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41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Derived/calculated</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Aggregation queries from process data</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RACI Matrix</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33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ProcessRaci</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R/A/C/I assignments per process/role</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KPIs &amp; Metrics</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55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ProcessKpi</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SMART metrics linked to processes</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Governance Framework</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29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ProcessGovernance</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Forums, decision rights, escalation</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Policies &amp; Rules</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34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ProcessPolicy</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Business rules and constraints</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Systems &amp; Tools</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34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ProcessSystem</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Technology landscape per process</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Timing &amp; SLA</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35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ProcessTiming</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Cycle times and SLA definitions</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SIPOC Mapping</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46 rows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ProcessSipoc</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Complete</w:t>
            </w:r>
          </w:p>
        </w:tc>
        <w:tc>
          <w:tcPr>
            <w:tcW w:type="dxa" w:w="36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Supplier-Input-Process-Output-Customer</w:t>
            </w:r>
          </w:p>
        </w:tc>
      </w:tr>
      <w:tr>
        <w:tc>
          <w:tcPr>
            <w:tcW w:type="dxa" w:w="1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Instructions</w:t>
            </w:r>
          </w:p>
        </w:tc>
        <w:tc>
          <w:tcPr>
            <w:tcW w:type="dxa" w:w="8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val="false"/>
                <w:bCs w:val="false"/>
                <w:color w:val="333333"/>
                <w:sz w:val="18"/>
                <w:szCs w:val="18"/>
              </w:rPr>
              <w:t xml:space="preserve">21 rows</w:t>
            </w:r>
          </w:p>
        </w:tc>
        <w:tc>
          <w:tcPr>
            <w:tcW w:type="dxa" w:w="20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N/A (user guide)</w:t>
            </w:r>
          </w:p>
        </w:tc>
        <w:tc>
          <w:tcPr>
            <w:tcW w:type="dxa" w:w="11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28A745"/>
                <w:sz w:val="18"/>
                <w:szCs w:val="18"/>
              </w:rPr>
              <w:t xml:space="preserve">✅ N/A</w:t>
            </w:r>
          </w:p>
        </w:tc>
        <w:tc>
          <w:tcPr>
            <w:tcW w:type="dxa" w:w="36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Reference material, not data</w:t>
            </w:r>
          </w:p>
        </w:tc>
      </w:tr>
    </w:tbl>
    <w:p>
      <w:pPr>
        <w:spacing w:before="160"/>
      </w:pPr>
    </w:p>
    <w:p>
      <w:pPr>
        <w:spacing w:before="80" w:after="80" w:line="276"/>
      </w:pPr>
      <w:r>
        <w:rPr>
          <w:rFonts w:ascii="Arial" w:cs="Arial" w:eastAsia="Arial" w:hAnsi="Arial"/>
          <w:b/>
          <w:bCs/>
          <w:color w:val="1A1A2E"/>
          <w:sz w:val="20"/>
          <w:szCs w:val="20"/>
        </w:rPr>
        <w:t xml:space="preserve">Migration Order: </w:t>
      </w:r>
      <w:r>
        <w:rPr>
          <w:rFonts w:ascii="Arial" w:cs="Arial" w:eastAsia="Arial" w:hAnsi="Arial"/>
          <w:color w:val="333333"/>
          <w:sz w:val="20"/>
          <w:szCs w:val="20"/>
        </w:rPr>
        <w:t xml:space="preserve">Organizations → Users/Roles → Business Model Reference → Process Catalogue (L0→L5) → Operating Model Components → RIADA Items → Portfolio → Surveys. Import must be idempotent (safe to re-run).</w:t>
      </w:r>
    </w:p>
    <w:p>
      <w:r>
        <w:br w:type="page"/>
      </w:r>
    </w:p>
    <w:p>
      <w:pPr>
        <w:pStyle w:val="Heading1"/>
        <w:spacing w:before="360" w:after="180"/>
      </w:pPr>
      <w:r>
        <w:rPr>
          <w:rFonts w:ascii="Arial" w:cs="Arial" w:eastAsia="Arial" w:hAnsi="Arial"/>
          <w:b/>
          <w:bCs/>
          <w:color w:val="1A1A2E"/>
          <w:sz w:val="32"/>
          <w:szCs w:val="32"/>
        </w:rPr>
        <w:t xml:space="preserve">5. Recommended Implementation Roadmap</w:t>
      </w:r>
    </w:p>
    <w:p>
      <w:pPr>
        <w:pStyle w:val="Heading2"/>
        <w:spacing w:before="280" w:after="140"/>
      </w:pPr>
      <w:r>
        <w:rPr>
          <w:rFonts w:ascii="Arial" w:cs="Arial" w:eastAsia="Arial" w:hAnsi="Arial"/>
          <w:b/>
          <w:bCs/>
          <w:color w:val="1A1A2E"/>
          <w:sz w:val="26"/>
          <w:szCs w:val="26"/>
        </w:rPr>
        <w:t xml:space="preserve">Phase 1: Foundation (Weeks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Task</w:t>
            </w:r>
          </w:p>
        </w:tc>
        <w:tc>
          <w:tcPr>
            <w:tcW w:type="dxa" w:w="54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Details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1.1</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Development environment setup</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Next.js 14+, FastAPI, Supabase project, local Docker</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1.2</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Database schema creation</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Alembic migrations for all 45+ tables, seed reference data</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1.3</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Authentication implementation</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Passwordless magic links, domain verification, session mgmt</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1.4</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Multi-tenant middleware</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RLS policies, org context injection, tenant isolation</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1.5</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Application shell</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Sidebar, header, org switcher, routing, responsive layout</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1.6</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Design system foundation</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shadcn/ui setup, Surity theme, Nunito font, dark mode toggle</w:t>
            </w:r>
          </w:p>
        </w:tc>
      </w:tr>
    </w:tbl>
    <w:p>
      <w:pPr>
        <w:pStyle w:val="Heading2"/>
        <w:spacing w:before="280" w:after="140"/>
      </w:pPr>
      <w:r>
        <w:rPr>
          <w:rFonts w:ascii="Arial" w:cs="Arial" w:eastAsia="Arial" w:hAnsi="Arial"/>
          <w:b/>
          <w:bCs/>
          <w:color w:val="1A1A2E"/>
          <w:sz w:val="26"/>
          <w:szCs w:val="26"/>
        </w:rPr>
        <w:t xml:space="preserve">Phase 2: Core Features (Weeks 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Task</w:t>
            </w:r>
          </w:p>
        </w:tc>
        <w:tc>
          <w:tcPr>
            <w:tcW w:type="dxa" w:w="54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Details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2.1</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Process Catalogue</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L0–L3 hierarchy CRUD, canvas view, process detail panels</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2.2</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RIADA system</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Create, attach to entities, aggregate up hierarchy, dashboard</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2.3</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Business Model</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Canvas view, component entries, process linkage</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2.4</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Reusable data tables</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Sorting, filtering, pagination, column toggle, export</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2.5</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Search</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PostgreSQL full-text search across processes, RIADA, portfolio</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2.6</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Reference data management</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CRUD for all 9 catalogues with lifecycle status</w:t>
            </w:r>
          </w:p>
        </w:tc>
      </w:tr>
    </w:tbl>
    <w:p>
      <w:pPr>
        <w:pStyle w:val="Heading2"/>
        <w:spacing w:before="280" w:after="140"/>
      </w:pPr>
      <w:r>
        <w:rPr>
          <w:rFonts w:ascii="Arial" w:cs="Arial" w:eastAsia="Arial" w:hAnsi="Arial"/>
          <w:b/>
          <w:bCs/>
          <w:color w:val="1A1A2E"/>
          <w:sz w:val="26"/>
          <w:szCs w:val="26"/>
        </w:rPr>
        <w:t xml:space="preserve">Phase 3: Advanced Features (Weeks 7–10)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Task</w:t>
            </w:r>
          </w:p>
        </w:tc>
        <w:tc>
          <w:tcPr>
            <w:tcW w:type="dxa" w:w="54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Details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3.1</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Operating Model</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10 components, current/future state, SOM documentation</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3.2</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Portfolio Management</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7-level hierarchy, WSVF scoring, milestones, budget tracking</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3.3</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Survey System</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4 modes, survey builder, deployment, results aggregation</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3.4</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Prompt Library</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Template CRUD, LLM provider abstraction, execution, context injection</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3.5</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Report Generation</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PDF/HTML/DOCX export, async generation with job queue</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3.6</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Excel data import</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Migration scripts for all 14 sheets, validation, rollback</w:t>
            </w:r>
          </w:p>
        </w:tc>
      </w:tr>
    </w:tbl>
    <w:p>
      <w:pPr>
        <w:pStyle w:val="Heading2"/>
        <w:spacing w:before="280" w:after="140"/>
      </w:pPr>
      <w:r>
        <w:rPr>
          <w:rFonts w:ascii="Arial" w:cs="Arial" w:eastAsia="Arial" w:hAnsi="Arial"/>
          <w:b/>
          <w:bCs/>
          <w:color w:val="1A1A2E"/>
          <w:sz w:val="26"/>
          <w:szCs w:val="26"/>
        </w:rPr>
        <w:t xml:space="preserve">Phase 4: Polish &amp; Hardening (Weeks 11–12)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Task</w:t>
            </w:r>
          </w:p>
        </w:tc>
        <w:tc>
          <w:tcPr>
            <w:tcW w:type="dxa" w:w="54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Details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4.1</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Real-time updates</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Supabase Realtime for RIADA/portfolio status changes</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4.2</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Dashboards</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Executive, RIADA heatmap, Portfolio health, Survey results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4.3</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GitHub Integration</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Webhook setup, bidirectional sync, commit tracking</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4.4</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E2E testing</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Playwright for critical user journeys (auth, process CRUD, reports)</w:t>
            </w:r>
          </w:p>
        </w:tc>
      </w:tr>
      <w:tr>
        <w:tc>
          <w:tcPr>
            <w:tcW w:type="dxa" w:w="7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4.5</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Performance optimization</w:t>
            </w:r>
          </w:p>
        </w:tc>
        <w:tc>
          <w:tcPr>
            <w:tcW w:type="dxa" w:w="54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Query optimization, caching, lazy loading, CDN config</w:t>
            </w:r>
          </w:p>
        </w:tc>
      </w:tr>
      <w:tr>
        <w:tc>
          <w:tcPr>
            <w:tcW w:type="dxa" w:w="7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333333"/>
                <w:sz w:val="18"/>
                <w:szCs w:val="18"/>
              </w:rPr>
              <w:t xml:space="preserve">4.6</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China deployment prep</w:t>
            </w:r>
          </w:p>
        </w:tc>
        <w:tc>
          <w:tcPr>
            <w:tcW w:type="dxa" w:w="54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Cloud stack setup, data residency compliance, ICP</w:t>
            </w:r>
          </w:p>
        </w:tc>
      </w:tr>
    </w:tbl>
    <w:p>
      <w:r>
        <w:br w:type="page"/>
      </w:r>
    </w:p>
    <w:p>
      <w:pPr>
        <w:pStyle w:val="Heading1"/>
        <w:spacing w:before="360" w:after="180"/>
      </w:pPr>
      <w:r>
        <w:rPr>
          <w:rFonts w:ascii="Arial" w:cs="Arial" w:eastAsia="Arial" w:hAnsi="Arial"/>
          <w:b/>
          <w:bCs/>
          <w:color w:val="1A1A2E"/>
          <w:sz w:val="32"/>
          <w:szCs w:val="32"/>
        </w:rPr>
        <w:t xml:space="preserve">6. Suggested MVP Scope</w:t>
      </w:r>
    </w:p>
    <w:p>
      <w:pPr>
        <w:spacing w:before="80" w:after="80" w:line="276"/>
      </w:pPr>
      <w:r>
        <w:rPr>
          <w:rFonts w:ascii="Arial" w:cs="Arial" w:eastAsia="Arial" w:hAnsi="Arial"/>
          <w:color w:val="333333"/>
          <w:sz w:val="20"/>
          <w:szCs w:val="20"/>
        </w:rPr>
        <w:t xml:space="preserve">To deliver value fastest, the MVP should focus on the features that form the platform's unique value proposition while deferring advanced features that can be added iteratively.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Feature</w:t>
            </w:r>
          </w:p>
        </w:tc>
        <w:tc>
          <w:tcPr>
            <w:tcW w:type="dxa" w:w="1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Priority</w:t>
            </w:r>
          </w:p>
        </w:tc>
        <w:tc>
          <w:tcPr>
            <w:tcW w:type="dxa" w:w="47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Rationale</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Authentication (magic links)</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Foundation — no app without auth</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Multi-tenant isolation (RLS)</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Foundation — data security from day one</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Process Catalogue (L0–L3)</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Core value — the 'spine' everything attaches to</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RIADA (basic CRUD + attachment)</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Core value — quality/risk management is key differentiator</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Business Model Canvas (read + link)</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Core value — connects processes to value creation</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Reference Data Catalogues</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Required for dropdowns and lookups across the app</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Data Tables component (reusable)</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28A745"/>
                <w:sz w:val="18"/>
                <w:szCs w:val="18"/>
              </w:rPr>
              <w:t xml:space="preserve">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Shared infrastructure for all list views</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Process Catalogue (L4–L5)</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Deep process detail — can be added incrementally</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Operating Model (10 components)</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Valuable but complex — build after core is stable</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Portfolio Management</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Full PM features can follow the foundation</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Survey System (4 modes)</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Independent module — clean addition later</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Prompt Library (LLM integration)</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Requires LLM provider decisions and cost modeling</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GitHub Integration</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Developer-facing — not needed for business user MVP</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PDF Report Generation</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Nice-to-have — screen views sufficient initially</w:t>
            </w:r>
          </w:p>
        </w:tc>
      </w:tr>
      <w:tr>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Real-time updates</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Polling acceptable for MVP user volumes</w:t>
            </w:r>
          </w:p>
        </w:tc>
      </w:tr>
      <w:tr>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China deployment</w:t>
            </w:r>
          </w:p>
        </w:tc>
        <w:tc>
          <w:tcPr>
            <w:tcW w:type="dxa" w:w="1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center"/>
            </w:pPr>
            <w:r>
              <w:rPr>
                <w:rFonts w:ascii="Arial" w:cs="Arial" w:eastAsia="Arial" w:hAnsi="Arial"/>
                <w:b/>
                <w:bCs/>
                <w:color w:val="6C757D"/>
                <w:sz w:val="18"/>
                <w:szCs w:val="18"/>
              </w:rPr>
              <w:t xml:space="preserve">Post-MVP</w:t>
            </w:r>
          </w:p>
        </w:tc>
        <w:tc>
          <w:tcPr>
            <w:tcW w:type="dxa" w:w="47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Focus on Global SaaS first, China as expansion</w:t>
            </w:r>
          </w:p>
        </w:tc>
      </w:tr>
    </w:tbl>
    <w:p>
      <w:r>
        <w:br w:type="page"/>
      </w:r>
    </w:p>
    <w:p>
      <w:pPr>
        <w:pStyle w:val="Heading1"/>
        <w:spacing w:before="360" w:after="180"/>
      </w:pPr>
      <w:r>
        <w:rPr>
          <w:rFonts w:ascii="Arial" w:cs="Arial" w:eastAsia="Arial" w:hAnsi="Arial"/>
          <w:b/>
          <w:bCs/>
          <w:color w:val="1A1A2E"/>
          <w:sz w:val="32"/>
          <w:szCs w:val="32"/>
        </w:rPr>
        <w:t xml:space="preserve">7. Clarifications for Development</w:t>
      </w:r>
    </w:p>
    <w:p>
      <w:pPr>
        <w:spacing w:before="80" w:after="80" w:line="276"/>
      </w:pPr>
      <w:r>
        <w:rPr>
          <w:rFonts w:ascii="Arial" w:cs="Arial" w:eastAsia="Arial" w:hAnsi="Arial"/>
          <w:color w:val="333333"/>
          <w:sz w:val="20"/>
          <w:szCs w:val="20"/>
        </w:rPr>
        <w:t xml:space="preserve">The following decisions should be confirmed before or during early development to avoid rework: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Topic</w:t>
            </w:r>
          </w:p>
        </w:tc>
        <w:tc>
          <w:tcPr>
            <w:tcW w:type="dxa" w:w="3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Question</w:t>
            </w:r>
          </w:p>
        </w:tc>
        <w:tc>
          <w:tcPr>
            <w:tcW w:type="dxa" w:w="43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Recommendation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Excel import</w:t>
            </w:r>
          </w:p>
        </w:tc>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One-time migration or ongoing sync?</w:t>
            </w:r>
          </w:p>
        </w:tc>
        <w:tc>
          <w:tcPr>
            <w:tcW w:type="dxa" w:w="43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one-time migration with manual re-import option</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LLM provider</w:t>
            </w:r>
          </w:p>
        </w:tc>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OpenAI vs Anthropic vs both for Global SaaS?</w:t>
            </w:r>
          </w:p>
        </w:tc>
        <w:tc>
          <w:tcPr>
            <w:tcW w:type="dxa" w:w="43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Anthropic primary with provider abstraction layer</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Real-time scope</w:t>
            </w:r>
          </w:p>
        </w:tc>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Which entities need live updates?</w:t>
            </w:r>
          </w:p>
        </w:tc>
        <w:tc>
          <w:tcPr>
            <w:tcW w:type="dxa" w:w="43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RIADA status + portfolio RAG only for MVP</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PDF generation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Synchronous or async?</w:t>
            </w:r>
          </w:p>
        </w:tc>
        <w:tc>
          <w:tcPr>
            <w:tcW w:type="dxa" w:w="43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async (Celery + Redis) for &gt;10 pages</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Search engine</w:t>
            </w:r>
          </w:p>
        </w:tc>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PostgreSQL FTS or Typesense from day one?</w:t>
            </w:r>
          </w:p>
        </w:tc>
        <w:tc>
          <w:tcPr>
            <w:tcW w:type="dxa" w:w="43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PG FTS initially, migrate if needed</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 reconciliation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Magic link only, or SSO from launch?</w:t>
            </w:r>
          </w:p>
        </w:tc>
        <w:tc>
          <w:tcPr>
            <w:tcW w:type="dxa" w:w="43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magic link MVP, SSO as enterprise add-on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Deployment target</w:t>
            </w:r>
          </w:p>
        </w:tc>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Vercel + Supabase, or self-hosted initially?</w:t>
            </w:r>
          </w:p>
        </w:tc>
        <w:tc>
          <w:tcPr>
            <w:tcW w:type="dxa" w:w="43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Recommend Vercel + Supabase for speed to market</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Sample data</w:t>
            </w:r>
          </w:p>
        </w:tc>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Surity data only, or multi-tenant test data?</w:t>
            </w:r>
          </w:p>
        </w:tc>
        <w:tc>
          <w:tcPr>
            <w:tcW w:type="dxa" w:w="43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Need 2–3 example orgs for testing multi-tenancy</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Design assets</w:t>
            </w:r>
          </w:p>
        </w:tc>
        <w:tc>
          <w:tcPr>
            <w:tcW w:type="dxa" w:w="34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Surity logo SVG, exact hex codes?</w:t>
            </w:r>
          </w:p>
        </w:tc>
        <w:tc>
          <w:tcPr>
            <w:tcW w:type="dxa" w:w="43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Need brand assets for theme implementation</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LLM credentials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API keys for Prompt Library development?</w:t>
            </w:r>
          </w:p>
        </w:tc>
        <w:tc>
          <w:tcPr>
            <w:tcW w:type="dxa" w:w="43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Need at minimum a mock LLM service for dev/test</w:t>
            </w:r>
          </w:p>
        </w:tc>
      </w:tr>
    </w:tbl>
    <w:p>
      <w:r>
        <w:br w:type="page"/>
      </w:r>
    </w:p>
    <w:p>
      <w:pPr>
        <w:pStyle w:val="Heading1"/>
        <w:spacing w:before="360" w:after="180"/>
      </w:pPr>
      <w:r>
        <w:rPr>
          <w:rFonts w:ascii="Arial" w:cs="Arial" w:eastAsia="Arial" w:hAnsi="Arial"/>
          <w:b/>
          <w:bCs/>
          <w:color w:val="1A1A2E"/>
          <w:sz w:val="32"/>
          <w:szCs w:val="32"/>
        </w:rPr>
        <w:t xml:space="preserve">8. Technical Stack Summary</w:t>
      </w:r>
    </w:p>
    <w:p>
      <w:pPr>
        <w:pStyle w:val="Heading2"/>
        <w:spacing w:before="280" w:after="140"/>
      </w:pPr>
      <w:r>
        <w:rPr>
          <w:rFonts w:ascii="Arial" w:cs="Arial" w:eastAsia="Arial" w:hAnsi="Arial"/>
          <w:b/>
          <w:bCs/>
          <w:color w:val="1A1A2E"/>
          <w:sz w:val="26"/>
          <w:szCs w:val="26"/>
        </w:rPr>
        <w:t xml:space="preserve">8.1 Global SaaS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Layer</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Technology</w:t>
            </w:r>
          </w:p>
        </w:tc>
        <w:tc>
          <w:tcPr>
            <w:tcW w:type="dxa" w:w="45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Rationale</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Frontend</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Next.js 14+ (App Router)</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React ecosystem, SSR/SSG, excellent DX</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UI Components</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shadcn/ui + Tailwind CSS</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Accessible, customizable, Surity-themeable</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Backend</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FastAPI (Python)</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Async, auto-docs (OpenAPI), type-safe</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Database</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Supabase (PostgreSQL)</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RLS built-in, real-time, auth integration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Supabase Auth (magic links)</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Passwordless, domain verification, session mgmt</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Object Storage</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Cloudflare R2</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S3-compatible, no egress fees, global CDN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Hosting</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Vercel</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Zero-config Next.js deployment, edge functions</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Monitoring</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Sentry</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Error tracking, performance monitoring</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Email</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SendGrid or Resend</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Magic link delivery, transactional emails</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Cache</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Supabase (built-in)</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Redis-compatible caching layer</w:t>
            </w:r>
          </w:p>
        </w:tc>
      </w:tr>
    </w:tbl>
    <w:p>
      <w:pPr>
        <w:pStyle w:val="Heading2"/>
        <w:spacing w:before="280" w:after="140"/>
      </w:pPr>
      <w:r>
        <w:rPr>
          <w:rFonts w:ascii="Arial" w:cs="Arial" w:eastAsia="Arial" w:hAnsi="Arial"/>
          <w:b/>
          <w:bCs/>
          <w:color w:val="1A1A2E"/>
          <w:sz w:val="26"/>
          <w:szCs w:val="26"/>
        </w:rPr>
        <w:t xml:space="preserve">8.2 China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Layer</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Technology</w:t>
            </w:r>
          </w:p>
        </w:tc>
        <w:tc>
          <w:tcPr>
            <w:tcW w:type="dxa" w:w="45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before="40" w:after="40"/>
            </w:pPr>
            <w:r>
              <w:rPr>
                <w:rFonts w:ascii="Arial" w:cs="Arial" w:eastAsia="Arial" w:hAnsi="Arial"/>
                <w:b/>
                <w:bCs/>
                <w:color w:val="FFFFFF"/>
                <w:sz w:val="18"/>
                <w:szCs w:val="18"/>
              </w:rPr>
              <w:t xml:space="preserve">Rationale</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Compute</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Cloud ECS</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Data residency compliance, ICP-ready</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Database</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ApsaraDB RDS (PostgreSQL)</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Managed PostgreSQL with China region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Auth</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IDaaS</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China-compliant identity management</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Object Storage</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Cloud OSS</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S3-compatible, China CDN</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Cache</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ApsaraDB Redis</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Session storage, application cache</w:t>
            </w:r>
          </w:p>
        </w:tc>
      </w:tr>
      <w:tr>
        <w:tc>
          <w:tcPr>
            <w:tcW w:type="dxa" w:w="16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Email</w:t>
            </w:r>
          </w:p>
        </w:tc>
        <w:tc>
          <w:tcPr>
            <w:tcW w:type="dxa" w:w="3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DirectMail</w:t>
            </w:r>
          </w:p>
        </w:tc>
        <w:tc>
          <w:tcPr>
            <w:tcW w:type="dxa" w:w="456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Magic link delivery within China</w:t>
            </w:r>
          </w:p>
        </w:tc>
      </w:tr>
      <w:tr>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bCs/>
                <w:color w:val="333333"/>
                <w:sz w:val="18"/>
                <w:szCs w:val="18"/>
              </w:rPr>
              <w:t xml:space="preserve">CDN</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Alibaba Cloud CDN</w:t>
            </w:r>
          </w:p>
        </w:tc>
        <w:tc>
          <w:tcPr>
            <w:tcW w:type="dxa" w:w="4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spacing w:before="30" w:after="30"/>
              <w:jc w:val="left"/>
            </w:pPr>
            <w:r>
              <w:rPr>
                <w:rFonts w:ascii="Arial" w:cs="Arial" w:eastAsia="Arial" w:hAnsi="Arial"/>
                <w:b w:val="false"/>
                <w:bCs w:val="false"/>
                <w:color w:val="333333"/>
                <w:sz w:val="18"/>
                <w:szCs w:val="18"/>
              </w:rPr>
              <w:t xml:space="preserve">China-optimized content delivery</w:t>
            </w:r>
          </w:p>
        </w:tc>
      </w:tr>
    </w:tbl>
    <w:p>
      <w:r>
        <w:br w:type="page"/>
      </w:r>
    </w:p>
    <w:p>
      <w:pPr>
        <w:pStyle w:val="Heading1"/>
        <w:spacing w:before="360" w:after="180"/>
      </w:pPr>
      <w:r>
        <w:rPr>
          <w:rFonts w:ascii="Arial" w:cs="Arial" w:eastAsia="Arial" w:hAnsi="Arial"/>
          <w:b/>
          <w:bCs/>
          <w:color w:val="1A1A2E"/>
          <w:sz w:val="32"/>
          <w:szCs w:val="32"/>
        </w:rPr>
        <w:t xml:space="preserve">9. Conclusion</w:t>
      </w:r>
    </w:p>
    <w:p>
      <w:pPr>
        <w:spacing w:before="80" w:after="80" w:line="276"/>
      </w:pPr>
      <w:r>
        <w:rPr>
          <w:rFonts w:ascii="Arial" w:cs="Arial" w:eastAsia="Arial" w:hAnsi="Arial"/>
          <w:color w:val="333333"/>
          <w:sz w:val="20"/>
          <w:szCs w:val="20"/>
        </w:rPr>
        <w:t xml:space="preserve">Blueprint v1.9 represents an exceptionally thorough specification for a greenfield SaaS platform. The architecture is sound, the data model is production-ready, the UI specification is detailed, and the authentication system is fully specified. The specification quality significantly exceeds what is typical for a project at this stage.</w:t>
      </w:r>
    </w:p>
    <w:p>
      <w:pPr>
        <w:spacing w:before="80" w:after="80" w:line="276"/>
      </w:pPr>
      <w:r>
        <w:rPr>
          <w:rFonts w:ascii="Arial" w:cs="Arial" w:eastAsia="Arial" w:hAnsi="Arial"/>
          <w:color w:val="333333"/>
          <w:sz w:val="20"/>
          <w:szCs w:val="20"/>
        </w:rPr>
        <w:t xml:space="preserve">The three areas requiring attention — implementation guide (Section 16), API documentation, and testing strategy — are all items that can be addressed incrementally during development rather than blocking the start of work. The section numbering issues and auth specification contradictions should be resolved in a quick editorial pass before handing to developers.</w:t>
      </w:r>
    </w:p>
    <w:p>
      <w:pPr>
        <w:spacing w:before="200" w:after="200"/>
        <w:jc w:val="center"/>
      </w:pPr>
      <w:r>
        <w:rPr>
          <w:rFonts w:ascii="Arial" w:cs="Arial" w:eastAsia="Arial" w:hAnsi="Arial"/>
          <w:color w:val="F5C518"/>
          <w:sz w:val="20"/>
          <w:szCs w:val="20"/>
        </w:rPr>
        <w:t xml:space="preserve">━━━━━━━━━━━━━━━━━━━━━━━━━━━━━━━━━━━━━━━━━━━━━━━━</w:t>
      </w:r>
    </w:p>
    <w:p>
      <w:pPr>
        <w:spacing w:before="160" w:after="80"/>
        <w:jc w:val="center"/>
      </w:pPr>
      <w:r>
        <w:rPr>
          <w:rFonts w:ascii="Arial" w:cs="Arial" w:eastAsia="Arial" w:hAnsi="Arial"/>
          <w:b/>
          <w:bCs/>
          <w:color w:val="28A745"/>
          <w:sz w:val="28"/>
          <w:szCs w:val="28"/>
        </w:rPr>
        <w:t xml:space="preserve">VERDICT: READY FOR DEVELOPMENT</w:t>
      </w:r>
    </w:p>
    <w:p>
      <w:pPr>
        <w:spacing w:before="80" w:after="80" w:line="276"/>
      </w:pPr>
      <w:r>
        <w:rPr>
          <w:rFonts w:ascii="Arial" w:cs="Arial" w:eastAsia="Arial" w:hAnsi="Arial"/>
          <w:color w:val="333333"/>
          <w:sz w:val="20"/>
          <w:szCs w:val="20"/>
        </w:rPr>
        <w:t xml:space="preserve">The specification provides everything needed for a skilled developer (or Claude Code) to build a high-quality, multi-tenant SaaS application. Begin with the foundation phase (auth, shell, database schema) and build outward through the core features. The Blueprint's greatest strength — its Process Spine architecture — means components can be developed and tested independently, enabling parallel workstreams and incremental delivery.</w:t>
      </w:r>
    </w:p>
    <w:p>
      <w:pPr>
        <w:spacing w:before="300"/>
      </w:pPr>
    </w:p>
    <w:p>
      <w:pPr>
        <w:spacing w:before="80" w:after="80" w:line="276"/>
      </w:pPr>
      <w:r>
        <w:rPr>
          <w:rFonts w:ascii="Arial" w:cs="Arial" w:eastAsia="Arial" w:hAnsi="Arial"/>
          <w:b/>
          <w:bCs/>
          <w:color w:val="1A1A2E"/>
          <w:sz w:val="20"/>
          <w:szCs w:val="20"/>
        </w:rPr>
        <w:t xml:space="preserve">Next Action: </w:t>
      </w:r>
      <w:r>
        <w:rPr>
          <w:rFonts w:ascii="Arial" w:cs="Arial" w:eastAsia="Arial" w:hAnsi="Arial"/>
          <w:color w:val="333333"/>
          <w:sz w:val="20"/>
          <w:szCs w:val="20"/>
        </w:rPr>
        <w:t xml:space="preserve">Resolve the editorial items (section numbering, auth reconciliation), then begin Phase 1 development. The Blueprint is your compass — follow it.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Blueprint v1.9 Assessment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Process Catalogue — Development Readiness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95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2026-02-01T10:24:29.391Z</dcterms:created>
  <dcterms:modified xsi:type="dcterms:W3CDTF">2026-02-01T10:24:29.392Z</dcterms:modified>
</cp:coreProperties>
</file>

<file path=docProps/custom.xml><?xml version="1.0" encoding="utf-8"?>
<Properties xmlns="http://schemas.openxmlformats.org/officeDocument/2006/custom-properties" xmlns:vt="http://schemas.openxmlformats.org/officeDocument/2006/docPropsVTypes"/>
</file>