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36"/>
          <w:szCs w:val="36"/>
        </w:rPr>
        <w:t xml:space="preserve">PROCESS CATALOGUE APPLICATION</w:t>
      </w:r>
    </w:p>
    <w:p>
      <w:pPr>
        <w:spacing w:after="600"/>
        <w:jc w:val="center"/>
      </w:pPr>
      <w:r>
        <w:rPr>
          <w:rFonts w:ascii="Arial" w:cs="Arial" w:eastAsia="Arial" w:hAnsi="Arial"/>
          <w:b/>
          <w:bCs/>
          <w:color w:val="1B3A5C"/>
          <w:sz w:val="52"/>
          <w:szCs w:val="52"/>
        </w:rPr>
        <w:t xml:space="preserve">Operating Model Design Components</w:t>
      </w:r>
    </w:p>
    <w:p>
      <w:pPr>
        <w:spacing w:after="100"/>
        <w:jc w:val="center"/>
      </w:pPr>
      <w:r>
        <w:rPr>
          <w:rFonts w:ascii="Arial" w:cs="Arial" w:eastAsia="Arial" w:hAnsi="Arial"/>
          <w:color w:val="666666"/>
          <w:sz w:val="28"/>
          <w:szCs w:val="28"/>
        </w:rPr>
        <w:t xml:space="preserve">Solution Architecture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B3A5C" w:sz="3"/>
              <w:right w:val="none" w:sz="0"/>
            </w:tcBorders>
          </w:tcPr>
          <w:p>
            <w:pPr>
              <w:spacing w:after="0"/>
            </w:pP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Version</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1.0</w:t>
            </w:r>
          </w:p>
        </w:tc>
      </w:tr>
      <w:tr>
        <w:tc>
          <w:tcPr>
            <w:tcW w:type="dxa" w:w="24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Date</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4 February 2026</w:t>
            </w:r>
          </w:p>
        </w:tc>
      </w:tr>
      <w:tr>
        <w:tc>
          <w:tcPr>
            <w:tcW w:type="dxa" w:w="24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Author</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Solution Architect</w:t>
            </w:r>
          </w:p>
        </w:tc>
      </w:tr>
      <w:tr>
        <w:tc>
          <w:tcPr>
            <w:tcW w:type="dxa" w:w="24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Status</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Analysis Complete</w:t>
            </w:r>
          </w:p>
        </w:tc>
      </w:tr>
      <w:tr>
        <w:tc>
          <w:tcPr>
            <w:tcW w:type="dxa" w:w="24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Project</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 Catalogue Application</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rPr>
          <w:rFonts w:ascii="Arial" w:cs="Arial" w:eastAsia="Arial" w:hAnsi="Arial"/>
          <w:color w:val="333333"/>
          <w:sz w:val="22"/>
          <w:szCs w:val="22"/>
        </w:rPr>
        <w:t xml:space="preserve">The Process Catalogue Application specifies a comprehensive Operating Model Design framework comprising 14 distinct component types. These components collectively define how an organisation operates: who does what, how performance is measured, what systems are used, what rules apply, and how processes create business value.</w:t>
      </w:r>
    </w:p>
    <w:p>
      <w:pPr>
        <w:spacing w:after="200"/>
      </w:pPr>
      <w:r>
        <w:rPr>
          <w:rFonts w:ascii="Arial" w:cs="Arial" w:eastAsia="Arial" w:hAnsi="Arial"/>
          <w:color w:val="333333"/>
          <w:sz w:val="22"/>
          <w:szCs w:val="22"/>
        </w:rPr>
        <w:t xml:space="preserve">This document identifies every operating model design component specified across the full design corpus, maps each to its data source, and provides architectural recommendations for implementation as a secure, scalable SaaS platform operating across China and global markets.</w:t>
      </w:r>
    </w:p>
    <w:p>
      <w:pPr>
        <w:spacing w:after="100"/>
      </w:pPr>
    </w:p>
    <w:p>
      <w:pPr>
        <w:pStyle w:val="Heading3"/>
      </w:pPr>
      <w:r>
        <w:t xml:space="preserve">Component Inventory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00"/>
        <w:gridCol w:w="2860"/>
      </w:tblGrid>
      <w:tr>
        <w:tc>
          <w:tcPr>
            <w:tcW w:type="dxa" w:w="5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 Type</w:t>
            </w:r>
          </w:p>
        </w:tc>
        <w:tc>
          <w:tcPr>
            <w:tcW w:type="dxa" w:w="35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Evidence</w:t>
            </w:r>
          </w:p>
        </w:tc>
        <w:tc>
          <w:tcPr>
            <w:tcW w:type="dxa" w:w="28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Relationship</w:t>
            </w:r>
          </w:p>
        </w:tc>
      </w:tr>
      <w:tr>
        <w:tc>
          <w:tcPr>
            <w:tcW w:type="dxa" w:w="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1</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 Catalogue (L0-L5)</w:t>
            </w:r>
          </w:p>
        </w:tc>
        <w:tc>
          <w:tcPr>
            <w:tcW w:type="dxa" w:w="3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 Catalogue sheet, V3.1.1</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Central spine entity</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2</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RAG Assessment</w:t>
            </w:r>
          </w:p>
        </w:tc>
        <w:tc>
          <w:tcPr>
            <w:tcW w:type="dxa" w:w="3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RAG Criteria sheet, Process Catalogue</w:t>
            </w:r>
          </w:p>
        </w:tc>
        <w:tc>
          <w:tcPr>
            <w:tcW w:type="dxa" w:w="2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4-dimension per process</w:t>
            </w:r>
          </w:p>
        </w:tc>
      </w:tr>
      <w:tr>
        <w:tc>
          <w:tcPr>
            <w:tcW w:type="dxa" w:w="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3</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RACI Matrix</w:t>
            </w:r>
          </w:p>
        </w:tc>
        <w:tc>
          <w:tcPr>
            <w:tcW w:type="dxa" w:w="3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RACI Matrix sheet, V3.1.1</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Process-to-Role junction</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4</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KPIs &amp; Metrics</w:t>
            </w:r>
          </w:p>
        </w:tc>
        <w:tc>
          <w:tcPr>
            <w:tcW w:type="dxa" w:w="3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KPIs &amp; Metrics sheet</w:t>
            </w:r>
          </w:p>
        </w:tc>
        <w:tc>
          <w:tcPr>
            <w:tcW w:type="dxa" w:w="2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Process-linked measures</w:t>
            </w:r>
          </w:p>
        </w:tc>
      </w:tr>
      <w:tr>
        <w:tc>
          <w:tcPr>
            <w:tcW w:type="dxa" w:w="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5</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Governance Framework</w:t>
            </w:r>
          </w:p>
        </w:tc>
        <w:tc>
          <w:tcPr>
            <w:tcW w:type="dxa" w:w="3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Governance Framework sheet</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Process-linked forums</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6</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Policies &amp; Business Rules</w:t>
            </w:r>
          </w:p>
        </w:tc>
        <w:tc>
          <w:tcPr>
            <w:tcW w:type="dxa" w:w="3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Policies &amp; Rules sheet</w:t>
            </w:r>
          </w:p>
        </w:tc>
        <w:tc>
          <w:tcPr>
            <w:tcW w:type="dxa" w:w="2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Process-linked rules</w:t>
            </w:r>
          </w:p>
        </w:tc>
      </w:tr>
      <w:tr>
        <w:tc>
          <w:tcPr>
            <w:tcW w:type="dxa" w:w="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7</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Systems &amp; Tools</w:t>
            </w:r>
          </w:p>
        </w:tc>
        <w:tc>
          <w:tcPr>
            <w:tcW w:type="dxa" w:w="3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Systems &amp; Tools sheet, SYSTEM_CATALOGUE_SPEC</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Process-System junction</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8</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Timing &amp; SLA</w:t>
            </w:r>
          </w:p>
        </w:tc>
        <w:tc>
          <w:tcPr>
            <w:tcW w:type="dxa" w:w="3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Timing &amp; SLA sheet</w:t>
            </w:r>
          </w:p>
        </w:tc>
        <w:tc>
          <w:tcPr>
            <w:tcW w:type="dxa" w:w="2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Process-linked SLAs</w:t>
            </w:r>
          </w:p>
        </w:tc>
      </w:tr>
      <w:tr>
        <w:tc>
          <w:tcPr>
            <w:tcW w:type="dxa" w:w="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9</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SIPOC Mapping</w:t>
            </w:r>
          </w:p>
        </w:tc>
        <w:tc>
          <w:tcPr>
            <w:tcW w:type="dxa" w:w="3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SIPOC Mapping sheet</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 value chain</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10</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Business Model Mapping</w:t>
            </w:r>
          </w:p>
        </w:tc>
        <w:tc>
          <w:tcPr>
            <w:tcW w:type="dxa" w:w="3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BM Mapping sheet, BM Integration Guide</w:t>
            </w:r>
          </w:p>
        </w:tc>
        <w:tc>
          <w:tcPr>
            <w:tcW w:type="dxa" w:w="2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Process-to-BM linkage</w:t>
            </w:r>
          </w:p>
        </w:tc>
      </w:tr>
      <w:tr>
        <w:tc>
          <w:tcPr>
            <w:tcW w:type="dxa" w:w="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11</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Business Model Reference</w:t>
            </w:r>
          </w:p>
        </w:tc>
        <w:tc>
          <w:tcPr>
            <w:tcW w:type="dxa" w:w="3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BM Reference sheet, Integration Guide</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Reference taxonomy</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12</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Issue &amp; Opportunity Log</w:t>
            </w:r>
          </w:p>
        </w:tc>
        <w:tc>
          <w:tcPr>
            <w:tcW w:type="dxa" w:w="3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ISSUE_OPPORTUNITY_LOG_SPEC.docx</w:t>
            </w:r>
          </w:p>
        </w:tc>
        <w:tc>
          <w:tcPr>
            <w:tcW w:type="dxa" w:w="2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Process-linked issues</w:t>
            </w:r>
          </w:p>
        </w:tc>
      </w:tr>
      <w:tr>
        <w:tc>
          <w:tcPr>
            <w:tcW w:type="dxa" w:w="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13</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Action Plans</w:t>
            </w:r>
          </w:p>
        </w:tc>
        <w:tc>
          <w:tcPr>
            <w:tcW w:type="dxa" w:w="3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Action Plans sheet</w:t>
            </w:r>
          </w:p>
        </w:tc>
        <w:tc>
          <w:tcPr>
            <w:tcW w:type="dxa" w:w="2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Improvement tracking</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center"/>
            </w:pPr>
            <w:r>
              <w:rPr>
                <w:rFonts w:ascii="Arial" w:cs="Arial" w:eastAsia="Arial" w:hAnsi="Arial"/>
                <w:color w:val="333333"/>
                <w:sz w:val="18"/>
                <w:szCs w:val="18"/>
              </w:rPr>
              <w:t xml:space="preserve">14</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Summary Dashboard</w:t>
            </w:r>
          </w:p>
        </w:tc>
        <w:tc>
          <w:tcPr>
            <w:tcW w:type="dxa" w:w="3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Summary Dashboard sheet</w:t>
            </w:r>
          </w:p>
        </w:tc>
        <w:tc>
          <w:tcPr>
            <w:tcW w:type="dxa" w:w="2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Aggregated views</w:t>
            </w:r>
          </w:p>
        </w:tc>
      </w:tr>
    </w:tbl>
    <w:p>
      <w:r>
        <w:br w:type="page"/>
      </w:r>
    </w:p>
    <w:p>
      <w:pPr>
        <w:pStyle w:val="Heading1"/>
      </w:pPr>
      <w:r>
        <w:t xml:space="preserve">2. Operating Model Design Component Taxonomy</w:t>
      </w:r>
    </w:p>
    <w:p>
      <w:pPr>
        <w:spacing w:after="200"/>
      </w:pPr>
      <w:r>
        <w:rPr>
          <w:rFonts w:ascii="Arial" w:cs="Arial" w:eastAsia="Arial" w:hAnsi="Arial"/>
          <w:color w:val="333333"/>
          <w:sz w:val="22"/>
          <w:szCs w:val="22"/>
        </w:rPr>
        <w:t xml:space="preserve">The components fall into four architectural tiers based on their role in the operating model framework. Understanding this layering is essential for implementation sequencing, data dependency management, and user interface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3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w:t>
            </w:r>
          </w:p>
        </w:tc>
        <w:tc>
          <w:tcPr>
            <w:tcW w:type="dxa" w:w="3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18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Tier 1: Core Spine</w:t>
            </w:r>
          </w:p>
        </w:tc>
        <w:tc>
          <w:tcPr>
            <w:tcW w:type="dxa" w:w="38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 Catalogue, RAG Assessment</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The central entity hierarchy around which all other components attach. Must be implemented first.</w:t>
            </w:r>
          </w:p>
        </w:tc>
      </w:tr>
      <w:tr>
        <w:tc>
          <w:tcPr>
            <w:tcW w:type="dxa" w:w="18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Tier 2: Operational Model</w:t>
            </w:r>
          </w:p>
        </w:tc>
        <w:tc>
          <w:tcPr>
            <w:tcW w:type="dxa" w:w="38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RACI, KPIs, Governance, Policies, Systems, Timing, SIPOC</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Operating model components that attach to processes via junction tables. These define how the organisation executes.</w:t>
            </w:r>
          </w:p>
        </w:tc>
      </w:tr>
      <w:tr>
        <w:tc>
          <w:tcPr>
            <w:tcW w:type="dxa" w:w="180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Tier 3: Value &amp; Quality</w:t>
            </w:r>
          </w:p>
        </w:tc>
        <w:tc>
          <w:tcPr>
            <w:tcW w:type="dxa" w:w="380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Business Model Mapping, Business Model Reference, Issue &amp; Opportunity Log, Action Plans</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Components that connect operational execution to business value creation and quality improvement.</w:t>
            </w:r>
          </w:p>
        </w:tc>
      </w:tr>
      <w:tr>
        <w:tc>
          <w:tcPr>
            <w:tcW w:type="dxa" w:w="1800"/>
            <w:tcBorders>
              <w:top w:val="single" w:color="D0D5DD" w:sz="1"/>
              <w:left w:val="single" w:color="D0D5DD" w:sz="1"/>
              <w:bottom w:val="single" w:color="D0D5DD" w:sz="1"/>
              <w:right w:val="single" w:color="D0D5DD" w:sz="1"/>
            </w:tcBorders>
            <w:shd w:fill="FFEBE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Tier 4: Analytics</w:t>
            </w:r>
          </w:p>
        </w:tc>
        <w:tc>
          <w:tcPr>
            <w:tcW w:type="dxa" w:w="3800"/>
            <w:tcBorders>
              <w:top w:val="single" w:color="D0D5DD" w:sz="1"/>
              <w:left w:val="single" w:color="D0D5DD" w:sz="1"/>
              <w:bottom w:val="single" w:color="D0D5DD" w:sz="1"/>
              <w:right w:val="single" w:color="D0D5DD" w:sz="1"/>
            </w:tcBorders>
            <w:shd w:fill="FFEBEE"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Summary Dashboard, Heatmap Overlay</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Aggregated views and derived analytics that consume data from all other tiers.</w:t>
            </w:r>
          </w:p>
        </w:tc>
      </w:tr>
    </w:tbl>
    <w:p>
      <w:r>
        <w:br w:type="page"/>
      </w:r>
    </w:p>
    <w:p>
      <w:pPr>
        <w:pStyle w:val="Heading1"/>
      </w:pPr>
      <w:r>
        <w:t xml:space="preserve">3. Detailed Component Analysis</w:t>
      </w:r>
    </w:p>
    <w:p>
      <w:pPr>
        <w:pStyle w:val="Heading2"/>
      </w:pPr>
      <w:r>
        <w:t xml:space="preserve">3.1 Process Catalogue (L0-L5)</w:t>
      </w:r>
    </w:p>
    <w:p>
      <w:pPr>
        <w:spacing w:after="200"/>
      </w:pPr>
      <w:r>
        <w:rPr>
          <w:rFonts w:ascii="Arial" w:cs="Arial" w:eastAsia="Arial" w:hAnsi="Arial"/>
          <w:color w:val="333333"/>
          <w:sz w:val="22"/>
          <w:szCs w:val="22"/>
        </w:rPr>
        <w:t xml:space="preserve">The Process Catalogue is the central spine of the entire operating model. Every other component attaches to a process at some level of the hierarchy. The design specifies a 6-level hierarchy supporting both Primary (core value chain) and Secondary (support function) process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5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48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L0</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Value Stream / Domain</w:t>
            </w:r>
          </w:p>
        </w:tc>
        <w:tc>
          <w:tcPr>
            <w:tcW w:type="dxa" w:w="4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Highest grouping (e.g., SUPPORT, SOURCE, DEVELOP, EXECUTE)</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L1</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Function / Capability</w:t>
            </w:r>
          </w:p>
        </w:tc>
        <w:tc>
          <w:tcPr>
            <w:tcW w:type="dxa" w:w="4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Functional area (e.g., Governance, Client Mgmt, QA &amp; Tech)</w:t>
            </w:r>
          </w:p>
        </w:tc>
      </w:tr>
      <w:tr>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L2</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w:t>
            </w:r>
          </w:p>
        </w:tc>
        <w:tc>
          <w:tcPr>
            <w:tcW w:type="dxa" w:w="4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Named process (e.g., Data Management, Inspection, Order Mgmt)</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L3</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Workflow</w:t>
            </w:r>
          </w:p>
        </w:tc>
        <w:tc>
          <w:tcPr>
            <w:tcW w:type="dxa" w:w="4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Specific workflow within a process (e.g., Product Data Maintenance)</w:t>
            </w:r>
          </w:p>
        </w:tc>
      </w:tr>
      <w:tr>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L4</w:t>
            </w:r>
          </w:p>
        </w:tc>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Variation</w:t>
            </w:r>
          </w:p>
        </w:tc>
        <w:tc>
          <w:tcPr>
            <w:tcW w:type="dxa" w:w="48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Workflow variation by category, market, or client</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L5</w:t>
            </w:r>
          </w:p>
        </w:tc>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Steps</w:t>
            </w:r>
          </w:p>
        </w:tc>
        <w:tc>
          <w:tcPr>
            <w:tcW w:type="dxa" w:w="48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Individual execution steps, where SIPOC flows operate</w:t>
            </w:r>
          </w:p>
        </w:tc>
      </w:tr>
    </w:tbl>
    <w:p>
      <w:pPr>
        <w:spacing w:after="100"/>
      </w:pPr>
    </w:p>
    <w:p>
      <w:pPr>
        <w:pStyle w:val="Heading3"/>
      </w:pPr>
      <w:r>
        <w:t xml:space="preserve">Data Fields (from Operating Model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Level</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 (L0-L5)</w:t>
            </w:r>
          </w:p>
        </w:tc>
        <w:tc>
          <w:tcPr>
            <w:tcW w:type="dxa" w:w="5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Hierarchy position</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 ID</w:t>
            </w:r>
          </w:p>
        </w:tc>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w:t>
            </w:r>
          </w:p>
        </w:tc>
        <w:tc>
          <w:tcPr>
            <w:tcW w:type="dxa" w:w="5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Unique reference code (e.g., L2-05, L3-11)</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 Name</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Human-readable name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 Owner</w:t>
            </w:r>
          </w:p>
        </w:tc>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FK to User</w:t>
            </w:r>
          </w:p>
        </w:tc>
        <w:tc>
          <w:tcPr>
            <w:tcW w:type="dxa" w:w="5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Accountable individual</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RAG: Process</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 (R/A/G)</w:t>
            </w:r>
          </w:p>
        </w:tc>
        <w:tc>
          <w:tcPr>
            <w:tcW w:type="dxa" w:w="5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 dimension maturity rating</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RAG: System</w:t>
            </w:r>
          </w:p>
        </w:tc>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 (R/A/G)</w:t>
            </w:r>
          </w:p>
        </w:tc>
        <w:tc>
          <w:tcPr>
            <w:tcW w:type="dxa" w:w="5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System dimension maturity rating</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RAG: People</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 (R/A/G)</w:t>
            </w:r>
          </w:p>
        </w:tc>
        <w:tc>
          <w:tcPr>
            <w:tcW w:type="dxa" w:w="5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People dimension maturity rating</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RAG: Data</w:t>
            </w:r>
          </w:p>
        </w:tc>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 (R/A/G)</w:t>
            </w:r>
          </w:p>
        </w:tc>
        <w:tc>
          <w:tcPr>
            <w:tcW w:type="dxa" w:w="5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Data dimension maturity rating</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Overall RAG</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 (R/A/G)</w:t>
            </w:r>
          </w:p>
        </w:tc>
        <w:tc>
          <w:tcPr>
            <w:tcW w:type="dxa" w:w="5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Derived worst-case across four dimensions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Last Review Date</w:t>
            </w:r>
          </w:p>
        </w:tc>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DATE</w:t>
            </w:r>
          </w:p>
        </w:tc>
        <w:tc>
          <w:tcPr>
            <w:tcW w:type="dxa" w:w="5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Most recent assessment date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Reviewer</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FK to User</w:t>
            </w:r>
          </w:p>
        </w:tc>
        <w:tc>
          <w:tcPr>
            <w:tcW w:type="dxa" w:w="5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Person who conducted last review</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Comments/Actions</w:t>
            </w:r>
          </w:p>
        </w:tc>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Free-text notes and action items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parent_id</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FK to Process</w:t>
            </w:r>
          </w:p>
        </w:tc>
        <w:tc>
          <w:tcPr>
            <w:tcW w:type="dxa" w:w="5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Hierarchy parent link (Blueprint extension)</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agentic_potential</w:t>
            </w:r>
          </w:p>
        </w:tc>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None / Low / Medium / High (Blueprint extension)</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current_automation_level</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Manual / Assisted / Semi-Auto / Fully-Auto</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target_automation_level</w:t>
            </w:r>
          </w:p>
        </w:tc>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Target future automation state</w:t>
            </w:r>
          </w:p>
        </w:tc>
      </w:tr>
    </w:tbl>
    <w:p>
      <w:pPr>
        <w:spacing w:after="100"/>
      </w:pPr>
    </w:p>
    <w:p>
      <w:pPr>
        <w:spacing w:after="200"/>
      </w:pPr>
      <w:r>
        <w:rPr>
          <w:rFonts w:ascii="Arial" w:cs="Arial" w:eastAsia="Arial" w:hAnsi="Arial"/>
          <w:color w:val="333333"/>
          <w:sz w:val="22"/>
          <w:szCs w:val="22"/>
        </w:rPr>
        <w:t xml:space="preserve">Source evidence: 137 rows in Operating Model (4 L0, 17 L1, 48 L2, 68 L3). V3.1.1 extends to 306 rows with L4 descriptions and inline RACI. The Blueprint specification extends the process entity with agentic opportunity fields and parent_id for recursive hierarchy traversal.</w:t>
      </w:r>
    </w:p>
    <w:p>
      <w:r>
        <w:br w:type="page"/>
      </w:r>
    </w:p>
    <w:p>
      <w:pPr>
        <w:pStyle w:val="Heading2"/>
      </w:pPr>
      <w:r>
        <w:t xml:space="preserve">3.2 RAG Assessment (4-Dimension Maturity Model)</w:t>
      </w:r>
    </w:p>
    <w:p>
      <w:pPr>
        <w:spacing w:after="200"/>
      </w:pPr>
      <w:r>
        <w:rPr>
          <w:rFonts w:ascii="Arial" w:cs="Arial" w:eastAsia="Arial" w:hAnsi="Arial"/>
          <w:color w:val="333333"/>
          <w:sz w:val="22"/>
          <w:szCs w:val="22"/>
        </w:rPr>
        <w:t xml:space="preserve">Every process is assessed across four dimensions using a Red-Amber-Green rating. The RAG Criteria sheet provides detailed definitions for each dimension at each rating level, creating a standardised assessment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20"/>
        <w:gridCol w:w="2520"/>
        <w:gridCol w:w="2720"/>
      </w:tblGrid>
      <w:t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25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 (Immature)</w:t>
            </w:r>
          </w:p>
        </w:tc>
        <w:tc>
          <w:tcPr>
            <w:tcW w:type="dxa" w:w="25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Amber (Developing)</w:t>
            </w:r>
          </w:p>
        </w:tc>
        <w:tc>
          <w:tcPr>
            <w:tcW w:type="dxa" w:w="2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Green (Mature)</w:t>
            </w:r>
          </w:p>
        </w:tc>
      </w:tr>
      <w:tr>
        <w:tc>
          <w:tcPr>
            <w:tcW w:type="dxa" w:w="16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1. Process</w:t>
            </w:r>
          </w:p>
        </w:tc>
        <w:tc>
          <w:tcPr>
            <w:tcW w:type="dxa" w:w="2520"/>
            <w:tcBorders>
              <w:top w:val="single" w:color="D0D5DD" w:sz="1"/>
              <w:left w:val="single" w:color="D0D5DD" w:sz="1"/>
              <w:bottom w:val="single" w:color="D0D5DD" w:sz="1"/>
              <w:right w:val="single" w:color="D0D5DD" w:sz="1"/>
            </w:tcBorders>
            <w:shd w:fill="FFEBEE"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No documentation, ad-hoc, roles unclear, no metrics</w:t>
            </w:r>
          </w:p>
        </w:tc>
        <w:tc>
          <w:tcPr>
            <w:tcW w:type="dxa" w:w="252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Partially documented, some SOPs, basic metrics</w:t>
            </w:r>
          </w:p>
        </w:tc>
        <w:tc>
          <w:tcPr>
            <w:tcW w:type="dxa" w:w="272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Fully documented, standardised, metrics monitored</w:t>
            </w:r>
          </w:p>
        </w:tc>
      </w:tr>
      <w:tr>
        <w:tc>
          <w:tcPr>
            <w:tcW w:type="dxa" w:w="16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2. System</w:t>
            </w:r>
          </w:p>
        </w:tc>
        <w:tc>
          <w:tcPr>
            <w:tcW w:type="dxa" w:w="2520"/>
            <w:tcBorders>
              <w:top w:val="single" w:color="D0D5DD" w:sz="1"/>
              <w:left w:val="single" w:color="D0D5DD" w:sz="1"/>
              <w:bottom w:val="single" w:color="D0D5DD" w:sz="1"/>
              <w:right w:val="single" w:color="D0D5DD" w:sz="1"/>
            </w:tcBorders>
            <w:shd w:fill="FFEBEE"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Manual with no system support, disconnected spreadsheets</w:t>
            </w:r>
          </w:p>
        </w:tc>
        <w:tc>
          <w:tcPr>
            <w:tcW w:type="dxa" w:w="252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Basic system, limited functionality, partial integration</w:t>
            </w:r>
          </w:p>
        </w:tc>
        <w:tc>
          <w:tcPr>
            <w:tcW w:type="dxa" w:w="272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Fit-for-purpose system, end-to-end integration</w:t>
            </w:r>
          </w:p>
        </w:tc>
      </w:tr>
      <w:tr>
        <w:tc>
          <w:tcPr>
            <w:tcW w:type="dxa" w:w="16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3. People</w:t>
            </w:r>
          </w:p>
        </w:tc>
        <w:tc>
          <w:tcPr>
            <w:tcW w:type="dxa" w:w="2520"/>
            <w:tcBorders>
              <w:top w:val="single" w:color="D0D5DD" w:sz="1"/>
              <w:left w:val="single" w:color="D0D5DD" w:sz="1"/>
              <w:bottom w:val="single" w:color="D0D5DD" w:sz="1"/>
              <w:right w:val="single" w:color="D0D5DD" w:sz="1"/>
            </w:tcBorders>
            <w:shd w:fill="FFEBEE"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Insufficient skills, no training, single point of failure</w:t>
            </w:r>
          </w:p>
        </w:tc>
        <w:tc>
          <w:tcPr>
            <w:tcW w:type="dxa" w:w="252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Adequate headcount, some skill gaps, basic training</w:t>
            </w:r>
          </w:p>
        </w:tc>
        <w:tc>
          <w:tcPr>
            <w:tcW w:type="dxa" w:w="272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Right skills, comprehensive training, cross-trained</w:t>
            </w:r>
          </w:p>
        </w:tc>
      </w:tr>
      <w:tr>
        <w:tc>
          <w:tcPr>
            <w:tcW w:type="dxa" w:w="16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4. Data</w:t>
            </w:r>
          </w:p>
        </w:tc>
        <w:tc>
          <w:tcPr>
            <w:tcW w:type="dxa" w:w="2520"/>
            <w:tcBorders>
              <w:top w:val="single" w:color="D0D5DD" w:sz="1"/>
              <w:left w:val="single" w:color="D0D5DD" w:sz="1"/>
              <w:bottom w:val="single" w:color="D0D5DD" w:sz="1"/>
              <w:right w:val="single" w:color="D0D5DD" w:sz="1"/>
            </w:tcBorders>
            <w:shd w:fill="FFEBEE"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Incomplete, inaccurate, no master data governance</w:t>
            </w:r>
          </w:p>
        </w:tc>
        <w:tc>
          <w:tcPr>
            <w:tcW w:type="dxa" w:w="252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Inconsistent quality, some governance, periodic checks</w:t>
            </w:r>
          </w:p>
        </w:tc>
        <w:tc>
          <w:tcPr>
            <w:tcW w:type="dxa" w:w="272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High quality, strong governance, single source of truth</w:t>
            </w:r>
          </w:p>
        </w:tc>
      </w:tr>
    </w:tbl>
    <w:p>
      <w:pPr>
        <w:spacing w:after="100"/>
      </w:pPr>
    </w:p>
    <w:p>
      <w:pPr>
        <w:spacing w:after="200"/>
      </w:pPr>
      <w:r>
        <w:rPr>
          <w:rFonts w:ascii="Arial" w:cs="Arial" w:eastAsia="Arial" w:hAnsi="Arial"/>
          <w:color w:val="333333"/>
          <w:sz w:val="22"/>
          <w:szCs w:val="22"/>
        </w:rPr>
        <w:t xml:space="preserve">The Issue &amp; Opportunity Log specification uses the same four classifications (people, process, system, data) as its issue_classification enum, ensuring alignment between maturity assessment and operational issue tracking.</w:t>
      </w:r>
    </w:p>
    <w:p>
      <w:pPr>
        <w:pStyle w:val="Heading2"/>
      </w:pPr>
      <w:r>
        <w:t xml:space="preserve">3.3 RACI Matrix</w:t>
      </w:r>
    </w:p>
    <w:p>
      <w:pPr>
        <w:spacing w:after="200"/>
      </w:pPr>
      <w:r>
        <w:rPr>
          <w:rFonts w:ascii="Arial" w:cs="Arial" w:eastAsia="Arial" w:hAnsi="Arial"/>
          <w:color w:val="333333"/>
          <w:sz w:val="22"/>
          <w:szCs w:val="22"/>
        </w:rPr>
        <w:t xml:space="preserve">The RACI Matrix defines role-based responsibility assignments for each process. The Operating Model sheet specifies 13 role columns spanning internal staff, external parties, and specialist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4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RACI Designation</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Client</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External</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Typically I (Informed) or C (Consulted)</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Account Manager</w:t>
            </w:r>
          </w:p>
        </w:tc>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Sourcing</w:t>
            </w:r>
          </w:p>
        </w:tc>
        <w:tc>
          <w:tcPr>
            <w:tcW w:type="dxa" w:w="4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 for client-facing processes</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Sourcing Lead</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Sourcing</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R/A for sourcing workflow</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Quality Manager</w:t>
            </w:r>
          </w:p>
        </w:tc>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QA</w:t>
            </w:r>
          </w:p>
        </w:tc>
        <w:tc>
          <w:tcPr>
            <w:tcW w:type="dxa" w:w="4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 for quality processes</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Data Manager</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IT/Data</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A/R for data management</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Production Coordinator</w:t>
            </w:r>
          </w:p>
        </w:tc>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Ops</w:t>
            </w:r>
          </w:p>
        </w:tc>
        <w:tc>
          <w:tcPr>
            <w:tcW w:type="dxa" w:w="4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 for production tracking</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Logistics Coordinator</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Logistics</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 for shipment processes</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Finance Analyst</w:t>
            </w:r>
          </w:p>
        </w:tc>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Finance</w:t>
            </w:r>
          </w:p>
        </w:tc>
        <w:tc>
          <w:tcPr>
            <w:tcW w:type="dxa" w:w="4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 for payment processes</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Vendor</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External</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 for factory-side activities</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3PL</w:t>
            </w:r>
          </w:p>
        </w:tc>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External Partner</w:t>
            </w:r>
          </w:p>
        </w:tc>
        <w:tc>
          <w:tcPr>
            <w:tcW w:type="dxa" w:w="4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 for freight/customs</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Testing Lab</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External Partner</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 for product testing</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Compliance Specialist</w:t>
            </w:r>
          </w:p>
        </w:tc>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QA</w:t>
            </w:r>
          </w:p>
        </w:tc>
        <w:tc>
          <w:tcPr>
            <w:tcW w:type="dxa" w:w="4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C/R for compliance activities</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IT Support</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IT</w:t>
            </w:r>
          </w:p>
        </w:tc>
        <w:tc>
          <w:tcPr>
            <w:tcW w:type="dxa" w:w="4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R/C for system processes</w:t>
            </w:r>
          </w:p>
        </w:tc>
      </w:tr>
    </w:tbl>
    <w:p>
      <w:pPr>
        <w:spacing w:after="100"/>
      </w:pPr>
    </w:p>
    <w:p>
      <w:pPr>
        <w:spacing w:after="200"/>
      </w:pPr>
      <w:r>
        <w:rPr>
          <w:rFonts w:ascii="Arial" w:cs="Arial" w:eastAsia="Arial" w:hAnsi="Arial"/>
          <w:color w:val="333333"/>
          <w:sz w:val="22"/>
          <w:szCs w:val="22"/>
        </w:rPr>
        <w:t xml:space="preserve">Data model: ProcessRaci junction table linking process_id to role_catalogue_id with raci_type (R/A/C/I). V3.1.1 embeds R, A, C, I directly in the process row. The Blueprint extends RACI to include Agent roles alongside human roles, enabling visibility of AI/automation responsibilities within the same framework.</w:t>
      </w:r>
    </w:p>
    <w:p>
      <w:pPr>
        <w:spacing w:after="200"/>
      </w:pPr>
      <w:r>
        <w:rPr>
          <w:rFonts w:ascii="Arial" w:cs="Arial" w:eastAsia="Arial" w:hAnsi="Arial"/>
          <w:color w:val="333333"/>
          <w:sz w:val="22"/>
          <w:szCs w:val="22"/>
        </w:rPr>
        <w:t xml:space="preserve">14 populated rows in the Operating Model sheet. V3.1.1 carries inline RACI for all 306 process entries.</w:t>
      </w:r>
    </w:p>
    <w:p>
      <w:r>
        <w:br w:type="page"/>
      </w:r>
    </w:p>
    <w:p>
      <w:pPr>
        <w:pStyle w:val="Heading2"/>
      </w:pPr>
      <w:r>
        <w:t xml:space="preserve">3.4 KPIs &amp; Metrics</w:t>
      </w:r>
    </w:p>
    <w:p>
      <w:pPr>
        <w:spacing w:after="200"/>
      </w:pPr>
      <w:r>
        <w:rPr>
          <w:rFonts w:ascii="Arial" w:cs="Arial" w:eastAsia="Arial" w:hAnsi="Arial"/>
          <w:color w:val="333333"/>
          <w:sz w:val="22"/>
          <w:szCs w:val="22"/>
        </w:rPr>
        <w:t xml:space="preserve">KPIs attach measurable performance indicators to processes. Each KPI follows SMART criteria and includes target, current performance, trend direction, and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KPI / Metric</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Name of the performance indicator</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Unit of Measure</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VARCHAR(50)</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 Days, Count, Currency, etc.</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Target</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VARCHAR(100)</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Target value or threshold</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Current Performance</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VARCHAR(100)</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Most recent actual measurement</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Previous Period</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VARCHAR(100)</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Prior period for trend comparison</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Trend</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Up / Down / Stable arrow indicator</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Data Source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Where the metric is captured from</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Frequency</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VARCHAR(100)</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Measurement cadence (Daily/Weekly/Monthly)</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Owner</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FK to User/Role</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Person accountable for this KPI</w:t>
            </w:r>
          </w:p>
        </w:tc>
      </w:tr>
    </w:tbl>
    <w:p>
      <w:pPr>
        <w:spacing w:after="100"/>
      </w:pPr>
    </w:p>
    <w:p>
      <w:pPr>
        <w:spacing w:after="200"/>
      </w:pPr>
      <w:r>
        <w:rPr>
          <w:rFonts w:ascii="Arial" w:cs="Arial" w:eastAsia="Arial" w:hAnsi="Arial"/>
          <w:color w:val="333333"/>
          <w:sz w:val="22"/>
          <w:szCs w:val="22"/>
        </w:rPr>
        <w:t xml:space="preserve">14 populated KPI entries in the Operating Model, covering processes such as Data Management (Product Data Accuracy &gt;= 98%), Order Management (Order Cycle Time), and Inspection (First Pass Rate). KPIs support current vs. future state tracking as part of the operating model design.</w:t>
      </w:r>
    </w:p>
    <w:p>
      <w:pPr>
        <w:pStyle w:val="Heading2"/>
      </w:pPr>
      <w:r>
        <w:t xml:space="preserve">3.5 Governance Framework</w:t>
      </w:r>
    </w:p>
    <w:p>
      <w:pPr>
        <w:spacing w:after="200"/>
      </w:pPr>
      <w:r>
        <w:rPr>
          <w:rFonts w:ascii="Arial" w:cs="Arial" w:eastAsia="Arial" w:hAnsi="Arial"/>
          <w:color w:val="333333"/>
          <w:sz w:val="22"/>
          <w:szCs w:val="22"/>
        </w:rPr>
        <w:t xml:space="preserve">Governance defines decision rights, review forums, escalation paths, and approval thresholds for each process. This component ensures accountability and decision-making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Governance Forum</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Decision-making body (e.g., IT Steering Committee)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Decision Authority</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Who has final authority (e.g., IT Director)</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Review Frequency</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VARCHAR(100)</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How often reviews occur (Monthly, Quarterly)</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Escalation Path</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Chain of escalation (e.g., COO then CEO)</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Key Decisions</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decisions are made in this forum</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Approvals Required</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Threshold-based approval rules (e.g., &gt;$10K)</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Documentation</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records are produced (minutes, logs)</w:t>
            </w:r>
          </w:p>
        </w:tc>
      </w:tr>
    </w:tbl>
    <w:p>
      <w:pPr>
        <w:spacing w:after="200"/>
      </w:pPr>
      <w:r>
        <w:rPr>
          <w:rFonts w:ascii="Arial" w:cs="Arial" w:eastAsia="Arial" w:hAnsi="Arial"/>
          <w:color w:val="333333"/>
          <w:sz w:val="22"/>
          <w:szCs w:val="22"/>
        </w:rPr>
        <w:t xml:space="preserve">5 populated governance entries covering IT, Quality, Sourcing, Finance, and Executive forums.</w:t>
      </w:r>
    </w:p>
    <w:p>
      <w:pPr>
        <w:pStyle w:val="Heading2"/>
      </w:pPr>
      <w:r>
        <w:t xml:space="preserve">3.6 Policies &amp; Business Rules</w:t>
      </w:r>
    </w:p>
    <w:p>
      <w:pPr>
        <w:spacing w:after="200"/>
      </w:pPr>
      <w:r>
        <w:rPr>
          <w:rFonts w:ascii="Arial" w:cs="Arial" w:eastAsia="Arial" w:hAnsi="Arial"/>
          <w:color w:val="333333"/>
          <w:sz w:val="22"/>
          <w:szCs w:val="22"/>
        </w:rPr>
        <w:t xml:space="preserve">Policies define the guardrails that govern process execution. Each policy captures the rule description, type classification, compliance linkage,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Policy/Rule Name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Short name (e.g., Single Source of Truth Policy)</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Description</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Full policy statement</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Type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Policy / Business Rule / Regulatory / Standard</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Compliance Requirement</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Governance, CE/UKCA, WHS, etc.</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Last Updated</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DATE</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Policy review date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Owner</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FK to User/Role</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Policy owner</w:t>
            </w:r>
          </w:p>
        </w:tc>
      </w:tr>
    </w:tbl>
    <w:p>
      <w:pPr>
        <w:spacing w:after="200"/>
      </w:pPr>
      <w:r>
        <w:rPr>
          <w:rFonts w:ascii="Arial" w:cs="Arial" w:eastAsia="Arial" w:hAnsi="Arial"/>
          <w:color w:val="333333"/>
          <w:sz w:val="22"/>
          <w:szCs w:val="22"/>
        </w:rPr>
        <w:t xml:space="preserve">10 populated policy entries, with examples such as Single Source of Truth Policy for Data Management, Pre-Shipment Inspection Mandate for QC, and Approved Vendor List requirements for sourcing.</w:t>
      </w:r>
    </w:p>
    <w:p>
      <w:r>
        <w:br w:type="page"/>
      </w:r>
    </w:p>
    <w:p>
      <w:pPr>
        <w:pStyle w:val="Heading2"/>
      </w:pPr>
      <w:r>
        <w:t xml:space="preserve">3.7 Systems &amp; Tools (System Catalogue)</w:t>
      </w:r>
    </w:p>
    <w:p>
      <w:pPr>
        <w:spacing w:after="200"/>
      </w:pPr>
      <w:r>
        <w:rPr>
          <w:rFonts w:ascii="Arial" w:cs="Arial" w:eastAsia="Arial" w:hAnsi="Arial"/>
          <w:color w:val="333333"/>
          <w:sz w:val="22"/>
          <w:szCs w:val="22"/>
        </w:rPr>
        <w:t xml:space="preserve">The Systems component has the most mature specification, with the SYSTEM_CATALOGUE_SPEC.md defining a full schema enhancement from 7 to 25 columns on SystemCatalogue and 6 to 14 columns on the ProcessSystem junction table.</w:t>
      </w:r>
    </w:p>
    <w:p>
      <w:pPr>
        <w:pStyle w:val="Heading3"/>
      </w:pPr>
      <w:r>
        <w:t xml:space="preserve">System Catalogue Fields (25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name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System name (e.g., ERP System, FangCloud)</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system_type</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 (10 values)</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erp, communication, quality, finance, collaboration, etc.</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provider_name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Provider company (Fumasoft, Microsoft, Alibaba)</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provider_type</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internal / commercial_saas / commercial_onprem / custom_developed</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hosting_model</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cloud_global / cloud_china / on_premise / hybrid</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operating_region</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global / china_only / international_only / multi_region</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criticality</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critical / high / medium / low</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license_model</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free / subscription / perpetual / custom_contract / internal</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access_methods</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JSONB</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Array: web_browser, desktop_app, mobile_app, file_browser</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is_saas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BOOLEAN</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Whether SaaS-delivered</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compliance_notes</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Data residency, regulatory notes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status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evaluate / maintain / optimize / retire</w:t>
            </w:r>
          </w:p>
        </w:tc>
      </w:tr>
    </w:tbl>
    <w:p>
      <w:pPr>
        <w:spacing w:after="100"/>
      </w:pPr>
    </w:p>
    <w:p>
      <w:pPr>
        <w:pStyle w:val="Heading3"/>
      </w:pPr>
      <w:r>
        <w:t xml:space="preserve">Process-System Junction Fields (14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0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system_role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0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primary / secondary / reference / integration_target</w:t>
            </w:r>
          </w:p>
        </w:tc>
      </w:tr>
      <w:tr>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integration_method</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0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api / manual_entry / manual_export / file_transfer / webhook / central_hub</w:t>
            </w:r>
          </w:p>
        </w:tc>
      </w:tr>
      <w:tr>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purpose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0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the system does for this process</w:t>
            </w:r>
          </w:p>
        </w:tc>
      </w:tr>
      <w:tr>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criticality</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0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Process-level criticality of this system</w:t>
            </w:r>
          </w:p>
        </w:tc>
      </w:tr>
      <w:tr>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user_scope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0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Which team uses this system here</w:t>
            </w:r>
          </w:p>
        </w:tc>
      </w:tr>
      <w:tr>
        <w:tc>
          <w:tcPr>
            <w:tcW w:type="dxa" w:w="25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pain_points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0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Known issues with this system-process link</w:t>
            </w:r>
          </w:p>
        </w:tc>
      </w:tr>
      <w:tr>
        <w:tc>
          <w:tcPr>
            <w:tcW w:type="dxa" w:w="25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automation_potential</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0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none / low / medium / high (reuses agentic_potential enum)</w:t>
            </w:r>
          </w:p>
        </w:tc>
      </w:tr>
    </w:tbl>
    <w:p>
      <w:pPr>
        <w:spacing w:after="200"/>
      </w:pPr>
      <w:r>
        <w:rPr>
          <w:rFonts w:ascii="Arial" w:cs="Arial" w:eastAsia="Arial" w:hAnsi="Arial"/>
          <w:color w:val="333333"/>
          <w:sz w:val="22"/>
          <w:szCs w:val="22"/>
        </w:rPr>
        <w:t xml:space="preserve">8 seed system records (ERP, M365, Factory Audit App, FangCloud, Contract Mgmt, Share Drive, Kingdee Finance, Ding Talk) and 9 seed process-system linkages. The operating_region and hosting_model enums directly address the China/global dual-deployment requirement.</w:t>
      </w:r>
    </w:p>
    <w:p>
      <w:pPr>
        <w:pStyle w:val="Heading2"/>
      </w:pPr>
      <w:r>
        <w:t xml:space="preserve">3.8 Timing &amp; SLA</w:t>
      </w:r>
    </w:p>
    <w:p>
      <w:pPr>
        <w:spacing w:after="200"/>
      </w:pPr>
      <w:r>
        <w:rPr>
          <w:rFonts w:ascii="Arial" w:cs="Arial" w:eastAsia="Arial" w:hAnsi="Arial"/>
          <w:color w:val="333333"/>
          <w:sz w:val="22"/>
          <w:szCs w:val="22"/>
        </w:rPr>
        <w:t xml:space="preserve">Timing &amp; SLA captures the performance contracts for each process: how fast it should run, how often it occurs, what volumes it handles, and when peak demand 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Frequency</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VARCHAR(100)</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How often the process runs (Continuous, Weekly, Per-Order)</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Volume/Month</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VARCHAR(100)</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Transaction volume (e.g., 500 SKUs, 200 orders)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Cycle Time Target</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NUMERIC</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Target processing time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Current Average</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NUMERIC</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Actual average cycle time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SLA Commitment</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Formal service level (e.g., within 48 hours)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Unit</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VARCHAR(50)</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Time unit (Hours, Days, Working Days)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Trigger Event</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initiates the process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Dependencies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Upstream inputs required</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Peak Season Timing</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VARCHAR(255)</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When volumes spike (e.g., Aug-Oct for range launch)</w:t>
            </w:r>
          </w:p>
        </w:tc>
      </w:tr>
    </w:tbl>
    <w:p>
      <w:pPr>
        <w:spacing w:after="200"/>
      </w:pPr>
      <w:r>
        <w:rPr>
          <w:rFonts w:ascii="Arial" w:cs="Arial" w:eastAsia="Arial" w:hAnsi="Arial"/>
          <w:color w:val="333333"/>
          <w:sz w:val="22"/>
          <w:szCs w:val="22"/>
        </w:rPr>
        <w:t xml:space="preserve">11 populated timing entries. The seasonal dimension is critical for Surity where 70%+ of garden/outdoor volume concentrates in a 4-month window, requiring surge capacity planning.</w:t>
      </w:r>
    </w:p>
    <w:p>
      <w:r>
        <w:br w:type="page"/>
      </w:r>
    </w:p>
    <w:p>
      <w:pPr>
        <w:pStyle w:val="Heading2"/>
      </w:pPr>
      <w:r>
        <w:t xml:space="preserve">3.9 SIPOC Mapping</w:t>
      </w:r>
    </w:p>
    <w:p>
      <w:pPr>
        <w:spacing w:after="200"/>
      </w:pPr>
      <w:r>
        <w:rPr>
          <w:rFonts w:ascii="Arial" w:cs="Arial" w:eastAsia="Arial" w:hAnsi="Arial"/>
          <w:color w:val="333333"/>
          <w:sz w:val="22"/>
          <w:szCs w:val="22"/>
        </w:rPr>
        <w:t xml:space="preserve">SIPOC (Supplier-Input-Process-Output-Customer) maps the value chain for each process. In the Blueprint, SIPOC flows operate at L5 (step level), providing the most granular view of how value flows through the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Supplier</w:t>
            </w:r>
          </w:p>
        </w:tc>
        <w:tc>
          <w:tcPr>
            <w:tcW w:type="dxa" w:w="7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Who provides inputs (Vendors, Client, Testing Labs, Customs Agencies)</w:t>
            </w:r>
          </w:p>
        </w:tc>
      </w:tr>
      <w:tr>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Input</w:t>
            </w:r>
          </w:p>
        </w:tc>
        <w:tc>
          <w:tcPr>
            <w:tcW w:type="dxa" w:w="77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is received (Product specs, Quotations, Test certificates, HS codes)</w:t>
            </w:r>
          </w:p>
        </w:tc>
      </w:tr>
      <w:tr>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7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we do (Validate data, Enter into ERP, Create master records)</w:t>
            </w:r>
          </w:p>
        </w:tc>
      </w:tr>
      <w:tr>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Output</w:t>
            </w:r>
          </w:p>
        </w:tc>
        <w:tc>
          <w:tcPr>
            <w:tcW w:type="dxa" w:w="77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is produced (Product master data, Vendor records, Quality reports)</w:t>
            </w:r>
          </w:p>
        </w:tc>
      </w:tr>
      <w:tr>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Customer</w:t>
            </w:r>
          </w:p>
        </w:tc>
        <w:tc>
          <w:tcPr>
            <w:tcW w:type="dxa" w:w="7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Who receives outputs (Client, Sourcing team, Logistics, Finance)</w:t>
            </w:r>
          </w:p>
        </w:tc>
      </w:tr>
      <w:tr>
        <w:tc>
          <w:tcPr>
            <w:tcW w:type="dxa" w:w="16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Volume</w:t>
            </w:r>
          </w:p>
        </w:tc>
        <w:tc>
          <w:tcPr>
            <w:tcW w:type="dxa" w:w="77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Transaction volume per period</w:t>
            </w:r>
          </w:p>
        </w:tc>
      </w:tr>
      <w:tr>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Frequency</w:t>
            </w:r>
          </w:p>
        </w:tc>
        <w:tc>
          <w:tcPr>
            <w:tcW w:type="dxa" w:w="77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How often the flow occurs</w:t>
            </w:r>
          </w:p>
        </w:tc>
      </w:tr>
    </w:tbl>
    <w:p>
      <w:pPr>
        <w:spacing w:after="200"/>
      </w:pPr>
      <w:r>
        <w:rPr>
          <w:rFonts w:ascii="Arial" w:cs="Arial" w:eastAsia="Arial" w:hAnsi="Arial"/>
          <w:color w:val="333333"/>
          <w:sz w:val="22"/>
          <w:szCs w:val="22"/>
        </w:rPr>
        <w:t xml:space="preserve">11 populated SIPOC entries. SIPOC enables cross-process dependency visibility, showing where one process's output becomes another's input.</w:t>
      </w:r>
    </w:p>
    <w:p>
      <w:pPr>
        <w:pStyle w:val="Heading2"/>
      </w:pPr>
      <w:r>
        <w:t xml:space="preserve">3.10 Business Model Mapping</w:t>
      </w:r>
    </w:p>
    <w:p>
      <w:pPr>
        <w:spacing w:after="200"/>
      </w:pPr>
      <w:r>
        <w:rPr>
          <w:rFonts w:ascii="Arial" w:cs="Arial" w:eastAsia="Arial" w:hAnsi="Arial"/>
          <w:color w:val="333333"/>
          <w:sz w:val="22"/>
          <w:szCs w:val="22"/>
        </w:rPr>
        <w:t xml:space="preserve">Business Model Mapping is the bridge between operational execution and business value creation. It answers the question: why does this process matter to the business? The Business Model Integration Guide provides detailed examples of how this mapping drives strategic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Trading Markets</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Multi-select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UK, Benelux, Australia (where we sell)</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Clients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Multi-select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Bunnings, Selco, Maxeda (who we serve)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Sourcing Markets</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Multi-select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China, Vietnam (where we source)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Product Categories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Multi-select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Technical, Showroom, Seasonal, Home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Key Partners</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Multi-select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3PL, Testing Labs, Audit Firms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Key Suppliers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Vendor base references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Channel</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Always 'Agent' for Surity</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Revenue Line</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Agency margin / Indirect / N/A</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Cost Line</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Personnel, Travel, Lab fees, etc.</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Function(s)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Multi-select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Sourcing, QA, Finance, Logistics, IT</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Value Proposition</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value this process delivers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Customer Segment</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DIY retailers / Vendors / Internal</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BM Notes</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Strategic context</w:t>
            </w:r>
          </w:p>
        </w:tc>
      </w:tr>
    </w:tbl>
    <w:p>
      <w:pPr>
        <w:spacing w:after="200"/>
      </w:pPr>
      <w:r>
        <w:rPr>
          <w:rFonts w:ascii="Arial" w:cs="Arial" w:eastAsia="Arial" w:hAnsi="Arial"/>
          <w:color w:val="333333"/>
          <w:sz w:val="22"/>
          <w:szCs w:val="22"/>
        </w:rPr>
        <w:t xml:space="preserve">16 populated BM mapping entries. The Revenue Attribution Model classifies processes into four stages: Revenue Enablers, Revenue Generators, Revenue Protectors, and Revenue Supporters. This classification feeds the Summary Dashboard.</w:t>
      </w:r>
    </w:p>
    <w:p>
      <w:pPr>
        <w:pStyle w:val="Heading2"/>
      </w:pPr>
      <w:r>
        <w:t xml:space="preserve">3.11 Business Model Reference (Taxonomy)</w:t>
      </w:r>
    </w:p>
    <w:p>
      <w:pPr>
        <w:spacing w:after="200"/>
      </w:pPr>
      <w:r>
        <w:rPr>
          <w:rFonts w:ascii="Arial" w:cs="Arial" w:eastAsia="Arial" w:hAnsi="Arial"/>
          <w:color w:val="333333"/>
          <w:sz w:val="22"/>
          <w:szCs w:val="22"/>
        </w:rPr>
        <w:t xml:space="preserve">The Business Model Reference provides the complete taxonomy of values used in Business Model Mapping. It defines the valid options for each canvas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6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Trading Markets</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United Kingdom (UK), Benelux, Australia (AU)</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Clients</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Bunnings (AU), Selco (UK), Maxeda/Praxis/Formido/Brico (Benelux)</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Sourcing Markets</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China (80-90% primary), Vietnam (10-20% diversification)</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Product Categories</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Technical (9 subcats), Showroom (7), Seasonal (9), Home (9)</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Key Partners</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3PL, Storage Providers, Audit Firms (BSCI/SEDEX), Testing Labs (SGS/TUV/Intertek), IT Partners</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Functions</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Sourcing Merchandising, QA and Tech, Finance, Logistics, IT/Data Mgmt</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Revenue Lines</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Agency Margin (3-8% FOB), Service Fees</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Cost Lines</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Personnel, Travel, Third-Party Services, IT/Systems, Office, Professional Services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Value Propositions</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DIY Retailers, Vendors, Internal Operations</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Channel</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Agent Model (Surity as intermediary)</w:t>
            </w:r>
          </w:p>
        </w:tc>
      </w:tr>
    </w:tbl>
    <w:p>
      <w:pPr>
        <w:spacing w:after="200"/>
      </w:pPr>
      <w:r>
        <w:rPr>
          <w:rFonts w:ascii="Arial" w:cs="Arial" w:eastAsia="Arial" w:hAnsi="Arial"/>
          <w:color w:val="333333"/>
          <w:sz w:val="22"/>
          <w:szCs w:val="22"/>
        </w:rPr>
        <w:t xml:space="preserve">72 rows covering 10 taxonomy categories. This reference data is tenant-specific: each organisation defines its own markets, clients, categories, and partners.</w:t>
      </w:r>
    </w:p>
    <w:p>
      <w:r>
        <w:br w:type="page"/>
      </w:r>
    </w:p>
    <w:p>
      <w:pPr>
        <w:pStyle w:val="Heading2"/>
      </w:pPr>
      <w:r>
        <w:t xml:space="preserve">3.12 Issue &amp; Opportunity Log</w:t>
      </w:r>
    </w:p>
    <w:p>
      <w:pPr>
        <w:spacing w:after="200"/>
      </w:pPr>
      <w:r>
        <w:rPr>
          <w:rFonts w:ascii="Arial" w:cs="Arial" w:eastAsia="Arial" w:hAnsi="Arial"/>
          <w:color w:val="333333"/>
          <w:sz w:val="22"/>
          <w:szCs w:val="22"/>
        </w:rPr>
        <w:t xml:space="preserve">The Issue &amp; Opportunity Log is the most fully specified component, with a complete implementation specification in ISSUE_OPPORTUNITY_LOG_SPEC.docx. It provides structured operational issue capture with embedded improvement opportunities, a process heatmap overlay, and full audit trail.</w:t>
      </w:r>
    </w:p>
    <w:p>
      <w:pPr>
        <w:pStyle w:val="Heading3"/>
      </w:pPr>
      <w:r>
        <w:t xml:space="preserve">Key Design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6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Issue Classification</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people / process / system / data (aligned with RAG dimensions)</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Criticality / Complexity</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3-level each (high/medium/low) for prioritisation matrix</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Status State Machine</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open -&gt; in_progress -&gt; resolved -&gt; closed, with deferred path</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Embedded Opportunity</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Each issue carries optional solution description, outcome, beneficiaries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Opportunity Lifecycle</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identified -&gt; evaluating -&gt; approved -&gt; in_delivery -&gt; delivered / rejected</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Auto-Numbering</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ISS-001, ISS-002... per organisation, immutable</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Audit History</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issue_log_history table with trigger-based status/criticality change capture</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 Heatmap</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Aggregation view with recursive rollup (child issues bubble to parents)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Heatmap Colouring</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Red (any high), Amber (medium, no high), Green (low only), None</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RIADA Integration</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Loose coupling via metadata JSONB (linked_riada references)</w:t>
            </w:r>
          </w:p>
        </w:tc>
      </w:tr>
    </w:tbl>
    <w:p>
      <w:pPr>
        <w:spacing w:after="200"/>
      </w:pPr>
      <w:r>
        <w:rPr>
          <w:rFonts w:ascii="Arial" w:cs="Arial" w:eastAsia="Arial" w:hAnsi="Arial"/>
          <w:color w:val="333333"/>
          <w:sz w:val="22"/>
          <w:szCs w:val="22"/>
        </w:rPr>
        <w:t xml:space="preserve">Distinct from the RIADA Log (which operates in project context), the Issue &amp; Opportunity Log is anchored to the process catalogue and captures persistent operational issues. 4 seed records derived from Action Plans AP-001 through AP-004.</w:t>
      </w:r>
    </w:p>
    <w:p>
      <w:pPr>
        <w:pStyle w:val="Heading2"/>
      </w:pPr>
      <w:r>
        <w:t xml:space="preserve">3.13 Action Plans</w:t>
      </w:r>
    </w:p>
    <w:p>
      <w:pPr>
        <w:spacing w:after="200"/>
      </w:pPr>
      <w:r>
        <w:rPr>
          <w:rFonts w:ascii="Arial" w:cs="Arial" w:eastAsia="Arial" w:hAnsi="Arial"/>
          <w:color w:val="333333"/>
          <w:sz w:val="22"/>
          <w:szCs w:val="22"/>
        </w:rPr>
        <w:t xml:space="preserve">Action Plans track improvement actions for processes with Red or Amber RAG ratings. In the target architecture, Action Plans are superseded by the Issue &amp; Opportunity Log (which provides richer lifecycle management), but the sheet remains a valuable data migration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Action ID</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VARCHAR</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AP-001 sequential reference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 ID</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FK to Process</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Which process this action addresses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Category</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System / Process / People / Data (RAG dimension)</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Current RAG</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RED or AMBER triggering the action</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Issue/Gap Description</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is wrong</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Improvement Action</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TEXT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What will be done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Action Owner</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FK to User/Role</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Who is responsible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Due Date</w:t>
            </w:r>
          </w:p>
        </w:tc>
        <w:tc>
          <w:tcPr>
            <w:tcW w:type="dxa" w:w="1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DATE</w:t>
            </w:r>
          </w:p>
        </w:tc>
        <w:tc>
          <w:tcPr>
            <w:tcW w:type="dxa" w:w="5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Target completion date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Status</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ENUM</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Not Started / In Progress / Complete / On Hold</w:t>
            </w:r>
          </w:p>
        </w:tc>
      </w:tr>
    </w:tbl>
    <w:p>
      <w:pPr>
        <w:spacing w:after="200"/>
      </w:pPr>
      <w:r>
        <w:rPr>
          <w:rFonts w:ascii="Arial" w:cs="Arial" w:eastAsia="Arial" w:hAnsi="Arial"/>
          <w:color w:val="333333"/>
          <w:sz w:val="22"/>
          <w:szCs w:val="22"/>
        </w:rPr>
        <w:t xml:space="preserve">4 seed action plans (AP-001 to AP-004) targeting Data Management and Factory Audit processes. These map directly to ISS-001 through ISS-004 in the Issue &amp; Opportunity Log seed data.</w:t>
      </w:r>
    </w:p>
    <w:p>
      <w:pPr>
        <w:pStyle w:val="Heading2"/>
      </w:pPr>
      <w:r>
        <w:t xml:space="preserve">3.14 Summary Dashboard</w:t>
      </w:r>
    </w:p>
    <w:p>
      <w:pPr>
        <w:spacing w:after="200"/>
      </w:pPr>
      <w:r>
        <w:rPr>
          <w:rFonts w:ascii="Arial" w:cs="Arial" w:eastAsia="Arial" w:hAnsi="Arial"/>
          <w:color w:val="333333"/>
          <w:sz w:val="22"/>
          <w:szCs w:val="22"/>
        </w:rPr>
        <w:t xml:space="preserve">The Summary Dashboard provides aggregated views of operating model health. It does not introduce new entities but consumes data from all other components to produce analytical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Dashboard View</w:t>
            </w:r>
          </w:p>
        </w:tc>
        <w:tc>
          <w:tcPr>
            <w:tcW w:type="dxa" w:w="6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Sources</w:t>
            </w:r>
          </w:p>
        </w:tc>
      </w:tr>
      <w:tr>
        <w:tc>
          <w:tcPr>
            <w:tcW w:type="dxa" w:w="3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 Health Summary</w:t>
            </w:r>
          </w:p>
        </w:tc>
        <w:tc>
          <w:tcPr>
            <w:tcW w:type="dxa" w:w="6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RAG ratings aggregated by dimension (Process, System, People, Data)</w:t>
            </w:r>
          </w:p>
        </w:tc>
      </w:tr>
      <w:tr>
        <w:tc>
          <w:tcPr>
            <w:tcW w:type="dxa" w:w="3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Health by Value Stream</w:t>
            </w:r>
          </w:p>
        </w:tc>
        <w:tc>
          <w:tcPr>
            <w:tcW w:type="dxa" w:w="6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RAG ratings grouped by L0 (SUPPORT, SOURCE, DEVELOP, EXECUTE)</w:t>
            </w:r>
          </w:p>
        </w:tc>
      </w:tr>
      <w:tr>
        <w:tc>
          <w:tcPr>
            <w:tcW w:type="dxa" w:w="3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Critical Process Alert</w:t>
            </w:r>
          </w:p>
        </w:tc>
        <w:tc>
          <w:tcPr>
            <w:tcW w:type="dxa" w:w="6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Processes with Red RAG rating, showing owner and action status</w:t>
            </w:r>
          </w:p>
        </w:tc>
      </w:tr>
      <w:tr>
        <w:tc>
          <w:tcPr>
            <w:tcW w:type="dxa" w:w="3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Issue Heatmap</w:t>
            </w:r>
          </w:p>
        </w:tc>
        <w:tc>
          <w:tcPr>
            <w:tcW w:type="dxa" w:w="6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Issue &amp; Opportunity Log aggregation per process</w:t>
            </w:r>
          </w:p>
        </w:tc>
      </w:tr>
      <w:tr>
        <w:tc>
          <w:tcPr>
            <w:tcW w:type="dxa" w:w="3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KPI Scorecard</w:t>
            </w:r>
          </w:p>
        </w:tc>
        <w:tc>
          <w:tcPr>
            <w:tcW w:type="dxa" w:w="63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KPI current vs. target with trend indicators</w:t>
            </w:r>
          </w:p>
        </w:tc>
      </w:tr>
      <w:tr>
        <w:tc>
          <w:tcPr>
            <w:tcW w:type="dxa" w:w="3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Agentic Opportunity Register</w:t>
            </w:r>
          </w:p>
        </w:tc>
        <w:tc>
          <w:tcPr>
            <w:tcW w:type="dxa" w:w="63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Processes with Medium/High agentic potential, gap analysis</w:t>
            </w:r>
          </w:p>
        </w:tc>
      </w:tr>
    </w:tbl>
    <w:p>
      <w:r>
        <w:br w:type="page"/>
      </w:r>
    </w:p>
    <w:p>
      <w:pPr>
        <w:pStyle w:val="Heading1"/>
      </w:pPr>
      <w:r>
        <w:t xml:space="preserve">4. Data Architecture Overview</w:t>
      </w:r>
    </w:p>
    <w:p>
      <w:pPr>
        <w:spacing w:after="200"/>
      </w:pPr>
      <w:r>
        <w:rPr>
          <w:rFonts w:ascii="Arial" w:cs="Arial" w:eastAsia="Arial" w:hAnsi="Arial"/>
          <w:color w:val="333333"/>
          <w:sz w:val="22"/>
          <w:szCs w:val="22"/>
        </w:rPr>
        <w:t xml:space="preserve">All 14 operating model components share a common data architecture pattern centred on the process entity as the spine. The following diagram shows the entity relationship structure.</w:t>
      </w:r>
    </w:p>
    <w:p>
      <w:pPr>
        <w:pStyle w:val="Heading2"/>
      </w:pPr>
      <w:r>
        <w:t xml:space="preserve">4.1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Relationship</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 Entity</w:t>
            </w:r>
          </w:p>
        </w:tc>
        <w:tc>
          <w:tcPr>
            <w:tcW w:type="dxa" w:w="29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Cardinality</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parent_id</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1:N (recursive hierarchy)</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ProcessRaci</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RoleCatalogue</w:t>
            </w:r>
          </w:p>
        </w:tc>
        <w:tc>
          <w:tcPr>
            <w:tcW w:type="dxa" w:w="29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M:N junction</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ProcessKpi</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KPI Definitions</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1:N</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ProcessGovernance</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Governance Forum</w:t>
            </w:r>
          </w:p>
        </w:tc>
        <w:tc>
          <w:tcPr>
            <w:tcW w:type="dxa" w:w="29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1:N</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ProcessPolicy</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Policy</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1:N</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ProcessSystem</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SystemCatalogue</w:t>
            </w:r>
          </w:p>
        </w:tc>
        <w:tc>
          <w:tcPr>
            <w:tcW w:type="dxa" w:w="29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M:N junction</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ProcessTiming</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Timing/SLA</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1:N</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ProcessSipoc</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SIPOC Entry</w:t>
            </w:r>
          </w:p>
        </w:tc>
        <w:tc>
          <w:tcPr>
            <w:tcW w:type="dxa" w:w="29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1:N</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BusinessModelEntry</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BM Components</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M:N</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issue_log</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Issue &amp; Opportunity</w:t>
            </w:r>
          </w:p>
        </w:tc>
        <w:tc>
          <w:tcPr>
            <w:tcW w:type="dxa" w:w="29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1:N</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Process</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RAG fields</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(inline)</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1:1 (4 dimensions)</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Issue</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via issue_log_history</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Audit Trail</w:t>
            </w:r>
          </w:p>
        </w:tc>
        <w:tc>
          <w:tcPr>
            <w:tcW w:type="dxa" w:w="29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1:N</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SystemCatalogue</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standalone</w:t>
            </w:r>
          </w:p>
        </w:tc>
        <w:tc>
          <w:tcPr>
            <w:tcW w:type="dxa" w:w="2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(reference)</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Independent registry</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BM Reference</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standalone</w:t>
            </w:r>
          </w:p>
        </w:tc>
        <w:tc>
          <w:tcPr>
            <w:tcW w:type="dxa" w:w="2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(reference)</w:t>
            </w:r>
          </w:p>
        </w:tc>
        <w:tc>
          <w:tcPr>
            <w:tcW w:type="dxa" w:w="29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Independent taxonomy</w:t>
            </w:r>
          </w:p>
        </w:tc>
      </w:tr>
    </w:tbl>
    <w:p>
      <w:pPr>
        <w:spacing w:after="200"/>
      </w:pPr>
    </w:p>
    <w:p>
      <w:pPr>
        <w:pStyle w:val="Heading2"/>
      </w:pPr>
      <w:r>
        <w:t xml:space="preserve">4.2 Common Architectural Patterns</w:t>
      </w:r>
    </w:p>
    <w:p>
      <w:pPr>
        <w:spacing w:after="200"/>
      </w:pPr>
      <w:r>
        <w:rPr>
          <w:rFonts w:ascii="Arial" w:cs="Arial" w:eastAsia="Arial" w:hAnsi="Arial"/>
          <w:color w:val="333333"/>
          <w:sz w:val="22"/>
          <w:szCs w:val="22"/>
        </w:rPr>
        <w:t xml:space="preserve">Every table in the operating model follows these consistent patterns, established in the System Catalogue and Issue &amp; Opportunity Log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w:t>
            </w:r>
          </w:p>
        </w:tc>
        <w:tc>
          <w:tcPr>
            <w:tcW w:type="dxa" w:w="6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UUID Primary Keys</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gen_random_uuid() on all tables</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Multi-Tenant Isolation</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organization_id FK with Row-Level Security policies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Audit Columns</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created_at, updated_at (TIMESTAMPTZ), created_by, updated_by (FK to user)</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Soft Delete / Status</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Status enum with lifecycle management, not hard delete</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JSONB Extension</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metadata JSONB column for tenant-specific extensibility</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Enum Validation</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PostgreSQL enums for all classification fields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Composite Indexes</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organization_id + entity_type + status for query performance</w:t>
            </w:r>
          </w:p>
        </w:tc>
      </w:tr>
    </w:tbl>
    <w:p>
      <w:r>
        <w:br w:type="page"/>
      </w:r>
    </w:p>
    <w:p>
      <w:pPr>
        <w:pStyle w:val="Heading1"/>
      </w:pPr>
      <w:r>
        <w:t xml:space="preserve">5. Implementation Sequencing</w:t>
      </w:r>
    </w:p>
    <w:p>
      <w:pPr>
        <w:spacing w:after="200"/>
      </w:pPr>
      <w:r>
        <w:rPr>
          <w:rFonts w:ascii="Arial" w:cs="Arial" w:eastAsia="Arial" w:hAnsi="Arial"/>
          <w:color w:val="333333"/>
          <w:sz w:val="22"/>
          <w:szCs w:val="22"/>
        </w:rPr>
        <w:t xml:space="preserve">Based on data dependencies and the tier classification, the following implementation sequence is recommended. Each phase builds on the prior, and all phases follow the common architectural patterns established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c>
          <w:tcPr>
            <w:tcW w:type="dxa" w:w="29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2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1</w:t>
            </w:r>
          </w:p>
        </w:tc>
        <w:tc>
          <w:tcPr>
            <w:tcW w:type="dxa" w:w="2800"/>
            <w:tcBorders>
              <w:top w:val="single" w:color="D0D5DD" w:sz="1"/>
              <w:left w:val="single" w:color="D0D5DD" w:sz="1"/>
              <w:bottom w:val="single" w:color="D0D5DD" w:sz="1"/>
              <w:right w:val="single" w:color="D0D5DD" w:sz="1"/>
            </w:tcBorders>
            <w:shd w:fill="E8F0FE"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 Catalogue, RAG Assessment, User/Org/Role</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None (foundation)</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Core spine. All other components FK to process.</w:t>
            </w:r>
          </w:p>
        </w:tc>
      </w:tr>
      <w:tr>
        <w:tc>
          <w:tcPr>
            <w:tcW w:type="dxa" w:w="12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2a</w:t>
            </w:r>
          </w:p>
        </w:tc>
        <w:tc>
          <w:tcPr>
            <w:tcW w:type="dxa" w:w="28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RACI Matrix, KPIs &amp; Metrics</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Phase 1 (process + role)</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Most frequently referenced OM components.</w:t>
            </w:r>
          </w:p>
        </w:tc>
      </w:tr>
      <w:tr>
        <w:tc>
          <w:tcPr>
            <w:tcW w:type="dxa" w:w="12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2b</w:t>
            </w:r>
          </w:p>
        </w:tc>
        <w:tc>
          <w:tcPr>
            <w:tcW w:type="dxa" w:w="28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Policies &amp; Rules, Governance Framework</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Phase 1 (process + user)</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Governance layer, independent of 2a.</w:t>
            </w:r>
          </w:p>
        </w:tc>
      </w:tr>
      <w:tr>
        <w:tc>
          <w:tcPr>
            <w:tcW w:type="dxa" w:w="12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2c</w:t>
            </w:r>
          </w:p>
        </w:tc>
        <w:tc>
          <w:tcPr>
            <w:tcW w:type="dxa" w:w="28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System Catalogue, ProcessSystem</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Phase 1 (process)</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Schema fully specified in SYSTEM_CATALOGUE_SPEC.</w:t>
            </w:r>
          </w:p>
        </w:tc>
      </w:tr>
      <w:tr>
        <w:tc>
          <w:tcPr>
            <w:tcW w:type="dxa" w:w="12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2d</w:t>
            </w:r>
          </w:p>
        </w:tc>
        <w:tc>
          <w:tcPr>
            <w:tcW w:type="dxa" w:w="28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Timing &amp; SLA, SIPOC Mapping</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Phase 1 (process)</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Operational performance and value chain.</w:t>
            </w:r>
          </w:p>
        </w:tc>
      </w:tr>
      <w:tr>
        <w:tc>
          <w:tcPr>
            <w:tcW w:type="dxa" w:w="120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3a</w:t>
            </w:r>
          </w:p>
        </w:tc>
        <w:tc>
          <w:tcPr>
            <w:tcW w:type="dxa" w:w="280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Business Model Reference, BM Mapping</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Phase 1 + reference data</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Value chain linkage. Reference taxonomy first.</w:t>
            </w:r>
          </w:p>
        </w:tc>
      </w:tr>
      <w:tr>
        <w:tc>
          <w:tcPr>
            <w:tcW w:type="dxa" w:w="120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3b</w:t>
            </w:r>
          </w:p>
        </w:tc>
        <w:tc>
          <w:tcPr>
            <w:tcW w:type="dxa" w:w="280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Issue &amp; Opportunity Log</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Phase 1 (process + user)</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Fully specified in ISSUE_OPPORTUNITY_LOG_SPEC.</w:t>
            </w:r>
          </w:p>
        </w:tc>
      </w:tr>
      <w:tr>
        <w:tc>
          <w:tcPr>
            <w:tcW w:type="dxa" w:w="120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3c</w:t>
            </w:r>
          </w:p>
        </w:tc>
        <w:tc>
          <w:tcPr>
            <w:tcW w:type="dxa" w:w="2800"/>
            <w:tcBorders>
              <w:top w:val="single" w:color="D0D5DD" w:sz="1"/>
              <w:left w:val="single" w:color="D0D5DD" w:sz="1"/>
              <w:bottom w:val="single" w:color="D0D5DD" w:sz="1"/>
              <w:right w:val="single" w:color="D0D5DD" w:sz="1"/>
            </w:tcBorders>
            <w:shd w:fill="FFF8E1"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Action Plans (migration)</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Phase 3b (issue_log)</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Migrate AP data into issue_log format.</w:t>
            </w:r>
          </w:p>
        </w:tc>
      </w:tr>
      <w:tr>
        <w:tc>
          <w:tcPr>
            <w:tcW w:type="dxa" w:w="1200"/>
            <w:tcBorders>
              <w:top w:val="single" w:color="D0D5DD" w:sz="1"/>
              <w:left w:val="single" w:color="D0D5DD" w:sz="1"/>
              <w:bottom w:val="single" w:color="D0D5DD" w:sz="1"/>
              <w:right w:val="single" w:color="D0D5DD" w:sz="1"/>
            </w:tcBorders>
            <w:shd w:fill="FFEBEE"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Phase 4</w:t>
            </w:r>
          </w:p>
        </w:tc>
        <w:tc>
          <w:tcPr>
            <w:tcW w:type="dxa" w:w="2800"/>
            <w:tcBorders>
              <w:top w:val="single" w:color="D0D5DD" w:sz="1"/>
              <w:left w:val="single" w:color="D0D5DD" w:sz="1"/>
              <w:bottom w:val="single" w:color="D0D5DD" w:sz="1"/>
              <w:right w:val="single" w:color="D0D5DD" w:sz="1"/>
            </w:tcBorders>
            <w:shd w:fill="FFEBEE"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Summary Dashboard, Heatmap</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All of above</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Analytics layer consuming all component data.</w:t>
            </w:r>
          </w:p>
        </w:tc>
      </w:tr>
    </w:tbl>
    <w:p>
      <w:pPr>
        <w:spacing w:after="200"/>
      </w:pPr>
    </w:p>
    <w:p>
      <w:pPr>
        <w:pStyle w:val="Heading1"/>
      </w:pPr>
      <w:r>
        <w:t xml:space="preserve">6. Blueprint Extensions Beyond Excel</w:t>
      </w:r>
    </w:p>
    <w:p>
      <w:pPr>
        <w:spacing w:after="200"/>
      </w:pPr>
      <w:r>
        <w:rPr>
          <w:rFonts w:ascii="Arial" w:cs="Arial" w:eastAsia="Arial" w:hAnsi="Arial"/>
          <w:color w:val="333333"/>
          <w:sz w:val="22"/>
          <w:szCs w:val="22"/>
        </w:rPr>
        <w:t xml:space="preserve">The Blueprint specification defines additional operating model components that do not exist in the original Excel sheets. These represent net-new capabilities for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Blueprint Section</w:t>
            </w:r>
          </w:p>
        </w:tc>
        <w:tc>
          <w:tcPr>
            <w:tcW w:type="dxa" w:w="4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Agents</w:t>
            </w:r>
          </w:p>
        </w:tc>
        <w:tc>
          <w:tcPr>
            <w:tcW w:type="dxa" w:w="3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Section 4.4.1</w:t>
            </w:r>
          </w:p>
        </w:tc>
        <w:tc>
          <w:tcPr>
            <w:tcW w:type="dxa" w:w="4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AI/Automation agent registry linked to processes via RACI</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Security</w:t>
            </w:r>
          </w:p>
        </w:tc>
        <w:tc>
          <w:tcPr>
            <w:tcW w:type="dxa" w:w="3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Section 4.4.1</w:t>
            </w:r>
          </w:p>
        </w:tc>
        <w:tc>
          <w:tcPr>
            <w:tcW w:type="dxa" w:w="41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Data protection controls per process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Data Governance</w:t>
            </w:r>
          </w:p>
        </w:tc>
        <w:tc>
          <w:tcPr>
            <w:tcW w:type="dxa" w:w="3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Section 4.4.1</w:t>
            </w:r>
          </w:p>
        </w:tc>
        <w:tc>
          <w:tcPr>
            <w:tcW w:type="dxa" w:w="4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Data mastered/consumed per process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Agentic Opportunity</w:t>
            </w:r>
          </w:p>
        </w:tc>
        <w:tc>
          <w:tcPr>
            <w:tcW w:type="dxa" w:w="3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Section 4.4.5</w:t>
            </w:r>
          </w:p>
        </w:tc>
        <w:tc>
          <w:tcPr>
            <w:tcW w:type="dxa" w:w="41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Automation potential assessment with priority scoring</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Prompt Library</w:t>
            </w:r>
          </w:p>
        </w:tc>
        <w:tc>
          <w:tcPr>
            <w:tcW w:type="dxa" w:w="3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Section 4.4.3</w:t>
            </w:r>
          </w:p>
        </w:tc>
        <w:tc>
          <w:tcPr>
            <w:tcW w:type="dxa" w:w="4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LLM prompt templates personalised by process, role, category</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Current vs Future State</w:t>
            </w:r>
          </w:p>
        </w:tc>
        <w:tc>
          <w:tcPr>
            <w:tcW w:type="dxa" w:w="3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Section 4.4.2</w:t>
            </w:r>
          </w:p>
        </w:tc>
        <w:tc>
          <w:tcPr>
            <w:tcW w:type="dxa" w:w="41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As-Is/To-Be tracking for each OM component</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Standard Operating Model</w:t>
            </w:r>
          </w:p>
        </w:tc>
        <w:tc>
          <w:tcPr>
            <w:tcW w:type="dxa" w:w="30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Section 4.4.2</w:t>
            </w:r>
          </w:p>
        </w:tc>
        <w:tc>
          <w:tcPr>
            <w:tcW w:type="dxa" w:w="41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Rich text documentation hosted per process level</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Publishing (PDF/HTML)</w:t>
            </w:r>
          </w:p>
        </w:tc>
        <w:tc>
          <w:tcPr>
            <w:tcW w:type="dxa" w:w="30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Section 4.4.2</w:t>
            </w:r>
          </w:p>
        </w:tc>
        <w:tc>
          <w:tcPr>
            <w:tcW w:type="dxa" w:w="41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Report generation from operating model content</w:t>
            </w:r>
          </w:p>
        </w:tc>
      </w:tr>
    </w:tbl>
    <w:p>
      <w:r>
        <w:br w:type="page"/>
      </w:r>
    </w:p>
    <w:p>
      <w:pPr>
        <w:pStyle w:val="Heading1"/>
      </w:pPr>
      <w:r>
        <w:t xml:space="preserve">7. Source Evidence Traceability</w:t>
      </w:r>
    </w:p>
    <w:p>
      <w:pPr>
        <w:spacing w:after="200"/>
      </w:pPr>
      <w:r>
        <w:rPr>
          <w:rFonts w:ascii="Arial" w:cs="Arial" w:eastAsia="Arial" w:hAnsi="Arial"/>
          <w:color w:val="333333"/>
          <w:sz w:val="22"/>
          <w:szCs w:val="22"/>
        </w:rPr>
        <w:t xml:space="preserve">Every component identified in this document can be traced to one or more source documents in the project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Document</w:t>
            </w:r>
          </w:p>
        </w:tc>
        <w:tc>
          <w:tcPr>
            <w:tcW w:type="dxa" w:w="6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 Evidenced</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Surity_Process_Catalogue_Operating_Model.xlsx</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All 14 components (14 sheets)</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Surity_Process_Catalogue_V3_1_1.xlsx</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Process hierarchy (306 rows), inline RACI</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SYSTEM_CATALOGUE_SPEC.md</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System Catalogue (25 cols), ProcessSystem (14 cols), seed data</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ISSUE_OPPORTUNITY_LOG_SPEC.docx</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Issue &amp; Opportunity Log, Heatmap, Audit Trail, Seed Data</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Business_Model_Integration_Guide.md</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BM Mapping, BM Reference, Revenue Attribution Model</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b/>
                <w:bCs/>
                <w:color w:val="333333"/>
                <w:sz w:val="18"/>
                <w:szCs w:val="18"/>
              </w:rPr>
              <w:t xml:space="preserve">Blueprint.md (past conversations)</w:t>
            </w:r>
          </w:p>
        </w:tc>
        <w:tc>
          <w:tcPr>
            <w:tcW w:type="dxa" w:w="6560"/>
            <w:tcBorders>
              <w:top w:val="single" w:color="D0D5DD" w:sz="1"/>
              <w:left w:val="single" w:color="D0D5DD" w:sz="1"/>
              <w:bottom w:val="single" w:color="D0D5DD" w:sz="1"/>
              <w:right w:val="single" w:color="D0D5DD" w:sz="1"/>
            </w:tcBorders>
            <w:shd w:fill="F5F7FA" w:val="clear"/>
            <w:tcMar>
              <w:top w:type="dxa" w:w="60"/>
              <w:left w:type="dxa" w:w="120"/>
              <w:bottom w:type="dxa" w:w="60"/>
              <w:right w:type="dxa" w:w="120"/>
            </w:tcMar>
            <w:vAlign w:val="center"/>
          </w:tcPr>
          <w:p>
            <w:pPr>
              <w:spacing w:after="0"/>
              <w:jc w:val="left"/>
            </w:pPr>
            <w:r>
              <w:rPr>
                <w:rFonts w:ascii="Arial" w:cs="Arial" w:eastAsia="Arial" w:hAnsi="Arial"/>
                <w:color w:val="333333"/>
                <w:sz w:val="18"/>
                <w:szCs w:val="18"/>
              </w:rPr>
              <w:t xml:space="preserve">Agents, Security, Data, Agentic Opportunity, Prompt Library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Process Catalogue | Operating Model Components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2026-02-04T20:00:05.452Z</dcterms:created>
  <dcterms:modified xsi:type="dcterms:W3CDTF">2026-02-04T20:00:05.454Z</dcterms:modified>
</cp:coreProperties>
</file>

<file path=docProps/custom.xml><?xml version="1.0" encoding="utf-8"?>
<Properties xmlns="http://schemas.openxmlformats.org/officeDocument/2006/custom-properties" xmlns:vt="http://schemas.openxmlformats.org/officeDocument/2006/docPropsVTypes"/>
</file>