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6996407d39805823f47f078fa10634a20a8270"/>
    <w:p>
      <w:pPr>
        <w:pStyle w:val="Heading1"/>
      </w:pPr>
      <w:r>
        <w:t xml:space="preserve">Executive Summary — Brush On Block (2025-10-22)</w:t>
      </w:r>
    </w:p>
    <w:p>
      <w:pPr>
        <w:pStyle w:val="Compact"/>
        <w:numPr>
          <w:ilvl w:val="0"/>
          <w:numId w:val="1001"/>
        </w:numPr>
      </w:pPr>
      <w:r>
        <w:t xml:space="preserve">Accessibility: Completed product-wide ALT coverage (101 products / 453 images; 0 missing). Benefits screen readers, Lighthouse, and Core Web Vitals image checks.</w:t>
      </w:r>
    </w:p>
    <w:p>
      <w:pPr>
        <w:pStyle w:val="Compact"/>
        <w:numPr>
          <w:ilvl w:val="0"/>
          <w:numId w:val="1001"/>
        </w:numPr>
      </w:pPr>
      <w:r>
        <w:t xml:space="preserve">SEO hygiene: Normalized ALT phrasing (concise, descriptive, context-aware). Pages handled add-only to avoid overwriting curated text; blogs deferred for editorial review.</w:t>
      </w:r>
    </w:p>
    <w:p>
      <w:pPr>
        <w:pStyle w:val="Compact"/>
        <w:numPr>
          <w:ilvl w:val="0"/>
          <w:numId w:val="1001"/>
        </w:numPr>
      </w:pPr>
      <w:r>
        <w:t xml:space="preserve">Staging hardening: New staging theme</w:t>
      </w:r>
      <w:r>
        <w:t xml:space="preserve"> </w:t>
      </w:r>
      <w:r>
        <w:rPr>
          <w:rStyle w:val="VerbatimChar"/>
        </w:rPr>
        <w:t xml:space="preserve">185693077873</w:t>
      </w:r>
      <w:r>
        <w:t xml:space="preserve"> </w:t>
      </w:r>
      <w:r>
        <w:t xml:space="preserve">with brand-blue logo reliably rendered and CSS tuned to preserve the 3-column header layout.</w:t>
      </w:r>
    </w:p>
    <w:p>
      <w:pPr>
        <w:pStyle w:val="Compact"/>
        <w:numPr>
          <w:ilvl w:val="0"/>
          <w:numId w:val="1001"/>
        </w:numPr>
      </w:pPr>
      <w:r>
        <w:t xml:space="preserve">Crawler directives: Custom</w:t>
      </w:r>
      <w:r>
        <w:t xml:space="preserve"> </w:t>
      </w:r>
      <w:r>
        <w:rPr>
          <w:rStyle w:val="VerbatimChar"/>
        </w:rPr>
        <w:t xml:space="preserve">robots.txt.liquid</w:t>
      </w:r>
      <w:r>
        <w:t xml:space="preserve"> </w:t>
      </w:r>
      <w:r>
        <w:t xml:space="preserve">installed on staging; explicitly allows major AI/LLM crawlers while preserving core disallows; adds sitemap reference.</w:t>
      </w:r>
    </w:p>
    <w:p>
      <w:pPr>
        <w:pStyle w:val="Compact"/>
        <w:numPr>
          <w:ilvl w:val="0"/>
          <w:numId w:val="1001"/>
        </w:numPr>
      </w:pPr>
      <w:r>
        <w:t xml:space="preserve">Structured data: Prepared drop‑in JSON‑LD (Organization, WebSite, Breadcrumb, Product, Article). API deployment to staging queued; manual fallback documented.</w:t>
      </w:r>
    </w:p>
    <w:p>
      <w:pPr>
        <w:pStyle w:val="Compact"/>
        <w:numPr>
          <w:ilvl w:val="0"/>
          <w:numId w:val="1001"/>
        </w:numPr>
      </w:pPr>
      <w:r>
        <w:t xml:space="preserve">Image renaming: Delivered prioritized rename plan and safe staging workflow to improve filenames for Generative Engine Optimization.</w:t>
      </w:r>
    </w:p>
    <w:p>
      <w:pPr>
        <w:pStyle w:val="Compact"/>
        <w:numPr>
          <w:ilvl w:val="0"/>
          <w:numId w:val="1001"/>
        </w:numPr>
      </w:pPr>
      <w:r>
        <w:t xml:space="preserve">Value: Improves accessibility, rich‑result eligibility, brand clarity, crawl posture for search + LLMs, and prepares assets for future generative discovery — with low risk and fast time‑to‑impact.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2025-10-22T22:34:31Z</dcterms:created>
  <dcterms:modified xsi:type="dcterms:W3CDTF">2025-10-22T22:34:31Z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