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76F1B" w14:textId="77777777" w:rsidR="00BF0A97" w:rsidRDefault="00BF0A97" w:rsidP="00516E0E">
      <w:pPr>
        <w:pStyle w:val="Title"/>
        <w:spacing w:after="360" w:line="360" w:lineRule="auto"/>
      </w:pPr>
    </w:p>
    <w:p w14:paraId="4F9E4456" w14:textId="77777777" w:rsidR="00BF0A97" w:rsidRDefault="00BF0A97" w:rsidP="00516E0E">
      <w:pPr>
        <w:pStyle w:val="Title"/>
        <w:spacing w:after="360" w:line="360" w:lineRule="auto"/>
      </w:pPr>
    </w:p>
    <w:p w14:paraId="05B075CE" w14:textId="2F70DC8C" w:rsidR="00DB164E" w:rsidRDefault="00DB164E" w:rsidP="00DB164E">
      <w:pPr>
        <w:pStyle w:val="Title"/>
        <w:spacing w:after="360" w:line="360" w:lineRule="auto"/>
        <w:outlineLvl w:val="0"/>
      </w:pPr>
      <w:r>
        <w:t xml:space="preserve">Exercise </w:t>
      </w:r>
      <w:r w:rsidR="00AB49B4">
        <w:t>4</w:t>
      </w:r>
      <w:r>
        <w:t xml:space="preserve">. </w:t>
      </w:r>
      <w:r w:rsidR="00AB49B4">
        <w:t>Class Project Model</w:t>
      </w:r>
      <w:r w:rsidRPr="002002CB">
        <w:t>—</w:t>
      </w:r>
      <w:r w:rsidR="00AB49B4">
        <w:t>Freyberg Model</w:t>
      </w:r>
    </w:p>
    <w:p w14:paraId="5DA41C27" w14:textId="77777777" w:rsidR="00DB164E" w:rsidRPr="0089058E" w:rsidRDefault="00DB164E" w:rsidP="00DB164E">
      <w:pPr>
        <w:spacing w:after="360" w:line="360" w:lineRule="auto"/>
        <w:outlineLvl w:val="0"/>
        <w:rPr>
          <w:b/>
          <w:u w:val="single"/>
        </w:rPr>
      </w:pPr>
      <w:r w:rsidRPr="0089058E">
        <w:rPr>
          <w:b/>
          <w:u w:val="single"/>
        </w:rPr>
        <w:t>Exercise Description</w:t>
      </w:r>
    </w:p>
    <w:p w14:paraId="7BD8E678" w14:textId="7D454655" w:rsidR="00DB164E" w:rsidRDefault="00DB164E" w:rsidP="00DB164E">
      <w:pPr>
        <w:spacing w:after="360" w:line="360" w:lineRule="auto"/>
      </w:pPr>
      <w:r>
        <w:tab/>
        <w:t xml:space="preserve">The purpose of this exercise is </w:t>
      </w:r>
      <w:proofErr w:type="gramStart"/>
      <w:r w:rsidR="00AB49B4">
        <w:t>build</w:t>
      </w:r>
      <w:proofErr w:type="gramEnd"/>
      <w:r w:rsidR="00AB49B4">
        <w:t xml:space="preserve"> a simple two-dimensional groundwater model using Groundwater Vistas (</w:t>
      </w:r>
      <w:proofErr w:type="spellStart"/>
      <w:r w:rsidR="00AB49B4">
        <w:t>GWVistas</w:t>
      </w:r>
      <w:proofErr w:type="spellEnd"/>
      <w:r w:rsidR="00AB49B4">
        <w:t>). The model is based on Freyberg (1988) and will also be used in the model calibration exercise</w:t>
      </w:r>
      <w:r w:rsidR="00B67D74">
        <w:t>.</w:t>
      </w:r>
    </w:p>
    <w:p w14:paraId="4B0E95C9" w14:textId="18A1DF5B" w:rsidR="00DB164E" w:rsidRPr="0012585C" w:rsidRDefault="00DB164E" w:rsidP="00DB164E">
      <w:pPr>
        <w:spacing w:after="360" w:line="360" w:lineRule="auto"/>
        <w:outlineLvl w:val="0"/>
        <w:rPr>
          <w:b/>
          <w:bCs/>
        </w:rPr>
      </w:pPr>
      <w:r>
        <w:rPr>
          <w:b/>
          <w:bCs/>
        </w:rPr>
        <w:br w:type="page"/>
      </w:r>
      <w:r>
        <w:rPr>
          <w:b/>
          <w:bCs/>
        </w:rPr>
        <w:lastRenderedPageBreak/>
        <w:t xml:space="preserve">Part I. </w:t>
      </w:r>
      <w:r w:rsidR="00AB49B4">
        <w:rPr>
          <w:b/>
          <w:bCs/>
        </w:rPr>
        <w:t>Build a base model using Groundwater Vistas</w:t>
      </w:r>
    </w:p>
    <w:p w14:paraId="651F2153" w14:textId="3FF4C4D9" w:rsidR="00AB49B4" w:rsidRDefault="00AB49B4" w:rsidP="00AB49B4">
      <w:pPr>
        <w:numPr>
          <w:ilvl w:val="0"/>
          <w:numId w:val="28"/>
        </w:numPr>
        <w:spacing w:after="360" w:line="360" w:lineRule="auto"/>
      </w:pPr>
      <w:r>
        <w:t xml:space="preserve">Open </w:t>
      </w:r>
      <w:proofErr w:type="spellStart"/>
      <w:r>
        <w:t>GWVistas</w:t>
      </w:r>
      <w:proofErr w:type="spellEnd"/>
      <w:r>
        <w:t xml:space="preserve"> and create a new </w:t>
      </w:r>
      <w:proofErr w:type="spellStart"/>
      <w:r>
        <w:t>GWVistas</w:t>
      </w:r>
      <w:proofErr w:type="spellEnd"/>
      <w:r>
        <w:t xml:space="preserve"> document.</w:t>
      </w:r>
      <w:r>
        <w:br/>
      </w:r>
      <w:r w:rsidRPr="00AB49B4">
        <w:drawing>
          <wp:inline distT="0" distB="0" distL="0" distR="0" wp14:anchorId="4AC2EF56" wp14:editId="39425479">
            <wp:extent cx="5486400" cy="4043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043045"/>
                    </a:xfrm>
                    <a:prstGeom prst="rect">
                      <a:avLst/>
                    </a:prstGeom>
                  </pic:spPr>
                </pic:pic>
              </a:graphicData>
            </a:graphic>
          </wp:inline>
        </w:drawing>
      </w:r>
    </w:p>
    <w:p w14:paraId="0995142B" w14:textId="03892174" w:rsidR="00DB164E" w:rsidRDefault="00AB49B4" w:rsidP="00AB49B4">
      <w:pPr>
        <w:numPr>
          <w:ilvl w:val="0"/>
          <w:numId w:val="28"/>
        </w:numPr>
        <w:spacing w:after="360" w:line="360" w:lineRule="auto"/>
      </w:pPr>
      <w:r>
        <w:lastRenderedPageBreak/>
        <w:t>Initialize the model grid</w:t>
      </w:r>
      <w:r w:rsidR="00DB164E">
        <w:t>.</w:t>
      </w:r>
      <w:r>
        <w:br/>
      </w:r>
      <w:r w:rsidRPr="00AB49B4">
        <w:drawing>
          <wp:inline distT="0" distB="0" distL="0" distR="0" wp14:anchorId="68D87AD9" wp14:editId="7C77D8B5">
            <wp:extent cx="5486400" cy="4935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935855"/>
                    </a:xfrm>
                    <a:prstGeom prst="rect">
                      <a:avLst/>
                    </a:prstGeom>
                  </pic:spPr>
                </pic:pic>
              </a:graphicData>
            </a:graphic>
          </wp:inline>
        </w:drawing>
      </w:r>
      <w:r w:rsidR="00DB164E">
        <w:t xml:space="preserve">  </w:t>
      </w:r>
      <w:r>
        <w:br/>
        <w:t xml:space="preserve">Set the </w:t>
      </w:r>
      <w:r w:rsidRPr="00AB49B4">
        <w:rPr>
          <w:u w:val="single"/>
        </w:rPr>
        <w:t>Number of Rows</w:t>
      </w:r>
      <w:r>
        <w:t xml:space="preserve"> and </w:t>
      </w:r>
      <w:r w:rsidRPr="00AB49B4">
        <w:rPr>
          <w:u w:val="single"/>
        </w:rPr>
        <w:t>Columns</w:t>
      </w:r>
      <w:r>
        <w:t xml:space="preserve"> to be 40 and 20, respectively. Use a </w:t>
      </w:r>
      <w:r w:rsidRPr="00AB49B4">
        <w:rPr>
          <w:u w:val="single"/>
        </w:rPr>
        <w:t>Uniform X</w:t>
      </w:r>
      <w:r>
        <w:t xml:space="preserve"> and </w:t>
      </w:r>
      <w:r w:rsidRPr="000704C7">
        <w:rPr>
          <w:u w:val="single"/>
        </w:rPr>
        <w:t>Y Spacing</w:t>
      </w:r>
      <w:r>
        <w:t xml:space="preserve"> of 250 m. Set the </w:t>
      </w:r>
      <w:r w:rsidRPr="000704C7">
        <w:rPr>
          <w:u w:val="single"/>
        </w:rPr>
        <w:t>Model Top Elevation</w:t>
      </w:r>
      <w:r w:rsidR="000704C7">
        <w:t xml:space="preserve"> to 35</w:t>
      </w:r>
      <w:r w:rsidR="008864F7">
        <w:t xml:space="preserve"> m</w:t>
      </w:r>
      <w:r>
        <w:t xml:space="preserve"> (we will define the </w:t>
      </w:r>
      <w:r w:rsidR="000704C7" w:rsidRPr="000704C7">
        <w:rPr>
          <w:u w:val="single"/>
        </w:rPr>
        <w:t>Model Bottom Elevation</w:t>
      </w:r>
      <w:r w:rsidR="000704C7">
        <w:t xml:space="preserve"> later using an external data file). </w:t>
      </w:r>
      <w:r>
        <w:t xml:space="preserve">Set the </w:t>
      </w:r>
      <w:r w:rsidR="000704C7" w:rsidRPr="000704C7">
        <w:rPr>
          <w:u w:val="single"/>
        </w:rPr>
        <w:t>M</w:t>
      </w:r>
      <w:r w:rsidRPr="000704C7">
        <w:rPr>
          <w:u w:val="single"/>
        </w:rPr>
        <w:t xml:space="preserve">aximum </w:t>
      </w:r>
      <w:r w:rsidR="000704C7" w:rsidRPr="000704C7">
        <w:rPr>
          <w:u w:val="single"/>
        </w:rPr>
        <w:t>Stress P</w:t>
      </w:r>
      <w:r w:rsidRPr="000704C7">
        <w:rPr>
          <w:u w:val="single"/>
        </w:rPr>
        <w:t>eriods</w:t>
      </w:r>
      <w:r>
        <w:t xml:space="preserve"> to 2.</w:t>
      </w:r>
    </w:p>
    <w:p w14:paraId="6DE7A553" w14:textId="2047A970" w:rsidR="00EA29F2" w:rsidRDefault="00EA29F2" w:rsidP="00EA29F2">
      <w:pPr>
        <w:numPr>
          <w:ilvl w:val="0"/>
          <w:numId w:val="28"/>
        </w:numPr>
        <w:spacing w:after="360" w:line="360" w:lineRule="auto"/>
      </w:pPr>
      <w:r>
        <w:lastRenderedPageBreak/>
        <w:t xml:space="preserve">Select the </w:t>
      </w:r>
      <w:r w:rsidRPr="00EA29F2">
        <w:rPr>
          <w:u w:val="single"/>
        </w:rPr>
        <w:t>No-Flow</w:t>
      </w:r>
      <w:r>
        <w:t xml:space="preserve"> menu item under the </w:t>
      </w:r>
      <w:r w:rsidRPr="00EA29F2">
        <w:rPr>
          <w:u w:val="single"/>
        </w:rPr>
        <w:t>BCs</w:t>
      </w:r>
      <w:r>
        <w:t xml:space="preserve"> item on the menu bar.</w:t>
      </w:r>
      <w:r>
        <w:br/>
      </w:r>
      <w:r w:rsidRPr="00EA29F2">
        <w:drawing>
          <wp:inline distT="0" distB="0" distL="0" distR="0" wp14:anchorId="1D5AB255" wp14:editId="77AD31D1">
            <wp:extent cx="5486400" cy="4380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380865"/>
                    </a:xfrm>
                    <a:prstGeom prst="rect">
                      <a:avLst/>
                    </a:prstGeom>
                  </pic:spPr>
                </pic:pic>
              </a:graphicData>
            </a:graphic>
          </wp:inline>
        </w:drawing>
      </w:r>
    </w:p>
    <w:p w14:paraId="65F5E391" w14:textId="1FE396BC" w:rsidR="00551106" w:rsidRDefault="007D4BDF" w:rsidP="007D4BDF">
      <w:pPr>
        <w:numPr>
          <w:ilvl w:val="0"/>
          <w:numId w:val="28"/>
        </w:numPr>
        <w:spacing w:after="360" w:line="360" w:lineRule="auto"/>
      </w:pPr>
      <w:r>
        <w:t>Add Constant Hea</w:t>
      </w:r>
      <w:r w:rsidR="001B19DC">
        <w:t xml:space="preserve">d/Conc. BCs to all of the active cells in the last row of the model as </w:t>
      </w:r>
      <w:r w:rsidR="001B19DC" w:rsidRPr="001B19DC">
        <w:rPr>
          <w:u w:val="single"/>
        </w:rPr>
        <w:t>Single Cell</w:t>
      </w:r>
      <w:r w:rsidR="001B19DC">
        <w:t>s.</w:t>
      </w:r>
      <w:r w:rsidR="001B19DC">
        <w:br/>
      </w:r>
      <w:r w:rsidRPr="007D4BDF">
        <w:lastRenderedPageBreak/>
        <w:drawing>
          <wp:inline distT="0" distB="0" distL="0" distR="0" wp14:anchorId="2DCF2C07" wp14:editId="6A14EF9F">
            <wp:extent cx="5486400" cy="4519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519930"/>
                    </a:xfrm>
                    <a:prstGeom prst="rect">
                      <a:avLst/>
                    </a:prstGeom>
                  </pic:spPr>
                </pic:pic>
              </a:graphicData>
            </a:graphic>
          </wp:inline>
        </w:drawing>
      </w:r>
      <w:r w:rsidR="001B19DC">
        <w:br/>
      </w:r>
      <w:r w:rsidR="001B19DC">
        <w:br/>
        <w:t>The specified</w:t>
      </w:r>
      <w:r w:rsidR="00551106">
        <w:t xml:space="preserve"> heads for all of the 10 cells in row 40 are listed </w:t>
      </w:r>
      <w:r w:rsidR="00640B43">
        <w:t>below</w:t>
      </w:r>
      <w:r w:rsidR="00551106">
        <w:t>.</w:t>
      </w:r>
      <w:r w:rsidR="00551106">
        <w:br/>
      </w:r>
    </w:p>
    <w:tbl>
      <w:tblPr>
        <w:tblStyle w:val="TableGrid"/>
        <w:tblW w:w="0" w:type="auto"/>
        <w:jc w:val="center"/>
        <w:tblLayout w:type="fixed"/>
        <w:tblCellMar>
          <w:left w:w="115" w:type="dxa"/>
          <w:right w:w="115" w:type="dxa"/>
        </w:tblCellMar>
        <w:tblLook w:val="04A0" w:firstRow="1" w:lastRow="0" w:firstColumn="1" w:lastColumn="0" w:noHBand="0" w:noVBand="1"/>
      </w:tblPr>
      <w:tblGrid>
        <w:gridCol w:w="1008"/>
        <w:gridCol w:w="1008"/>
        <w:gridCol w:w="1008"/>
        <w:gridCol w:w="1008"/>
      </w:tblGrid>
      <w:tr w:rsidR="00640B43" w14:paraId="65B5B491" w14:textId="77777777" w:rsidTr="00D33808">
        <w:trPr>
          <w:trHeight w:val="774"/>
          <w:jc w:val="center"/>
        </w:trPr>
        <w:tc>
          <w:tcPr>
            <w:tcW w:w="1008" w:type="dxa"/>
            <w:vAlign w:val="center"/>
          </w:tcPr>
          <w:p w14:paraId="78145015" w14:textId="37D3C9CA" w:rsidR="00551106" w:rsidRDefault="00551106" w:rsidP="00D33808">
            <w:pPr>
              <w:jc w:val="center"/>
            </w:pPr>
            <w:bookmarkStart w:id="0" w:name="_GoBack"/>
            <w:r>
              <w:t>Layer</w:t>
            </w:r>
          </w:p>
        </w:tc>
        <w:tc>
          <w:tcPr>
            <w:tcW w:w="1008" w:type="dxa"/>
            <w:vAlign w:val="center"/>
          </w:tcPr>
          <w:p w14:paraId="3E513395" w14:textId="10F9B7E8" w:rsidR="00551106" w:rsidRDefault="00551106" w:rsidP="00D33808">
            <w:pPr>
              <w:jc w:val="center"/>
            </w:pPr>
            <w:r>
              <w:t>Row</w:t>
            </w:r>
          </w:p>
        </w:tc>
        <w:tc>
          <w:tcPr>
            <w:tcW w:w="1008" w:type="dxa"/>
            <w:vAlign w:val="center"/>
          </w:tcPr>
          <w:p w14:paraId="4C34C201" w14:textId="03BDD05E" w:rsidR="00551106" w:rsidRDefault="00551106" w:rsidP="00D33808">
            <w:pPr>
              <w:jc w:val="center"/>
            </w:pPr>
            <w:r>
              <w:t>Column</w:t>
            </w:r>
          </w:p>
        </w:tc>
        <w:tc>
          <w:tcPr>
            <w:tcW w:w="1008" w:type="dxa"/>
            <w:vAlign w:val="center"/>
          </w:tcPr>
          <w:p w14:paraId="1F038944" w14:textId="14C025E7" w:rsidR="00551106" w:rsidRDefault="00551106" w:rsidP="00D33808">
            <w:pPr>
              <w:jc w:val="center"/>
            </w:pPr>
            <w:r>
              <w:t>Head</w:t>
            </w:r>
          </w:p>
        </w:tc>
      </w:tr>
      <w:tr w:rsidR="00640B43" w14:paraId="16C3165F" w14:textId="77777777" w:rsidTr="00D33808">
        <w:trPr>
          <w:trHeight w:val="774"/>
          <w:jc w:val="center"/>
        </w:trPr>
        <w:tc>
          <w:tcPr>
            <w:tcW w:w="1008" w:type="dxa"/>
            <w:vAlign w:val="center"/>
          </w:tcPr>
          <w:p w14:paraId="06DD07BB" w14:textId="2A7AD713" w:rsidR="00551106" w:rsidRDefault="00551106" w:rsidP="00D33808">
            <w:pPr>
              <w:jc w:val="center"/>
            </w:pPr>
            <w:r>
              <w:t>1</w:t>
            </w:r>
          </w:p>
        </w:tc>
        <w:tc>
          <w:tcPr>
            <w:tcW w:w="1008" w:type="dxa"/>
            <w:vAlign w:val="center"/>
          </w:tcPr>
          <w:p w14:paraId="687E375F" w14:textId="1A9AC684" w:rsidR="00551106" w:rsidRDefault="00551106" w:rsidP="00D33808">
            <w:pPr>
              <w:jc w:val="center"/>
            </w:pPr>
            <w:r>
              <w:t>40</w:t>
            </w:r>
          </w:p>
        </w:tc>
        <w:tc>
          <w:tcPr>
            <w:tcW w:w="1008" w:type="dxa"/>
            <w:vAlign w:val="center"/>
          </w:tcPr>
          <w:p w14:paraId="4D1F1852" w14:textId="3C2D079B" w:rsidR="00551106" w:rsidRDefault="00551106" w:rsidP="00D33808">
            <w:pPr>
              <w:jc w:val="center"/>
            </w:pPr>
            <w:r>
              <w:t>6</w:t>
            </w:r>
          </w:p>
        </w:tc>
        <w:tc>
          <w:tcPr>
            <w:tcW w:w="1008" w:type="dxa"/>
            <w:vAlign w:val="center"/>
          </w:tcPr>
          <w:p w14:paraId="3CF4CF57" w14:textId="4C689E47" w:rsidR="00551106" w:rsidRDefault="00551106" w:rsidP="00D33808">
            <w:pPr>
              <w:jc w:val="center"/>
            </w:pPr>
            <w:r w:rsidRPr="00E46930">
              <w:t>16.9</w:t>
            </w:r>
          </w:p>
        </w:tc>
      </w:tr>
      <w:tr w:rsidR="00640B43" w14:paraId="1F8931A4" w14:textId="77777777" w:rsidTr="00D33808">
        <w:trPr>
          <w:trHeight w:val="774"/>
          <w:jc w:val="center"/>
        </w:trPr>
        <w:tc>
          <w:tcPr>
            <w:tcW w:w="1008" w:type="dxa"/>
            <w:vAlign w:val="center"/>
          </w:tcPr>
          <w:p w14:paraId="553E0537" w14:textId="4599CAAB" w:rsidR="00551106" w:rsidRDefault="00551106" w:rsidP="00D33808">
            <w:pPr>
              <w:jc w:val="center"/>
            </w:pPr>
            <w:r>
              <w:t>1</w:t>
            </w:r>
          </w:p>
        </w:tc>
        <w:tc>
          <w:tcPr>
            <w:tcW w:w="1008" w:type="dxa"/>
            <w:vAlign w:val="center"/>
          </w:tcPr>
          <w:p w14:paraId="475AEC7E" w14:textId="2DD3451D" w:rsidR="00551106" w:rsidRDefault="00551106" w:rsidP="00D33808">
            <w:pPr>
              <w:jc w:val="center"/>
            </w:pPr>
            <w:r>
              <w:t>40</w:t>
            </w:r>
          </w:p>
        </w:tc>
        <w:tc>
          <w:tcPr>
            <w:tcW w:w="1008" w:type="dxa"/>
            <w:vAlign w:val="center"/>
          </w:tcPr>
          <w:p w14:paraId="062F6BA1" w14:textId="2689AAC3" w:rsidR="00551106" w:rsidRDefault="00551106" w:rsidP="00D33808">
            <w:pPr>
              <w:jc w:val="center"/>
            </w:pPr>
            <w:r>
              <w:t>7</w:t>
            </w:r>
          </w:p>
        </w:tc>
        <w:tc>
          <w:tcPr>
            <w:tcW w:w="1008" w:type="dxa"/>
            <w:vAlign w:val="center"/>
          </w:tcPr>
          <w:p w14:paraId="6440A866" w14:textId="648CE355" w:rsidR="00551106" w:rsidRDefault="00551106" w:rsidP="00D33808">
            <w:pPr>
              <w:jc w:val="center"/>
            </w:pPr>
            <w:r w:rsidRPr="00E46930">
              <w:t>16.4</w:t>
            </w:r>
          </w:p>
        </w:tc>
      </w:tr>
      <w:tr w:rsidR="00640B43" w14:paraId="79B8C67A" w14:textId="77777777" w:rsidTr="00D33808">
        <w:trPr>
          <w:trHeight w:val="774"/>
          <w:jc w:val="center"/>
        </w:trPr>
        <w:tc>
          <w:tcPr>
            <w:tcW w:w="1008" w:type="dxa"/>
            <w:vAlign w:val="center"/>
          </w:tcPr>
          <w:p w14:paraId="6D421939" w14:textId="3800E900" w:rsidR="00551106" w:rsidRDefault="00551106" w:rsidP="00D33808">
            <w:pPr>
              <w:jc w:val="center"/>
            </w:pPr>
            <w:r>
              <w:t>1</w:t>
            </w:r>
          </w:p>
        </w:tc>
        <w:tc>
          <w:tcPr>
            <w:tcW w:w="1008" w:type="dxa"/>
            <w:vAlign w:val="center"/>
          </w:tcPr>
          <w:p w14:paraId="1BCE85D6" w14:textId="68DB821F" w:rsidR="00551106" w:rsidRDefault="00551106" w:rsidP="00D33808">
            <w:pPr>
              <w:jc w:val="center"/>
            </w:pPr>
            <w:r>
              <w:t>40</w:t>
            </w:r>
          </w:p>
        </w:tc>
        <w:tc>
          <w:tcPr>
            <w:tcW w:w="1008" w:type="dxa"/>
            <w:vAlign w:val="center"/>
          </w:tcPr>
          <w:p w14:paraId="5CF12C65" w14:textId="0A68D26F" w:rsidR="00551106" w:rsidRDefault="00551106" w:rsidP="00D33808">
            <w:pPr>
              <w:jc w:val="center"/>
            </w:pPr>
            <w:r>
              <w:t>8</w:t>
            </w:r>
          </w:p>
        </w:tc>
        <w:tc>
          <w:tcPr>
            <w:tcW w:w="1008" w:type="dxa"/>
            <w:vAlign w:val="center"/>
          </w:tcPr>
          <w:p w14:paraId="2B410DBD" w14:textId="0BFA100B" w:rsidR="00551106" w:rsidRDefault="00551106" w:rsidP="00D33808">
            <w:pPr>
              <w:jc w:val="center"/>
            </w:pPr>
            <w:r w:rsidRPr="00E46930">
              <w:t>16.1</w:t>
            </w:r>
          </w:p>
        </w:tc>
      </w:tr>
      <w:tr w:rsidR="00640B43" w14:paraId="3DB23950" w14:textId="77777777" w:rsidTr="00D33808">
        <w:trPr>
          <w:trHeight w:val="774"/>
          <w:jc w:val="center"/>
        </w:trPr>
        <w:tc>
          <w:tcPr>
            <w:tcW w:w="1008" w:type="dxa"/>
            <w:vAlign w:val="center"/>
          </w:tcPr>
          <w:p w14:paraId="40A326B7" w14:textId="15F7678A" w:rsidR="00551106" w:rsidRDefault="00551106" w:rsidP="00D33808">
            <w:pPr>
              <w:jc w:val="center"/>
            </w:pPr>
            <w:r>
              <w:t>1</w:t>
            </w:r>
          </w:p>
        </w:tc>
        <w:tc>
          <w:tcPr>
            <w:tcW w:w="1008" w:type="dxa"/>
            <w:vAlign w:val="center"/>
          </w:tcPr>
          <w:p w14:paraId="4E10FFA4" w14:textId="6C7056E8" w:rsidR="00551106" w:rsidRDefault="00551106" w:rsidP="00D33808">
            <w:pPr>
              <w:jc w:val="center"/>
            </w:pPr>
            <w:r>
              <w:t>40</w:t>
            </w:r>
          </w:p>
        </w:tc>
        <w:tc>
          <w:tcPr>
            <w:tcW w:w="1008" w:type="dxa"/>
            <w:vAlign w:val="center"/>
          </w:tcPr>
          <w:p w14:paraId="7D2C0327" w14:textId="725DACC3" w:rsidR="00551106" w:rsidRDefault="00551106" w:rsidP="00D33808">
            <w:pPr>
              <w:jc w:val="center"/>
            </w:pPr>
            <w:r>
              <w:t>9</w:t>
            </w:r>
          </w:p>
        </w:tc>
        <w:tc>
          <w:tcPr>
            <w:tcW w:w="1008" w:type="dxa"/>
            <w:vAlign w:val="center"/>
          </w:tcPr>
          <w:p w14:paraId="1C81E170" w14:textId="13463982" w:rsidR="00551106" w:rsidRDefault="00551106" w:rsidP="00D33808">
            <w:pPr>
              <w:jc w:val="center"/>
            </w:pPr>
            <w:r w:rsidRPr="00E46930">
              <w:t>15.6</w:t>
            </w:r>
          </w:p>
        </w:tc>
      </w:tr>
      <w:tr w:rsidR="00640B43" w14:paraId="60F4A897" w14:textId="77777777" w:rsidTr="00D33808">
        <w:trPr>
          <w:trHeight w:val="774"/>
          <w:jc w:val="center"/>
        </w:trPr>
        <w:tc>
          <w:tcPr>
            <w:tcW w:w="1008" w:type="dxa"/>
            <w:vAlign w:val="center"/>
          </w:tcPr>
          <w:p w14:paraId="794D91AB" w14:textId="4F4BD7FF" w:rsidR="00551106" w:rsidRDefault="00551106" w:rsidP="00D33808">
            <w:pPr>
              <w:jc w:val="center"/>
            </w:pPr>
            <w:r>
              <w:lastRenderedPageBreak/>
              <w:t>1</w:t>
            </w:r>
          </w:p>
        </w:tc>
        <w:tc>
          <w:tcPr>
            <w:tcW w:w="1008" w:type="dxa"/>
            <w:vAlign w:val="center"/>
          </w:tcPr>
          <w:p w14:paraId="2FDA44A2" w14:textId="4CA58A70" w:rsidR="00551106" w:rsidRDefault="00551106" w:rsidP="00D33808">
            <w:pPr>
              <w:jc w:val="center"/>
            </w:pPr>
            <w:r>
              <w:t>40</w:t>
            </w:r>
          </w:p>
        </w:tc>
        <w:tc>
          <w:tcPr>
            <w:tcW w:w="1008" w:type="dxa"/>
            <w:vAlign w:val="center"/>
          </w:tcPr>
          <w:p w14:paraId="6387C9E6" w14:textId="00D9ECFF" w:rsidR="00551106" w:rsidRDefault="00551106" w:rsidP="00D33808">
            <w:pPr>
              <w:jc w:val="center"/>
            </w:pPr>
            <w:r>
              <w:t>10</w:t>
            </w:r>
          </w:p>
        </w:tc>
        <w:tc>
          <w:tcPr>
            <w:tcW w:w="1008" w:type="dxa"/>
            <w:vAlign w:val="center"/>
          </w:tcPr>
          <w:p w14:paraId="6B596E98" w14:textId="0818FCF5" w:rsidR="00551106" w:rsidRDefault="00551106" w:rsidP="00D33808">
            <w:pPr>
              <w:jc w:val="center"/>
            </w:pPr>
            <w:r w:rsidRPr="00E46930">
              <w:t>15.1</w:t>
            </w:r>
          </w:p>
        </w:tc>
      </w:tr>
      <w:tr w:rsidR="00640B43" w14:paraId="6E06D184" w14:textId="77777777" w:rsidTr="00D33808">
        <w:trPr>
          <w:trHeight w:val="774"/>
          <w:jc w:val="center"/>
        </w:trPr>
        <w:tc>
          <w:tcPr>
            <w:tcW w:w="1008" w:type="dxa"/>
            <w:vAlign w:val="center"/>
          </w:tcPr>
          <w:p w14:paraId="24F48DF0" w14:textId="2BAA3AB0" w:rsidR="00551106" w:rsidRDefault="00551106" w:rsidP="00D33808">
            <w:pPr>
              <w:jc w:val="center"/>
            </w:pPr>
            <w:r>
              <w:t>1</w:t>
            </w:r>
          </w:p>
        </w:tc>
        <w:tc>
          <w:tcPr>
            <w:tcW w:w="1008" w:type="dxa"/>
            <w:vAlign w:val="center"/>
          </w:tcPr>
          <w:p w14:paraId="54F5E4F0" w14:textId="346AB09F" w:rsidR="00551106" w:rsidRDefault="00551106" w:rsidP="00D33808">
            <w:pPr>
              <w:jc w:val="center"/>
            </w:pPr>
            <w:r>
              <w:t>40</w:t>
            </w:r>
          </w:p>
        </w:tc>
        <w:tc>
          <w:tcPr>
            <w:tcW w:w="1008" w:type="dxa"/>
            <w:vAlign w:val="center"/>
          </w:tcPr>
          <w:p w14:paraId="785CA03A" w14:textId="2B2734CA" w:rsidR="00551106" w:rsidRDefault="00551106" w:rsidP="00D33808">
            <w:pPr>
              <w:jc w:val="center"/>
            </w:pPr>
            <w:r>
              <w:t>11</w:t>
            </w:r>
          </w:p>
        </w:tc>
        <w:tc>
          <w:tcPr>
            <w:tcW w:w="1008" w:type="dxa"/>
            <w:vAlign w:val="center"/>
          </w:tcPr>
          <w:p w14:paraId="147BD77F" w14:textId="41ACF67B" w:rsidR="00551106" w:rsidRDefault="00551106" w:rsidP="00D33808">
            <w:pPr>
              <w:jc w:val="center"/>
            </w:pPr>
            <w:r w:rsidRPr="00E46930">
              <w:t>14.0</w:t>
            </w:r>
          </w:p>
        </w:tc>
      </w:tr>
      <w:tr w:rsidR="00640B43" w14:paraId="4670CB1F" w14:textId="77777777" w:rsidTr="00D33808">
        <w:trPr>
          <w:trHeight w:val="774"/>
          <w:jc w:val="center"/>
        </w:trPr>
        <w:tc>
          <w:tcPr>
            <w:tcW w:w="1008" w:type="dxa"/>
            <w:vAlign w:val="center"/>
          </w:tcPr>
          <w:p w14:paraId="16A09F81" w14:textId="3C9A3EBD" w:rsidR="00551106" w:rsidRDefault="00551106" w:rsidP="00D33808">
            <w:pPr>
              <w:jc w:val="center"/>
            </w:pPr>
            <w:r>
              <w:t>1</w:t>
            </w:r>
          </w:p>
        </w:tc>
        <w:tc>
          <w:tcPr>
            <w:tcW w:w="1008" w:type="dxa"/>
            <w:vAlign w:val="center"/>
          </w:tcPr>
          <w:p w14:paraId="2B13D6BB" w14:textId="2601014C" w:rsidR="00551106" w:rsidRDefault="00551106" w:rsidP="00D33808">
            <w:pPr>
              <w:jc w:val="center"/>
            </w:pPr>
            <w:r>
              <w:t>40</w:t>
            </w:r>
          </w:p>
        </w:tc>
        <w:tc>
          <w:tcPr>
            <w:tcW w:w="1008" w:type="dxa"/>
            <w:vAlign w:val="center"/>
          </w:tcPr>
          <w:p w14:paraId="3321869F" w14:textId="7FADB191" w:rsidR="00551106" w:rsidRDefault="00551106" w:rsidP="00D33808">
            <w:pPr>
              <w:jc w:val="center"/>
            </w:pPr>
            <w:r>
              <w:t>12</w:t>
            </w:r>
          </w:p>
        </w:tc>
        <w:tc>
          <w:tcPr>
            <w:tcW w:w="1008" w:type="dxa"/>
            <w:vAlign w:val="center"/>
          </w:tcPr>
          <w:p w14:paraId="28364E91" w14:textId="23789E5C" w:rsidR="00551106" w:rsidRDefault="00551106" w:rsidP="00D33808">
            <w:pPr>
              <w:jc w:val="center"/>
            </w:pPr>
            <w:r w:rsidRPr="00E46930">
              <w:t>13.0</w:t>
            </w:r>
          </w:p>
        </w:tc>
      </w:tr>
      <w:tr w:rsidR="00640B43" w14:paraId="47035331" w14:textId="77777777" w:rsidTr="00D33808">
        <w:trPr>
          <w:trHeight w:val="774"/>
          <w:jc w:val="center"/>
        </w:trPr>
        <w:tc>
          <w:tcPr>
            <w:tcW w:w="1008" w:type="dxa"/>
            <w:vAlign w:val="center"/>
          </w:tcPr>
          <w:p w14:paraId="702D31CF" w14:textId="0465B979" w:rsidR="00551106" w:rsidRDefault="00551106" w:rsidP="00D33808">
            <w:pPr>
              <w:jc w:val="center"/>
            </w:pPr>
            <w:r>
              <w:t>1</w:t>
            </w:r>
          </w:p>
        </w:tc>
        <w:tc>
          <w:tcPr>
            <w:tcW w:w="1008" w:type="dxa"/>
            <w:vAlign w:val="center"/>
          </w:tcPr>
          <w:p w14:paraId="10DCD254" w14:textId="5F13C45D" w:rsidR="00551106" w:rsidRDefault="00551106" w:rsidP="00D33808">
            <w:pPr>
              <w:jc w:val="center"/>
            </w:pPr>
            <w:r>
              <w:t>40</w:t>
            </w:r>
          </w:p>
        </w:tc>
        <w:tc>
          <w:tcPr>
            <w:tcW w:w="1008" w:type="dxa"/>
            <w:vAlign w:val="center"/>
          </w:tcPr>
          <w:p w14:paraId="027DAB60" w14:textId="257E36A1" w:rsidR="00551106" w:rsidRDefault="00551106" w:rsidP="00D33808">
            <w:pPr>
              <w:jc w:val="center"/>
            </w:pPr>
            <w:r>
              <w:t>13</w:t>
            </w:r>
          </w:p>
        </w:tc>
        <w:tc>
          <w:tcPr>
            <w:tcW w:w="1008" w:type="dxa"/>
            <w:vAlign w:val="center"/>
          </w:tcPr>
          <w:p w14:paraId="2A242099" w14:textId="655FE272" w:rsidR="00551106" w:rsidRDefault="00551106" w:rsidP="00D33808">
            <w:pPr>
              <w:jc w:val="center"/>
            </w:pPr>
            <w:r w:rsidRPr="00E46930">
              <w:t>12.5</w:t>
            </w:r>
          </w:p>
        </w:tc>
      </w:tr>
      <w:tr w:rsidR="00640B43" w14:paraId="69E5B988" w14:textId="77777777" w:rsidTr="00D33808">
        <w:trPr>
          <w:trHeight w:val="774"/>
          <w:jc w:val="center"/>
        </w:trPr>
        <w:tc>
          <w:tcPr>
            <w:tcW w:w="1008" w:type="dxa"/>
            <w:vAlign w:val="center"/>
          </w:tcPr>
          <w:p w14:paraId="659B65D3" w14:textId="4D88FE25" w:rsidR="00551106" w:rsidRDefault="00551106" w:rsidP="00D33808">
            <w:pPr>
              <w:jc w:val="center"/>
            </w:pPr>
            <w:r>
              <w:t>1</w:t>
            </w:r>
          </w:p>
        </w:tc>
        <w:tc>
          <w:tcPr>
            <w:tcW w:w="1008" w:type="dxa"/>
            <w:vAlign w:val="center"/>
          </w:tcPr>
          <w:p w14:paraId="159E467E" w14:textId="68563024" w:rsidR="00551106" w:rsidRDefault="00551106" w:rsidP="00D33808">
            <w:pPr>
              <w:jc w:val="center"/>
            </w:pPr>
            <w:r>
              <w:t>40</w:t>
            </w:r>
          </w:p>
        </w:tc>
        <w:tc>
          <w:tcPr>
            <w:tcW w:w="1008" w:type="dxa"/>
            <w:vAlign w:val="center"/>
          </w:tcPr>
          <w:p w14:paraId="74030665" w14:textId="59E5DF5B" w:rsidR="00551106" w:rsidRDefault="00551106" w:rsidP="00D33808">
            <w:pPr>
              <w:jc w:val="center"/>
            </w:pPr>
            <w:r>
              <w:t>14</w:t>
            </w:r>
          </w:p>
        </w:tc>
        <w:tc>
          <w:tcPr>
            <w:tcW w:w="1008" w:type="dxa"/>
            <w:vAlign w:val="center"/>
          </w:tcPr>
          <w:p w14:paraId="33193A7E" w14:textId="2A7F2401" w:rsidR="00551106" w:rsidRDefault="00551106" w:rsidP="00D33808">
            <w:pPr>
              <w:jc w:val="center"/>
            </w:pPr>
            <w:r w:rsidRPr="00E46930">
              <w:t>12.0</w:t>
            </w:r>
          </w:p>
        </w:tc>
      </w:tr>
      <w:tr w:rsidR="00640B43" w14:paraId="7CC2906C" w14:textId="77777777" w:rsidTr="00D33808">
        <w:trPr>
          <w:trHeight w:val="774"/>
          <w:jc w:val="center"/>
        </w:trPr>
        <w:tc>
          <w:tcPr>
            <w:tcW w:w="1008" w:type="dxa"/>
            <w:vAlign w:val="center"/>
          </w:tcPr>
          <w:p w14:paraId="2D0B745E" w14:textId="1B8AAB35" w:rsidR="00551106" w:rsidRDefault="00551106" w:rsidP="00D33808">
            <w:pPr>
              <w:jc w:val="center"/>
            </w:pPr>
            <w:r>
              <w:t>1</w:t>
            </w:r>
          </w:p>
        </w:tc>
        <w:tc>
          <w:tcPr>
            <w:tcW w:w="1008" w:type="dxa"/>
            <w:vAlign w:val="center"/>
          </w:tcPr>
          <w:p w14:paraId="2B7C0B72" w14:textId="03D27707" w:rsidR="00551106" w:rsidRDefault="00551106" w:rsidP="00D33808">
            <w:pPr>
              <w:jc w:val="center"/>
            </w:pPr>
            <w:r>
              <w:t>40</w:t>
            </w:r>
          </w:p>
        </w:tc>
        <w:tc>
          <w:tcPr>
            <w:tcW w:w="1008" w:type="dxa"/>
            <w:vAlign w:val="center"/>
          </w:tcPr>
          <w:p w14:paraId="50CFF153" w14:textId="0DA33440" w:rsidR="00551106" w:rsidRDefault="00551106" w:rsidP="00D33808">
            <w:pPr>
              <w:jc w:val="center"/>
            </w:pPr>
            <w:r>
              <w:t>15</w:t>
            </w:r>
          </w:p>
        </w:tc>
        <w:tc>
          <w:tcPr>
            <w:tcW w:w="1008" w:type="dxa"/>
            <w:vAlign w:val="center"/>
          </w:tcPr>
          <w:p w14:paraId="5469DFFB" w14:textId="6A95061D" w:rsidR="00551106" w:rsidRDefault="00551106" w:rsidP="00D33808">
            <w:pPr>
              <w:jc w:val="center"/>
            </w:pPr>
            <w:r w:rsidRPr="00E46930">
              <w:t>11.4</w:t>
            </w:r>
          </w:p>
        </w:tc>
      </w:tr>
    </w:tbl>
    <w:bookmarkEnd w:id="0"/>
    <w:p w14:paraId="7F565615" w14:textId="57B10406" w:rsidR="00551106" w:rsidRPr="007D4BDF" w:rsidRDefault="00640B43" w:rsidP="00640B43">
      <w:pPr>
        <w:spacing w:after="360" w:line="360" w:lineRule="auto"/>
        <w:ind w:left="720"/>
      </w:pPr>
      <w:r>
        <w:br/>
      </w:r>
    </w:p>
    <w:p w14:paraId="56DD96EE" w14:textId="23BFB4C8" w:rsidR="00300D83" w:rsidRDefault="00EA29F2" w:rsidP="00300D83">
      <w:pPr>
        <w:numPr>
          <w:ilvl w:val="0"/>
          <w:numId w:val="28"/>
        </w:numPr>
        <w:spacing w:after="360" w:line="360" w:lineRule="auto"/>
      </w:pPr>
      <w:r w:rsidRPr="00300D83">
        <w:rPr>
          <w:u w:val="single"/>
        </w:rPr>
        <w:t>Im</w:t>
      </w:r>
      <w:r w:rsidR="00300D83" w:rsidRPr="00300D83">
        <w:rPr>
          <w:u w:val="single"/>
        </w:rPr>
        <w:t>port</w:t>
      </w:r>
      <w:r w:rsidR="00300D83">
        <w:t xml:space="preserve"> the </w:t>
      </w:r>
      <w:proofErr w:type="spellStart"/>
      <w:r w:rsidR="00300D83">
        <w:t>NoFlow</w:t>
      </w:r>
      <w:proofErr w:type="spellEnd"/>
      <w:r w:rsidR="00300D83">
        <w:t xml:space="preserve"> data as a </w:t>
      </w:r>
      <w:proofErr w:type="spellStart"/>
      <w:r w:rsidR="00300D83" w:rsidRPr="00300D83">
        <w:rPr>
          <w:u w:val="single"/>
        </w:rPr>
        <w:t>NoFlow</w:t>
      </w:r>
      <w:proofErr w:type="spellEnd"/>
      <w:r w:rsidR="00300D83" w:rsidRPr="00300D83">
        <w:rPr>
          <w:u w:val="single"/>
        </w:rPr>
        <w:t xml:space="preserve"> Matrix File</w:t>
      </w:r>
      <w:r w:rsidR="00300D83">
        <w:t>. The no flow data are in the exercises\data\</w:t>
      </w:r>
      <w:proofErr w:type="spellStart"/>
      <w:r w:rsidR="00300D83">
        <w:t>freyberg</w:t>
      </w:r>
      <w:proofErr w:type="spellEnd"/>
      <w:r w:rsidR="00300D83">
        <w:t>\active.dat file.</w:t>
      </w:r>
      <w:r w:rsidR="00300D83">
        <w:br/>
      </w:r>
      <w:r w:rsidR="00300D83" w:rsidRPr="00300D83">
        <w:drawing>
          <wp:inline distT="0" distB="0" distL="0" distR="0" wp14:anchorId="7889ADAE" wp14:editId="1E5E91F1">
            <wp:extent cx="5486400" cy="3914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914140"/>
                    </a:xfrm>
                    <a:prstGeom prst="rect">
                      <a:avLst/>
                    </a:prstGeom>
                  </pic:spPr>
                </pic:pic>
              </a:graphicData>
            </a:graphic>
          </wp:inline>
        </w:drawing>
      </w:r>
    </w:p>
    <w:p w14:paraId="0DAC245C" w14:textId="26624A0E" w:rsidR="007D4BDF" w:rsidRDefault="007D4BDF" w:rsidP="007D4BDF">
      <w:pPr>
        <w:numPr>
          <w:ilvl w:val="0"/>
          <w:numId w:val="28"/>
        </w:numPr>
        <w:spacing w:after="360" w:line="360" w:lineRule="auto"/>
      </w:pPr>
      <w:r>
        <w:lastRenderedPageBreak/>
        <w:t xml:space="preserve">Select the </w:t>
      </w:r>
      <w:r>
        <w:rPr>
          <w:u w:val="single"/>
        </w:rPr>
        <w:t>Bottom Elevation</w:t>
      </w:r>
      <w:r>
        <w:t xml:space="preserve"> menu item under the </w:t>
      </w:r>
      <w:r>
        <w:rPr>
          <w:u w:val="single"/>
        </w:rPr>
        <w:t>Props</w:t>
      </w:r>
      <w:r>
        <w:t xml:space="preserve"> item on the menu bar.</w:t>
      </w:r>
      <w:r>
        <w:t xml:space="preserve"> Import the bottom elevation as a </w:t>
      </w:r>
      <w:r w:rsidRPr="007D4BDF">
        <w:rPr>
          <w:u w:val="single"/>
        </w:rPr>
        <w:t>Matrix</w:t>
      </w:r>
      <w:r>
        <w:t xml:space="preserve"> file. </w:t>
      </w:r>
      <w:r>
        <w:t xml:space="preserve">The </w:t>
      </w:r>
      <w:r>
        <w:t>bottom elevation</w:t>
      </w:r>
      <w:r>
        <w:t xml:space="preserve"> data are in the exercises\data\</w:t>
      </w:r>
      <w:proofErr w:type="spellStart"/>
      <w:r>
        <w:t>freyberg</w:t>
      </w:r>
      <w:proofErr w:type="spellEnd"/>
      <w:r>
        <w:t>\</w:t>
      </w:r>
      <w:r>
        <w:t>bottom</w:t>
      </w:r>
      <w:r>
        <w:t>.dat file.</w:t>
      </w:r>
      <w:r>
        <w:br/>
      </w:r>
      <w:r w:rsidRPr="007D4BDF">
        <w:drawing>
          <wp:inline distT="0" distB="0" distL="0" distR="0" wp14:anchorId="57BED30B" wp14:editId="61A69D98">
            <wp:extent cx="5486400" cy="4674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674235"/>
                    </a:xfrm>
                    <a:prstGeom prst="rect">
                      <a:avLst/>
                    </a:prstGeom>
                  </pic:spPr>
                </pic:pic>
              </a:graphicData>
            </a:graphic>
          </wp:inline>
        </w:drawing>
      </w:r>
      <w:r>
        <w:t xml:space="preserve"> </w:t>
      </w:r>
    </w:p>
    <w:p w14:paraId="3733686C" w14:textId="2E299E56" w:rsidR="00DB164E" w:rsidRDefault="00B67D74" w:rsidP="00DB164E">
      <w:pPr>
        <w:numPr>
          <w:ilvl w:val="0"/>
          <w:numId w:val="28"/>
        </w:numPr>
        <w:spacing w:after="360" w:line="360" w:lineRule="auto"/>
      </w:pPr>
      <w:r>
        <w:t>A</w:t>
      </w:r>
      <w:r w:rsidR="00DB164E">
        <w:t xml:space="preserve"> new window should come up with the title Particle Transport and Dispersion.</w:t>
      </w:r>
    </w:p>
    <w:p w14:paraId="4A39D6EB" w14:textId="77777777" w:rsidR="00DB164E" w:rsidRDefault="00DB164E" w:rsidP="00DB164E">
      <w:pPr>
        <w:numPr>
          <w:ilvl w:val="0"/>
          <w:numId w:val="28"/>
        </w:numPr>
        <w:spacing w:after="360" w:line="360" w:lineRule="auto"/>
      </w:pPr>
      <w:r>
        <w:t>First click Start and then enter the following data</w:t>
      </w:r>
    </w:p>
    <w:p w14:paraId="27F6CD7D" w14:textId="77777777" w:rsidR="00DB164E" w:rsidRDefault="00DB164E" w:rsidP="00DB164E">
      <w:pPr>
        <w:numPr>
          <w:ilvl w:val="2"/>
          <w:numId w:val="28"/>
        </w:numPr>
        <w:spacing w:after="360" w:line="360" w:lineRule="auto"/>
      </w:pPr>
      <w:r>
        <w:t>Grid spacing (meters): 10</w:t>
      </w:r>
    </w:p>
    <w:p w14:paraId="4235FF44" w14:textId="77777777" w:rsidR="00DB164E" w:rsidRDefault="00DB164E" w:rsidP="00DB164E">
      <w:pPr>
        <w:numPr>
          <w:ilvl w:val="2"/>
          <w:numId w:val="28"/>
        </w:numPr>
        <w:spacing w:after="360" w:line="360" w:lineRule="auto"/>
      </w:pPr>
      <w:r>
        <w:t>Number of columns: 50</w:t>
      </w:r>
    </w:p>
    <w:p w14:paraId="2C8E98CA" w14:textId="77777777" w:rsidR="00DB164E" w:rsidRDefault="00DB164E" w:rsidP="00DB164E">
      <w:pPr>
        <w:numPr>
          <w:ilvl w:val="2"/>
          <w:numId w:val="28"/>
        </w:numPr>
        <w:spacing w:after="360" w:line="360" w:lineRule="auto"/>
      </w:pPr>
      <w:r>
        <w:t>Number of rows: 25</w:t>
      </w:r>
    </w:p>
    <w:p w14:paraId="758842FD" w14:textId="77777777" w:rsidR="00DB164E" w:rsidRDefault="00DB164E" w:rsidP="00DB164E">
      <w:pPr>
        <w:numPr>
          <w:ilvl w:val="2"/>
          <w:numId w:val="28"/>
        </w:numPr>
        <w:spacing w:after="360" w:line="360" w:lineRule="auto"/>
      </w:pPr>
      <w:r>
        <w:lastRenderedPageBreak/>
        <w:t>Average hydraulic gradient: 0.001</w:t>
      </w:r>
    </w:p>
    <w:p w14:paraId="077EDA4D" w14:textId="77777777" w:rsidR="00DB164E" w:rsidRDefault="00DB164E" w:rsidP="00DB164E">
      <w:pPr>
        <w:spacing w:after="360" w:line="360" w:lineRule="auto"/>
      </w:pPr>
    </w:p>
    <w:p w14:paraId="28896F27" w14:textId="77777777" w:rsidR="00DB164E" w:rsidRDefault="00DB164E" w:rsidP="00DB164E">
      <w:pPr>
        <w:numPr>
          <w:ilvl w:val="0"/>
          <w:numId w:val="28"/>
        </w:numPr>
        <w:spacing w:after="360" w:line="360" w:lineRule="auto"/>
      </w:pPr>
      <w:r>
        <w:t xml:space="preserve">Then click ok, and you should see a model grid as shown below. </w:t>
      </w:r>
      <w:r w:rsidR="004B1DEC">
        <w:rPr>
          <w:noProof/>
        </w:rPr>
        <w:drawing>
          <wp:inline distT="0" distB="0" distL="0" distR="0" wp14:anchorId="14BC121E" wp14:editId="0E0FBD5A">
            <wp:extent cx="5486400" cy="42164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216400"/>
                    </a:xfrm>
                    <a:prstGeom prst="rect">
                      <a:avLst/>
                    </a:prstGeom>
                    <a:noFill/>
                    <a:ln>
                      <a:noFill/>
                    </a:ln>
                  </pic:spPr>
                </pic:pic>
              </a:graphicData>
            </a:graphic>
          </wp:inline>
        </w:drawing>
      </w:r>
    </w:p>
    <w:p w14:paraId="3B79E0F8" w14:textId="77777777" w:rsidR="00DB164E" w:rsidRDefault="00DB164E" w:rsidP="00DB164E">
      <w:pPr>
        <w:numPr>
          <w:ilvl w:val="0"/>
          <w:numId w:val="28"/>
        </w:numPr>
        <w:spacing w:after="360" w:line="360" w:lineRule="auto"/>
      </w:pPr>
      <w:r>
        <w:lastRenderedPageBreak/>
        <w:t xml:space="preserve">Next click on the Properties button to assign hydraulic properties (hydraulic conductivity and porosity).  You should see the following window </w:t>
      </w:r>
      <w:r w:rsidR="004B1DEC">
        <w:rPr>
          <w:noProof/>
        </w:rPr>
        <w:drawing>
          <wp:inline distT="0" distB="0" distL="0" distR="0" wp14:anchorId="0CDFDEDE" wp14:editId="0375B4D5">
            <wp:extent cx="4089400" cy="47244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9400" cy="4724400"/>
                    </a:xfrm>
                    <a:prstGeom prst="rect">
                      <a:avLst/>
                    </a:prstGeom>
                    <a:noFill/>
                    <a:ln>
                      <a:noFill/>
                    </a:ln>
                  </pic:spPr>
                </pic:pic>
              </a:graphicData>
            </a:graphic>
          </wp:inline>
        </w:drawing>
      </w:r>
    </w:p>
    <w:p w14:paraId="4DB84D9B" w14:textId="77777777" w:rsidR="00DB164E" w:rsidRDefault="00DB164E" w:rsidP="00DB164E">
      <w:pPr>
        <w:numPr>
          <w:ilvl w:val="0"/>
          <w:numId w:val="28"/>
        </w:numPr>
        <w:spacing w:after="360" w:line="360" w:lineRule="auto"/>
      </w:pPr>
      <w:r>
        <w:t>Do not change the default setting, which assigns a uniform hydraulic conductivity of 0.001 m/s and porosity of 0.2 [zone 3] to the entire model domain.  Click OK to proceed.</w:t>
      </w:r>
    </w:p>
    <w:p w14:paraId="32860009" w14:textId="77777777" w:rsidR="00DB164E" w:rsidRDefault="00DB164E" w:rsidP="00DB164E">
      <w:pPr>
        <w:numPr>
          <w:ilvl w:val="0"/>
          <w:numId w:val="28"/>
        </w:numPr>
        <w:spacing w:after="360" w:line="360" w:lineRule="auto"/>
      </w:pPr>
      <w:r>
        <w:lastRenderedPageBreak/>
        <w:t xml:space="preserve">In the main window, click the Head button.  When inside the Head window, click Compute and you will see a uniform head distribution as shown below </w:t>
      </w:r>
      <w:r w:rsidR="004B1DEC">
        <w:rPr>
          <w:noProof/>
        </w:rPr>
        <w:drawing>
          <wp:inline distT="0" distB="0" distL="0" distR="0" wp14:anchorId="55A6FC1C" wp14:editId="0222A8E0">
            <wp:extent cx="4572000" cy="35179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517900"/>
                    </a:xfrm>
                    <a:prstGeom prst="rect">
                      <a:avLst/>
                    </a:prstGeom>
                    <a:noFill/>
                    <a:ln>
                      <a:noFill/>
                    </a:ln>
                  </pic:spPr>
                </pic:pic>
              </a:graphicData>
            </a:graphic>
          </wp:inline>
        </w:drawing>
      </w:r>
    </w:p>
    <w:p w14:paraId="59BC331B" w14:textId="77777777" w:rsidR="00DB164E" w:rsidRDefault="00DB164E" w:rsidP="00DB164E">
      <w:pPr>
        <w:numPr>
          <w:ilvl w:val="0"/>
          <w:numId w:val="28"/>
        </w:numPr>
        <w:spacing w:after="360" w:line="360" w:lineRule="auto"/>
      </w:pPr>
      <w:r>
        <w:t>Next, click on the Flow button.  Under the Options, select Particle Movement.  Also, set Initial particle (placement) spacing to 1 meter, and activate the option Keep previous particles.  Click OK to proceed.</w:t>
      </w:r>
    </w:p>
    <w:p w14:paraId="24018AD9" w14:textId="77777777" w:rsidR="00DB164E" w:rsidRDefault="00DB164E" w:rsidP="00DB164E">
      <w:pPr>
        <w:numPr>
          <w:ilvl w:val="0"/>
          <w:numId w:val="28"/>
        </w:numPr>
        <w:spacing w:after="360" w:line="360" w:lineRule="auto"/>
      </w:pPr>
      <w:r>
        <w:t>In the main window, move the mouse to an area near the left boundary where you would like to define a source area.  Double-click the left mouse button when you want to enclose the source area.</w:t>
      </w:r>
    </w:p>
    <w:p w14:paraId="6A3859DB" w14:textId="77777777" w:rsidR="00DB164E" w:rsidRDefault="00DB164E" w:rsidP="00DB164E">
      <w:pPr>
        <w:numPr>
          <w:ilvl w:val="0"/>
          <w:numId w:val="28"/>
        </w:numPr>
        <w:spacing w:after="360" w:line="360" w:lineRule="auto"/>
      </w:pPr>
      <w:r>
        <w:lastRenderedPageBreak/>
        <w:t xml:space="preserve">Click the Animation button and assign the input as shown </w:t>
      </w:r>
      <w:r w:rsidR="004B1DEC">
        <w:rPr>
          <w:noProof/>
        </w:rPr>
        <w:drawing>
          <wp:inline distT="0" distB="0" distL="0" distR="0" wp14:anchorId="06B53FAB" wp14:editId="72582FA1">
            <wp:extent cx="4546600" cy="326390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6600" cy="3263900"/>
                    </a:xfrm>
                    <a:prstGeom prst="rect">
                      <a:avLst/>
                    </a:prstGeom>
                    <a:noFill/>
                    <a:ln>
                      <a:noFill/>
                    </a:ln>
                  </pic:spPr>
                </pic:pic>
              </a:graphicData>
            </a:graphic>
          </wp:inline>
        </w:drawing>
      </w:r>
    </w:p>
    <w:p w14:paraId="0EDC1B26" w14:textId="77777777" w:rsidR="00DB164E" w:rsidRDefault="00DB164E" w:rsidP="00DB164E">
      <w:pPr>
        <w:numPr>
          <w:ilvl w:val="0"/>
          <w:numId w:val="28"/>
        </w:numPr>
        <w:spacing w:after="360" w:line="360" w:lineRule="auto"/>
      </w:pPr>
      <w:r>
        <w:t>Finally, click OK and you will return to the main window.  Click the mouse anywhere within the main window and you should see the particles move downgradient.  Click the mouse again to stop particle movement.  Note the two arrow bars on the side, which mark the center of the particle plume as it travels downgradient.  The shape of the plume remains the same in this uniform flow field as there is nothing to cause the plume to spread.</w:t>
      </w:r>
    </w:p>
    <w:p w14:paraId="2D0A4C8F" w14:textId="77777777" w:rsidR="00DB164E" w:rsidRDefault="00DB164E" w:rsidP="00DB164E">
      <w:pPr>
        <w:spacing w:after="360" w:line="360" w:lineRule="auto"/>
        <w:ind w:left="360"/>
      </w:pPr>
    </w:p>
    <w:p w14:paraId="7F27D5EC" w14:textId="77777777" w:rsidR="00DB164E" w:rsidRPr="0012585C" w:rsidRDefault="00DB164E" w:rsidP="00DB164E">
      <w:pPr>
        <w:spacing w:after="360" w:line="360" w:lineRule="auto"/>
        <w:outlineLvl w:val="0"/>
        <w:rPr>
          <w:b/>
          <w:bCs/>
        </w:rPr>
      </w:pPr>
      <w:r>
        <w:br w:type="page"/>
      </w:r>
      <w:r>
        <w:rPr>
          <w:b/>
          <w:bCs/>
        </w:rPr>
        <w:lastRenderedPageBreak/>
        <w:t>Part II. Advection and Dispersion in a Uniform Flow Field</w:t>
      </w:r>
    </w:p>
    <w:p w14:paraId="3646C5FB" w14:textId="77777777" w:rsidR="00DB164E" w:rsidRDefault="00DB164E" w:rsidP="00DB164E">
      <w:pPr>
        <w:numPr>
          <w:ilvl w:val="0"/>
          <w:numId w:val="6"/>
        </w:numPr>
        <w:spacing w:after="360" w:line="360" w:lineRule="auto"/>
      </w:pPr>
      <w:r>
        <w:t xml:space="preserve">In the main window, click on the Animation button.  Assign the following dispersivity values </w:t>
      </w:r>
    </w:p>
    <w:p w14:paraId="542602C7" w14:textId="77777777" w:rsidR="00DB164E" w:rsidRDefault="00DB164E" w:rsidP="00DB164E">
      <w:pPr>
        <w:spacing w:after="360" w:line="360" w:lineRule="auto"/>
        <w:ind w:left="1440"/>
      </w:pPr>
      <w:r>
        <w:t>Longitudinal dispersivity (meters): 1.0</w:t>
      </w:r>
    </w:p>
    <w:p w14:paraId="514568E7" w14:textId="77777777" w:rsidR="00DB164E" w:rsidRDefault="00DB164E" w:rsidP="00DB164E">
      <w:pPr>
        <w:spacing w:after="360" w:line="360" w:lineRule="auto"/>
        <w:ind w:left="1440"/>
      </w:pPr>
      <w:r>
        <w:t>Transverse dispersivity (meters): 0.1</w:t>
      </w:r>
    </w:p>
    <w:p w14:paraId="6ED6533C" w14:textId="77777777" w:rsidR="00DB164E" w:rsidRDefault="00DB164E" w:rsidP="00DB164E">
      <w:pPr>
        <w:numPr>
          <w:ilvl w:val="0"/>
          <w:numId w:val="6"/>
        </w:numPr>
        <w:spacing w:after="360" w:line="360" w:lineRule="auto"/>
      </w:pPr>
      <w:r>
        <w:t xml:space="preserve">Click anywhere in the main window and watch how the particles move downgradient.  Note how the addition of dispersion has led to the spreading of the particle plume in both the longitudinal and transverse directions.  Much more spreading occurs in the longitudinal direction because we have specified the longitudinal dispersivity to be 10 times greater than the transverse dispersivity.  Also note that the center of the plume remains the same as in the previous case with advection only, when the two cases are compared at the same observation time.     </w:t>
      </w:r>
      <w:r w:rsidR="004B1DEC">
        <w:rPr>
          <w:noProof/>
        </w:rPr>
        <w:drawing>
          <wp:inline distT="0" distB="0" distL="0" distR="0" wp14:anchorId="3C282046" wp14:editId="6A6B049B">
            <wp:extent cx="4572000" cy="351790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3517900"/>
                    </a:xfrm>
                    <a:prstGeom prst="rect">
                      <a:avLst/>
                    </a:prstGeom>
                    <a:noFill/>
                    <a:ln>
                      <a:noFill/>
                    </a:ln>
                  </pic:spPr>
                </pic:pic>
              </a:graphicData>
            </a:graphic>
          </wp:inline>
        </w:drawing>
      </w:r>
    </w:p>
    <w:p w14:paraId="2F442586" w14:textId="77777777" w:rsidR="00DB164E" w:rsidRDefault="00DB164E" w:rsidP="00DB164E">
      <w:pPr>
        <w:numPr>
          <w:ilvl w:val="0"/>
          <w:numId w:val="6"/>
        </w:numPr>
        <w:spacing w:after="360" w:line="360" w:lineRule="auto"/>
      </w:pPr>
      <w:r>
        <w:lastRenderedPageBreak/>
        <w:t>Go back to the Animation window and assign different values of longitudinal and transverse dispersivity to see how they affect solute transport.  A key point to pay attention to is how some particles travel a lot faster than the average while some other particles lag significantly behind, due to the dispersion imposed.  This phenomenon becomes more profound when the dispersivities are increased.</w:t>
      </w:r>
    </w:p>
    <w:p w14:paraId="646061EA" w14:textId="77777777" w:rsidR="00DB164E" w:rsidRPr="0012585C" w:rsidRDefault="00DB164E" w:rsidP="00DB164E">
      <w:pPr>
        <w:spacing w:after="360" w:line="360" w:lineRule="auto"/>
        <w:outlineLvl w:val="0"/>
        <w:rPr>
          <w:b/>
          <w:bCs/>
        </w:rPr>
      </w:pPr>
      <w:r>
        <w:br w:type="page"/>
      </w:r>
      <w:r>
        <w:rPr>
          <w:b/>
          <w:bCs/>
        </w:rPr>
        <w:lastRenderedPageBreak/>
        <w:t>Part III. Advection in a Heterogeneous Flow Field</w:t>
      </w:r>
    </w:p>
    <w:p w14:paraId="60993ED9" w14:textId="77777777" w:rsidR="00DB164E" w:rsidRDefault="00DB164E" w:rsidP="00DB164E">
      <w:pPr>
        <w:numPr>
          <w:ilvl w:val="0"/>
          <w:numId w:val="7"/>
        </w:numPr>
        <w:spacing w:after="360" w:line="360" w:lineRule="auto"/>
      </w:pPr>
      <w:r>
        <w:t xml:space="preserve">In the main window, click on the properties button.  Do not change the default values of hydraulic conductivity and porosity.  However, click on the checkbox next to the Randomize option, which generates a random K distribution </w:t>
      </w:r>
      <w:r w:rsidR="004B1DEC">
        <w:rPr>
          <w:noProof/>
        </w:rPr>
        <w:drawing>
          <wp:inline distT="0" distB="0" distL="0" distR="0" wp14:anchorId="269C8CB8" wp14:editId="5ECF4396">
            <wp:extent cx="4572000" cy="3517900"/>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3517900"/>
                    </a:xfrm>
                    <a:prstGeom prst="rect">
                      <a:avLst/>
                    </a:prstGeom>
                    <a:noFill/>
                    <a:ln>
                      <a:noFill/>
                    </a:ln>
                  </pic:spPr>
                </pic:pic>
              </a:graphicData>
            </a:graphic>
          </wp:inline>
        </w:drawing>
      </w:r>
    </w:p>
    <w:p w14:paraId="720CF9CC" w14:textId="77777777" w:rsidR="00DB164E" w:rsidRDefault="00DB164E" w:rsidP="00DB164E">
      <w:pPr>
        <w:numPr>
          <w:ilvl w:val="0"/>
          <w:numId w:val="7"/>
        </w:numPr>
        <w:spacing w:after="360" w:line="360" w:lineRule="auto"/>
      </w:pPr>
      <w:r>
        <w:t xml:space="preserve">Next, repeat the steps as described previously to compute the head distribution and start the particle animation.  </w:t>
      </w:r>
      <w:r>
        <w:rPr>
          <w:b/>
          <w:bCs/>
        </w:rPr>
        <w:t>Make sure to change the longitudinal and transverse dispersivities back to zero.</w:t>
      </w:r>
      <w:r>
        <w:t xml:space="preserve">  Then watch the advection of particles in </w:t>
      </w:r>
      <w:r>
        <w:lastRenderedPageBreak/>
        <w:t xml:space="preserve">the heterogeneous flow field, like the snapshot shown below </w:t>
      </w:r>
      <w:r w:rsidR="004B1DEC">
        <w:rPr>
          <w:noProof/>
        </w:rPr>
        <w:drawing>
          <wp:inline distT="0" distB="0" distL="0" distR="0" wp14:anchorId="5060BC0A" wp14:editId="2A1AB0B6">
            <wp:extent cx="4572000" cy="3517900"/>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3517900"/>
                    </a:xfrm>
                    <a:prstGeom prst="rect">
                      <a:avLst/>
                    </a:prstGeom>
                    <a:noFill/>
                    <a:ln>
                      <a:noFill/>
                    </a:ln>
                  </pic:spPr>
                </pic:pic>
              </a:graphicData>
            </a:graphic>
          </wp:inline>
        </w:drawing>
      </w:r>
    </w:p>
    <w:p w14:paraId="76D807AF" w14:textId="77777777" w:rsidR="00DB164E" w:rsidRDefault="00DB164E" w:rsidP="00DB164E">
      <w:pPr>
        <w:numPr>
          <w:ilvl w:val="0"/>
          <w:numId w:val="7"/>
        </w:numPr>
        <w:spacing w:after="360" w:line="360" w:lineRule="auto"/>
      </w:pPr>
      <w:r>
        <w:t>Note how the aquifer heterogeneity has led to the spreading of particles even though the dispersivities are set to zero.</w:t>
      </w:r>
    </w:p>
    <w:p w14:paraId="58ABB916" w14:textId="77777777" w:rsidR="00DB164E" w:rsidRDefault="00DB164E" w:rsidP="00DB164E">
      <w:pPr>
        <w:spacing w:after="360" w:line="360" w:lineRule="auto"/>
      </w:pPr>
    </w:p>
    <w:p w14:paraId="4EE86C37" w14:textId="77777777" w:rsidR="00DB164E" w:rsidRDefault="00DB164E" w:rsidP="00DB164E">
      <w:pPr>
        <w:spacing w:after="360" w:line="360" w:lineRule="auto"/>
        <w:outlineLvl w:val="0"/>
        <w:rPr>
          <w:b/>
          <w:bCs/>
        </w:rPr>
      </w:pPr>
      <w:r>
        <w:br w:type="page"/>
      </w:r>
      <w:r>
        <w:rPr>
          <w:b/>
          <w:bCs/>
        </w:rPr>
        <w:lastRenderedPageBreak/>
        <w:t>Part IV. Advection and Dispersion in a Heterogeneous Flow Field</w:t>
      </w:r>
    </w:p>
    <w:p w14:paraId="458C510C" w14:textId="77777777" w:rsidR="00DB164E" w:rsidRDefault="00DB164E" w:rsidP="00DB164E">
      <w:pPr>
        <w:numPr>
          <w:ilvl w:val="0"/>
          <w:numId w:val="8"/>
        </w:numPr>
        <w:spacing w:after="360" w:line="360" w:lineRule="auto"/>
      </w:pPr>
      <w:r>
        <w:t>In the main window, again click on the Animation button.  Assign</w:t>
      </w:r>
    </w:p>
    <w:p w14:paraId="330E15BF" w14:textId="77777777" w:rsidR="00DB164E" w:rsidRDefault="00DB164E" w:rsidP="00DB164E">
      <w:pPr>
        <w:spacing w:after="360" w:line="360" w:lineRule="auto"/>
        <w:ind w:left="1440"/>
      </w:pPr>
      <w:r>
        <w:t>Longitudinal dispersivity (meters): 1.0</w:t>
      </w:r>
    </w:p>
    <w:p w14:paraId="3E6518CD" w14:textId="77777777" w:rsidR="00DB164E" w:rsidRDefault="00DB164E" w:rsidP="00DB164E">
      <w:pPr>
        <w:spacing w:after="360" w:line="360" w:lineRule="auto"/>
      </w:pPr>
      <w:r>
        <w:tab/>
      </w:r>
      <w:r>
        <w:tab/>
        <w:t>Transverse dispersivity (meters): 0.1</w:t>
      </w:r>
    </w:p>
    <w:p w14:paraId="21C81AE2" w14:textId="59A8895A" w:rsidR="001D10EB" w:rsidRDefault="00DB164E" w:rsidP="004B1DEC">
      <w:pPr>
        <w:numPr>
          <w:ilvl w:val="0"/>
          <w:numId w:val="8"/>
        </w:numPr>
        <w:spacing w:after="360" w:line="360" w:lineRule="auto"/>
        <w:outlineLvl w:val="0"/>
      </w:pPr>
      <w:r>
        <w:t xml:space="preserve">Watch how the particles move in the heterogeneous flow field with both advection and dispersion.  Compared with the previous case, the addition of dispersion enhances the spreading of the particle plume. </w:t>
      </w:r>
      <w:r w:rsidR="004B1DEC">
        <w:rPr>
          <w:noProof/>
        </w:rPr>
        <w:drawing>
          <wp:inline distT="0" distB="0" distL="0" distR="0" wp14:anchorId="5CFA113B" wp14:editId="0073D97B">
            <wp:extent cx="4572000" cy="3517900"/>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3517900"/>
                    </a:xfrm>
                    <a:prstGeom prst="rect">
                      <a:avLst/>
                    </a:prstGeom>
                    <a:noFill/>
                    <a:ln>
                      <a:noFill/>
                    </a:ln>
                  </pic:spPr>
                </pic:pic>
              </a:graphicData>
            </a:graphic>
          </wp:inline>
        </w:drawing>
      </w:r>
    </w:p>
    <w:sectPr w:rsidR="001D10EB">
      <w:foot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A2B18" w14:textId="77777777" w:rsidR="005868C2" w:rsidRDefault="005868C2">
      <w:r>
        <w:separator/>
      </w:r>
    </w:p>
  </w:endnote>
  <w:endnote w:type="continuationSeparator" w:id="0">
    <w:p w14:paraId="53828BD4" w14:textId="77777777" w:rsidR="005868C2" w:rsidRDefault="00586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91005" w14:textId="77777777" w:rsidR="009716FD" w:rsidRPr="007811B1" w:rsidRDefault="009716FD" w:rsidP="00516E0E">
    <w:pPr>
      <w:pStyle w:val="Footer"/>
      <w:framePr w:wrap="around" w:vAnchor="text" w:hAnchor="margin" w:xAlign="right" w:y="1"/>
      <w:rPr>
        <w:rStyle w:val="PageNumber"/>
        <w:i/>
        <w:sz w:val="20"/>
        <w:szCs w:val="20"/>
      </w:rPr>
    </w:pPr>
    <w:r w:rsidRPr="007811B1">
      <w:rPr>
        <w:rStyle w:val="PageNumber"/>
        <w:i/>
        <w:sz w:val="20"/>
        <w:szCs w:val="20"/>
      </w:rPr>
      <w:fldChar w:fldCharType="begin"/>
    </w:r>
    <w:r w:rsidRPr="007811B1">
      <w:rPr>
        <w:rStyle w:val="PageNumber"/>
        <w:i/>
        <w:sz w:val="20"/>
        <w:szCs w:val="20"/>
      </w:rPr>
      <w:instrText xml:space="preserve">PAGE  </w:instrText>
    </w:r>
    <w:r w:rsidRPr="007811B1">
      <w:rPr>
        <w:rStyle w:val="PageNumber"/>
        <w:i/>
        <w:sz w:val="20"/>
        <w:szCs w:val="20"/>
      </w:rPr>
      <w:fldChar w:fldCharType="separate"/>
    </w:r>
    <w:r w:rsidR="009D5A01">
      <w:rPr>
        <w:rStyle w:val="PageNumber"/>
        <w:i/>
        <w:noProof/>
        <w:sz w:val="20"/>
        <w:szCs w:val="20"/>
      </w:rPr>
      <w:t>98</w:t>
    </w:r>
    <w:r w:rsidRPr="007811B1">
      <w:rPr>
        <w:rStyle w:val="PageNumber"/>
        <w:i/>
        <w:sz w:val="20"/>
        <w:szCs w:val="20"/>
      </w:rPr>
      <w:fldChar w:fldCharType="end"/>
    </w:r>
  </w:p>
  <w:p w14:paraId="0D08805D" w14:textId="26CF0B55" w:rsidR="009716FD" w:rsidRPr="002D52A8" w:rsidRDefault="00DB164E" w:rsidP="00DB164E">
    <w:pPr>
      <w:pStyle w:val="Footer"/>
      <w:tabs>
        <w:tab w:val="left" w:pos="5400"/>
      </w:tabs>
      <w:ind w:right="2880"/>
      <w:rPr>
        <w:i/>
        <w:sz w:val="20"/>
        <w:szCs w:val="20"/>
      </w:rPr>
    </w:pPr>
    <w:r>
      <w:rPr>
        <w:i/>
        <w:sz w:val="20"/>
        <w:szCs w:val="20"/>
      </w:rPr>
      <w:t xml:space="preserve">Exercise </w:t>
    </w:r>
    <w:r w:rsidR="00B67D74">
      <w:rPr>
        <w:i/>
        <w:sz w:val="20"/>
        <w:szCs w:val="20"/>
      </w:rPr>
      <w:t>02</w:t>
    </w:r>
    <w:r w:rsidRPr="002D52A8">
      <w:rPr>
        <w:i/>
        <w:sz w:val="20"/>
        <w:szCs w:val="20"/>
      </w:rPr>
      <w:t xml:space="preserve">. </w:t>
    </w:r>
    <w:proofErr w:type="spellStart"/>
    <w:r w:rsidR="00B67D74">
      <w:rPr>
        <w:i/>
        <w:sz w:val="20"/>
        <w:szCs w:val="20"/>
      </w:rPr>
      <w:t>ParticleFlow</w:t>
    </w:r>
    <w:proofErr w:type="spellEnd"/>
    <w:r w:rsidR="00B67D74">
      <w:rPr>
        <w:i/>
        <w:sz w:val="20"/>
        <w:szCs w:val="20"/>
      </w:rPr>
      <w:t xml:space="preserve"> – Understanding advection and dispersion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5961E" w14:textId="77777777" w:rsidR="005868C2" w:rsidRDefault="005868C2">
      <w:r>
        <w:separator/>
      </w:r>
    </w:p>
  </w:footnote>
  <w:footnote w:type="continuationSeparator" w:id="0">
    <w:p w14:paraId="0E1DE774" w14:textId="77777777" w:rsidR="005868C2" w:rsidRDefault="005868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67BE"/>
    <w:multiLevelType w:val="hybridMultilevel"/>
    <w:tmpl w:val="50821A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0B0E72"/>
    <w:multiLevelType w:val="hybridMultilevel"/>
    <w:tmpl w:val="A830AE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C02BC"/>
    <w:multiLevelType w:val="hybridMultilevel"/>
    <w:tmpl w:val="0D1C30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685A62"/>
    <w:multiLevelType w:val="hybridMultilevel"/>
    <w:tmpl w:val="6916F4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8D4422"/>
    <w:multiLevelType w:val="hybridMultilevel"/>
    <w:tmpl w:val="230852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13654C"/>
    <w:multiLevelType w:val="hybridMultilevel"/>
    <w:tmpl w:val="DD7445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C85AA3"/>
    <w:multiLevelType w:val="hybridMultilevel"/>
    <w:tmpl w:val="EA4C09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1D9676C"/>
    <w:multiLevelType w:val="hybridMultilevel"/>
    <w:tmpl w:val="AB2063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40065B5"/>
    <w:multiLevelType w:val="hybridMultilevel"/>
    <w:tmpl w:val="3640B9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71247E0"/>
    <w:multiLevelType w:val="hybridMultilevel"/>
    <w:tmpl w:val="34CAB5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7F41CF3"/>
    <w:multiLevelType w:val="hybridMultilevel"/>
    <w:tmpl w:val="485074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AE32A35"/>
    <w:multiLevelType w:val="hybridMultilevel"/>
    <w:tmpl w:val="E836E4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4C6759"/>
    <w:multiLevelType w:val="hybridMultilevel"/>
    <w:tmpl w:val="23A4B7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8B25EE8"/>
    <w:multiLevelType w:val="hybridMultilevel"/>
    <w:tmpl w:val="8FD8E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A216CD3"/>
    <w:multiLevelType w:val="hybridMultilevel"/>
    <w:tmpl w:val="5240F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6395EAC"/>
    <w:multiLevelType w:val="hybridMultilevel"/>
    <w:tmpl w:val="708E75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6CA1936"/>
    <w:multiLevelType w:val="hybridMultilevel"/>
    <w:tmpl w:val="2C68071E"/>
    <w:lvl w:ilvl="0" w:tplc="5ADC3A5A">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DDF4F1B"/>
    <w:multiLevelType w:val="hybridMultilevel"/>
    <w:tmpl w:val="21CC02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E323F63"/>
    <w:multiLevelType w:val="hybridMultilevel"/>
    <w:tmpl w:val="15EA0C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8C5188"/>
    <w:multiLevelType w:val="hybridMultilevel"/>
    <w:tmpl w:val="18468D4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405D7BFB"/>
    <w:multiLevelType w:val="hybridMultilevel"/>
    <w:tmpl w:val="4CEA01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42F010E"/>
    <w:multiLevelType w:val="hybridMultilevel"/>
    <w:tmpl w:val="EEA85D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66005F1"/>
    <w:multiLevelType w:val="hybridMultilevel"/>
    <w:tmpl w:val="5A54A5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CF87C4C"/>
    <w:multiLevelType w:val="hybridMultilevel"/>
    <w:tmpl w:val="F1F610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FA6591F"/>
    <w:multiLevelType w:val="hybridMultilevel"/>
    <w:tmpl w:val="778E13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89E73A1"/>
    <w:multiLevelType w:val="hybridMultilevel"/>
    <w:tmpl w:val="5BAAFC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FD121FD"/>
    <w:multiLevelType w:val="hybridMultilevel"/>
    <w:tmpl w:val="49CA5D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0DB6B8C"/>
    <w:multiLevelType w:val="hybridMultilevel"/>
    <w:tmpl w:val="021082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5C912FC"/>
    <w:multiLevelType w:val="hybridMultilevel"/>
    <w:tmpl w:val="F5BA98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6173F82"/>
    <w:multiLevelType w:val="hybridMultilevel"/>
    <w:tmpl w:val="8D3A89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6360306"/>
    <w:multiLevelType w:val="hybridMultilevel"/>
    <w:tmpl w:val="AA68E7C6"/>
    <w:lvl w:ilvl="0" w:tplc="0ABE79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5C033F"/>
    <w:multiLevelType w:val="hybridMultilevel"/>
    <w:tmpl w:val="51349F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7D1048F"/>
    <w:multiLevelType w:val="hybridMultilevel"/>
    <w:tmpl w:val="4106F1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8555B4A"/>
    <w:multiLevelType w:val="hybridMultilevel"/>
    <w:tmpl w:val="D14281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1D676F8"/>
    <w:multiLevelType w:val="hybridMultilevel"/>
    <w:tmpl w:val="9DD68E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7AB374C"/>
    <w:multiLevelType w:val="hybridMultilevel"/>
    <w:tmpl w:val="1E4497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AAF50A3"/>
    <w:multiLevelType w:val="hybridMultilevel"/>
    <w:tmpl w:val="989644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C65630"/>
    <w:multiLevelType w:val="hybridMultilevel"/>
    <w:tmpl w:val="131C7E1A"/>
    <w:lvl w:ilvl="0" w:tplc="DAD821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5"/>
  </w:num>
  <w:num w:numId="3">
    <w:abstractNumId w:val="5"/>
  </w:num>
  <w:num w:numId="4">
    <w:abstractNumId w:val="14"/>
  </w:num>
  <w:num w:numId="5">
    <w:abstractNumId w:val="25"/>
  </w:num>
  <w:num w:numId="6">
    <w:abstractNumId w:val="7"/>
  </w:num>
  <w:num w:numId="7">
    <w:abstractNumId w:val="18"/>
  </w:num>
  <w:num w:numId="8">
    <w:abstractNumId w:val="29"/>
  </w:num>
  <w:num w:numId="9">
    <w:abstractNumId w:val="34"/>
  </w:num>
  <w:num w:numId="10">
    <w:abstractNumId w:val="13"/>
  </w:num>
  <w:num w:numId="11">
    <w:abstractNumId w:val="4"/>
  </w:num>
  <w:num w:numId="12">
    <w:abstractNumId w:val="27"/>
  </w:num>
  <w:num w:numId="13">
    <w:abstractNumId w:val="20"/>
  </w:num>
  <w:num w:numId="14">
    <w:abstractNumId w:val="0"/>
  </w:num>
  <w:num w:numId="15">
    <w:abstractNumId w:val="11"/>
  </w:num>
  <w:num w:numId="16">
    <w:abstractNumId w:val="12"/>
  </w:num>
  <w:num w:numId="17">
    <w:abstractNumId w:val="31"/>
  </w:num>
  <w:num w:numId="18">
    <w:abstractNumId w:val="2"/>
  </w:num>
  <w:num w:numId="19">
    <w:abstractNumId w:val="24"/>
  </w:num>
  <w:num w:numId="20">
    <w:abstractNumId w:val="33"/>
  </w:num>
  <w:num w:numId="21">
    <w:abstractNumId w:val="32"/>
  </w:num>
  <w:num w:numId="22">
    <w:abstractNumId w:val="28"/>
  </w:num>
  <w:num w:numId="23">
    <w:abstractNumId w:val="8"/>
  </w:num>
  <w:num w:numId="24">
    <w:abstractNumId w:val="19"/>
  </w:num>
  <w:num w:numId="25">
    <w:abstractNumId w:val="6"/>
  </w:num>
  <w:num w:numId="26">
    <w:abstractNumId w:val="22"/>
  </w:num>
  <w:num w:numId="27">
    <w:abstractNumId w:val="35"/>
  </w:num>
  <w:num w:numId="28">
    <w:abstractNumId w:val="1"/>
  </w:num>
  <w:num w:numId="29">
    <w:abstractNumId w:val="36"/>
  </w:num>
  <w:num w:numId="30">
    <w:abstractNumId w:val="17"/>
  </w:num>
  <w:num w:numId="31">
    <w:abstractNumId w:val="23"/>
  </w:num>
  <w:num w:numId="32">
    <w:abstractNumId w:val="26"/>
  </w:num>
  <w:num w:numId="33">
    <w:abstractNumId w:val="21"/>
  </w:num>
  <w:num w:numId="34">
    <w:abstractNumId w:val="3"/>
  </w:num>
  <w:num w:numId="35">
    <w:abstractNumId w:val="10"/>
  </w:num>
  <w:num w:numId="36">
    <w:abstractNumId w:val="30"/>
  </w:num>
  <w:num w:numId="37">
    <w:abstractNumId w:val="37"/>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0E"/>
    <w:rsid w:val="00010B1E"/>
    <w:rsid w:val="00011F21"/>
    <w:rsid w:val="00034586"/>
    <w:rsid w:val="00047780"/>
    <w:rsid w:val="00051756"/>
    <w:rsid w:val="00054821"/>
    <w:rsid w:val="00065668"/>
    <w:rsid w:val="000704C7"/>
    <w:rsid w:val="00082002"/>
    <w:rsid w:val="000A6965"/>
    <w:rsid w:val="000C52FE"/>
    <w:rsid w:val="000D0D2B"/>
    <w:rsid w:val="000E64BC"/>
    <w:rsid w:val="000F0D24"/>
    <w:rsid w:val="00102CA0"/>
    <w:rsid w:val="00112CC9"/>
    <w:rsid w:val="001156E7"/>
    <w:rsid w:val="001176B4"/>
    <w:rsid w:val="00117B3C"/>
    <w:rsid w:val="001376F6"/>
    <w:rsid w:val="00140664"/>
    <w:rsid w:val="0014091D"/>
    <w:rsid w:val="00163FDF"/>
    <w:rsid w:val="00175377"/>
    <w:rsid w:val="001830F7"/>
    <w:rsid w:val="001877DB"/>
    <w:rsid w:val="00192DE2"/>
    <w:rsid w:val="001A7EC2"/>
    <w:rsid w:val="001B07CB"/>
    <w:rsid w:val="001B19DC"/>
    <w:rsid w:val="001B28FA"/>
    <w:rsid w:val="001B71EB"/>
    <w:rsid w:val="001D10EB"/>
    <w:rsid w:val="00200657"/>
    <w:rsid w:val="00201E76"/>
    <w:rsid w:val="002113E6"/>
    <w:rsid w:val="00240D31"/>
    <w:rsid w:val="00260103"/>
    <w:rsid w:val="00266347"/>
    <w:rsid w:val="00266701"/>
    <w:rsid w:val="002813B2"/>
    <w:rsid w:val="00294673"/>
    <w:rsid w:val="00297874"/>
    <w:rsid w:val="002A2494"/>
    <w:rsid w:val="002A5B92"/>
    <w:rsid w:val="002A76E2"/>
    <w:rsid w:val="002B2241"/>
    <w:rsid w:val="002D52A8"/>
    <w:rsid w:val="002E0552"/>
    <w:rsid w:val="002F7827"/>
    <w:rsid w:val="0030053B"/>
    <w:rsid w:val="00300D83"/>
    <w:rsid w:val="003021F4"/>
    <w:rsid w:val="0030719C"/>
    <w:rsid w:val="003242EE"/>
    <w:rsid w:val="0034061E"/>
    <w:rsid w:val="00345C0B"/>
    <w:rsid w:val="003530CC"/>
    <w:rsid w:val="0039565D"/>
    <w:rsid w:val="003A0161"/>
    <w:rsid w:val="003A33DB"/>
    <w:rsid w:val="003A38A0"/>
    <w:rsid w:val="003A4484"/>
    <w:rsid w:val="003B3312"/>
    <w:rsid w:val="003B5A8A"/>
    <w:rsid w:val="003E418F"/>
    <w:rsid w:val="003F49C5"/>
    <w:rsid w:val="00407074"/>
    <w:rsid w:val="00407470"/>
    <w:rsid w:val="00412D73"/>
    <w:rsid w:val="00414566"/>
    <w:rsid w:val="00421505"/>
    <w:rsid w:val="00446F60"/>
    <w:rsid w:val="00447282"/>
    <w:rsid w:val="004B12FB"/>
    <w:rsid w:val="004B1DEC"/>
    <w:rsid w:val="004D6D5D"/>
    <w:rsid w:val="00503768"/>
    <w:rsid w:val="00516E0E"/>
    <w:rsid w:val="005320AC"/>
    <w:rsid w:val="005435AA"/>
    <w:rsid w:val="00543906"/>
    <w:rsid w:val="0054495A"/>
    <w:rsid w:val="0054740C"/>
    <w:rsid w:val="00550566"/>
    <w:rsid w:val="00551106"/>
    <w:rsid w:val="00560245"/>
    <w:rsid w:val="00574819"/>
    <w:rsid w:val="00585992"/>
    <w:rsid w:val="005868C2"/>
    <w:rsid w:val="00592A00"/>
    <w:rsid w:val="005A495D"/>
    <w:rsid w:val="005C1B86"/>
    <w:rsid w:val="005C539F"/>
    <w:rsid w:val="005D3C99"/>
    <w:rsid w:val="005D63EB"/>
    <w:rsid w:val="005E50F0"/>
    <w:rsid w:val="005E789E"/>
    <w:rsid w:val="005F0BC6"/>
    <w:rsid w:val="0061595A"/>
    <w:rsid w:val="00631B79"/>
    <w:rsid w:val="006373D0"/>
    <w:rsid w:val="00637F1D"/>
    <w:rsid w:val="00640B43"/>
    <w:rsid w:val="006508BC"/>
    <w:rsid w:val="00651655"/>
    <w:rsid w:val="006574A4"/>
    <w:rsid w:val="00687384"/>
    <w:rsid w:val="006B532B"/>
    <w:rsid w:val="006C1F88"/>
    <w:rsid w:val="006D07D5"/>
    <w:rsid w:val="006D10C0"/>
    <w:rsid w:val="006D5F20"/>
    <w:rsid w:val="00745D97"/>
    <w:rsid w:val="007514D2"/>
    <w:rsid w:val="00752DFA"/>
    <w:rsid w:val="00752F59"/>
    <w:rsid w:val="00774D85"/>
    <w:rsid w:val="007811B1"/>
    <w:rsid w:val="007A5901"/>
    <w:rsid w:val="007B2BFA"/>
    <w:rsid w:val="007B2F39"/>
    <w:rsid w:val="007B30BB"/>
    <w:rsid w:val="007D0F9E"/>
    <w:rsid w:val="007D4BDF"/>
    <w:rsid w:val="007F1917"/>
    <w:rsid w:val="007F2650"/>
    <w:rsid w:val="007F302B"/>
    <w:rsid w:val="007F3849"/>
    <w:rsid w:val="008036C6"/>
    <w:rsid w:val="00822049"/>
    <w:rsid w:val="0084271E"/>
    <w:rsid w:val="00846AA9"/>
    <w:rsid w:val="00852166"/>
    <w:rsid w:val="008864F7"/>
    <w:rsid w:val="008A4653"/>
    <w:rsid w:val="008B51C2"/>
    <w:rsid w:val="008B6912"/>
    <w:rsid w:val="008C20E5"/>
    <w:rsid w:val="008C508C"/>
    <w:rsid w:val="008E02D1"/>
    <w:rsid w:val="008E3845"/>
    <w:rsid w:val="008E76E1"/>
    <w:rsid w:val="008E7C89"/>
    <w:rsid w:val="008F06EE"/>
    <w:rsid w:val="00916C67"/>
    <w:rsid w:val="009536B8"/>
    <w:rsid w:val="009716FD"/>
    <w:rsid w:val="00996EAB"/>
    <w:rsid w:val="009B224C"/>
    <w:rsid w:val="009C6579"/>
    <w:rsid w:val="009D5A01"/>
    <w:rsid w:val="009F476A"/>
    <w:rsid w:val="00A03164"/>
    <w:rsid w:val="00A12AA7"/>
    <w:rsid w:val="00A32E93"/>
    <w:rsid w:val="00A514E0"/>
    <w:rsid w:val="00A80C4C"/>
    <w:rsid w:val="00AA1186"/>
    <w:rsid w:val="00AA157C"/>
    <w:rsid w:val="00AA1C8F"/>
    <w:rsid w:val="00AA258D"/>
    <w:rsid w:val="00AB49B4"/>
    <w:rsid w:val="00AE2797"/>
    <w:rsid w:val="00AE4FCC"/>
    <w:rsid w:val="00AF1F04"/>
    <w:rsid w:val="00AF3229"/>
    <w:rsid w:val="00AF6213"/>
    <w:rsid w:val="00B159B2"/>
    <w:rsid w:val="00B165B7"/>
    <w:rsid w:val="00B20C1C"/>
    <w:rsid w:val="00B24DC3"/>
    <w:rsid w:val="00B51C0C"/>
    <w:rsid w:val="00B67247"/>
    <w:rsid w:val="00B67D74"/>
    <w:rsid w:val="00B70514"/>
    <w:rsid w:val="00B9735D"/>
    <w:rsid w:val="00BA54DF"/>
    <w:rsid w:val="00BB5461"/>
    <w:rsid w:val="00BC6BD4"/>
    <w:rsid w:val="00BF0A97"/>
    <w:rsid w:val="00BF68D2"/>
    <w:rsid w:val="00C150A8"/>
    <w:rsid w:val="00C16FAA"/>
    <w:rsid w:val="00C32FFE"/>
    <w:rsid w:val="00C64F2A"/>
    <w:rsid w:val="00C64FFE"/>
    <w:rsid w:val="00C737B0"/>
    <w:rsid w:val="00C77E1A"/>
    <w:rsid w:val="00C937EA"/>
    <w:rsid w:val="00CB27CE"/>
    <w:rsid w:val="00CB28B0"/>
    <w:rsid w:val="00CB53B3"/>
    <w:rsid w:val="00CB7CA1"/>
    <w:rsid w:val="00CE621F"/>
    <w:rsid w:val="00D0517C"/>
    <w:rsid w:val="00D23C94"/>
    <w:rsid w:val="00D33808"/>
    <w:rsid w:val="00D41D58"/>
    <w:rsid w:val="00D4735B"/>
    <w:rsid w:val="00D578DA"/>
    <w:rsid w:val="00D97046"/>
    <w:rsid w:val="00DB0E2D"/>
    <w:rsid w:val="00DB164E"/>
    <w:rsid w:val="00DB5CD9"/>
    <w:rsid w:val="00DB7227"/>
    <w:rsid w:val="00DE220C"/>
    <w:rsid w:val="00DE2D0E"/>
    <w:rsid w:val="00DF45CB"/>
    <w:rsid w:val="00E0047F"/>
    <w:rsid w:val="00E16890"/>
    <w:rsid w:val="00E207F2"/>
    <w:rsid w:val="00E22A9D"/>
    <w:rsid w:val="00E547C0"/>
    <w:rsid w:val="00E55B8E"/>
    <w:rsid w:val="00EA29F2"/>
    <w:rsid w:val="00EA4330"/>
    <w:rsid w:val="00EC6C73"/>
    <w:rsid w:val="00ED05E2"/>
    <w:rsid w:val="00ED249D"/>
    <w:rsid w:val="00ED3BDA"/>
    <w:rsid w:val="00EF3045"/>
    <w:rsid w:val="00F1763E"/>
    <w:rsid w:val="00F50863"/>
    <w:rsid w:val="00F51728"/>
    <w:rsid w:val="00F52A26"/>
    <w:rsid w:val="00F93729"/>
    <w:rsid w:val="00FA677C"/>
    <w:rsid w:val="00FA7F2D"/>
    <w:rsid w:val="00FB0F6F"/>
    <w:rsid w:val="00FB5DB1"/>
    <w:rsid w:val="00FE3BC1"/>
    <w:rsid w:val="00FE623E"/>
    <w:rsid w:val="00FE697A"/>
    <w:rsid w:val="00FF2DC2"/>
    <w:rsid w:val="00FF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4340BF"/>
  <w15:chartTrackingRefBased/>
  <w15:docId w15:val="{C854F4AF-3F26-F74C-9905-A6E7CA7C3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16E0E"/>
    <w:rPr>
      <w:sz w:val="24"/>
      <w:szCs w:val="24"/>
    </w:rPr>
  </w:style>
  <w:style w:type="paragraph" w:styleId="Heading1">
    <w:name w:val="heading 1"/>
    <w:basedOn w:val="Normal"/>
    <w:next w:val="Normal"/>
    <w:qFormat/>
    <w:rsid w:val="007A590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A590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16E0E"/>
    <w:pPr>
      <w:tabs>
        <w:tab w:val="center" w:pos="4320"/>
        <w:tab w:val="right" w:pos="8640"/>
      </w:tabs>
    </w:pPr>
  </w:style>
  <w:style w:type="paragraph" w:styleId="Footer">
    <w:name w:val="footer"/>
    <w:basedOn w:val="Normal"/>
    <w:rsid w:val="00516E0E"/>
    <w:pPr>
      <w:tabs>
        <w:tab w:val="center" w:pos="4320"/>
        <w:tab w:val="right" w:pos="8640"/>
      </w:tabs>
    </w:pPr>
  </w:style>
  <w:style w:type="character" w:styleId="PageNumber">
    <w:name w:val="page number"/>
    <w:basedOn w:val="DefaultParagraphFont"/>
    <w:rsid w:val="00516E0E"/>
  </w:style>
  <w:style w:type="paragraph" w:styleId="Title">
    <w:name w:val="Title"/>
    <w:basedOn w:val="Normal"/>
    <w:qFormat/>
    <w:rsid w:val="00516E0E"/>
    <w:pPr>
      <w:jc w:val="center"/>
    </w:pPr>
    <w:rPr>
      <w:b/>
      <w:bCs/>
    </w:rPr>
  </w:style>
  <w:style w:type="paragraph" w:styleId="Caption">
    <w:name w:val="caption"/>
    <w:basedOn w:val="Normal"/>
    <w:next w:val="Normal"/>
    <w:qFormat/>
    <w:rsid w:val="00516E0E"/>
    <w:rPr>
      <w:b/>
      <w:bCs/>
      <w:sz w:val="20"/>
      <w:szCs w:val="20"/>
    </w:rPr>
  </w:style>
  <w:style w:type="table" w:styleId="TableGrid">
    <w:name w:val="Table Grid"/>
    <w:basedOn w:val="TableNormal"/>
    <w:rsid w:val="00516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18pt">
    <w:name w:val="Normal + After:  18 pt"/>
    <w:aliases w:val="Line spacing:  1.5 lines"/>
    <w:basedOn w:val="Normal"/>
    <w:rsid w:val="002B2241"/>
    <w:pPr>
      <w:spacing w:after="360" w:line="360" w:lineRule="auto"/>
      <w:ind w:left="360"/>
    </w:pPr>
  </w:style>
  <w:style w:type="paragraph" w:styleId="DocumentMap">
    <w:name w:val="Document Map"/>
    <w:basedOn w:val="Normal"/>
    <w:semiHidden/>
    <w:rsid w:val="00C64F2A"/>
    <w:pPr>
      <w:shd w:val="clear" w:color="auto" w:fill="000080"/>
    </w:pPr>
    <w:rPr>
      <w:rFonts w:ascii="Tahoma" w:hAnsi="Tahoma" w:cs="Tahoma"/>
      <w:sz w:val="20"/>
      <w:szCs w:val="20"/>
    </w:rPr>
  </w:style>
  <w:style w:type="paragraph" w:styleId="BalloonText">
    <w:name w:val="Balloon Text"/>
    <w:basedOn w:val="Normal"/>
    <w:semiHidden/>
    <w:rsid w:val="002113E6"/>
    <w:rPr>
      <w:rFonts w:ascii="Tahoma" w:hAnsi="Tahoma" w:cs="Tahoma"/>
      <w:sz w:val="16"/>
      <w:szCs w:val="16"/>
    </w:rPr>
  </w:style>
  <w:style w:type="character" w:styleId="CommentReference">
    <w:name w:val="annotation reference"/>
    <w:basedOn w:val="DefaultParagraphFont"/>
    <w:semiHidden/>
    <w:rsid w:val="004B12FB"/>
    <w:rPr>
      <w:sz w:val="16"/>
      <w:szCs w:val="16"/>
    </w:rPr>
  </w:style>
  <w:style w:type="paragraph" w:styleId="CommentText">
    <w:name w:val="annotation text"/>
    <w:basedOn w:val="Normal"/>
    <w:semiHidden/>
    <w:rsid w:val="004B12FB"/>
    <w:rPr>
      <w:sz w:val="20"/>
      <w:szCs w:val="20"/>
    </w:rPr>
  </w:style>
  <w:style w:type="paragraph" w:styleId="CommentSubject">
    <w:name w:val="annotation subject"/>
    <w:basedOn w:val="CommentText"/>
    <w:next w:val="CommentText"/>
    <w:semiHidden/>
    <w:rsid w:val="004B12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FC6D4-03E9-6842-8E43-5C2981ACA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16</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SEAWAT Exercises</vt:lpstr>
    </vt:vector>
  </TitlesOfParts>
  <Company>DOI-WRD</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SEAWAT Exercises</dc:title>
  <dc:subject/>
  <dc:creator>langevin</dc:creator>
  <cp:keywords/>
  <dc:description/>
  <cp:lastModifiedBy>Hughes, Joseph D</cp:lastModifiedBy>
  <cp:revision>10</cp:revision>
  <cp:lastPrinted>2010-04-19T20:44:00Z</cp:lastPrinted>
  <dcterms:created xsi:type="dcterms:W3CDTF">2018-07-20T17:31:00Z</dcterms:created>
  <dcterms:modified xsi:type="dcterms:W3CDTF">2018-08-13T21:54:00Z</dcterms:modified>
</cp:coreProperties>
</file>