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05B075CE" w14:textId="16F1B9BC" w:rsidR="00DB164E" w:rsidRDefault="00DB164E" w:rsidP="00DB164E">
      <w:pPr>
        <w:pStyle w:val="Title"/>
        <w:spacing w:after="360" w:line="360" w:lineRule="auto"/>
        <w:outlineLvl w:val="0"/>
      </w:pPr>
      <w:r>
        <w:t xml:space="preserve">Exercise </w:t>
      </w:r>
      <w:r w:rsidR="004A2BE5">
        <w:t>5</w:t>
      </w:r>
      <w:r>
        <w:t xml:space="preserve">. </w:t>
      </w:r>
      <w:r w:rsidR="00AB49B4">
        <w:t>Class Project Model</w:t>
      </w:r>
      <w:r w:rsidR="004A2BE5">
        <w:t xml:space="preserve"> Calibration</w:t>
      </w:r>
      <w:r w:rsidRPr="002002CB">
        <w:t>—</w:t>
      </w:r>
      <w:r w:rsidR="00AB49B4">
        <w:t>Freyberg Model</w:t>
      </w: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7BD8E678" w14:textId="0402259D" w:rsidR="00DB164E" w:rsidRDefault="00DB164E" w:rsidP="00DB164E">
      <w:pPr>
        <w:spacing w:after="360" w:line="360" w:lineRule="auto"/>
      </w:pPr>
      <w:r>
        <w:tab/>
        <w:t xml:space="preserve">The purpose of this exercise is </w:t>
      </w:r>
      <w:r w:rsidR="004A2BE5">
        <w:t>calibrate the</w:t>
      </w:r>
      <w:r w:rsidR="00AB49B4">
        <w:t xml:space="preserve"> two-dimensional groundwater model </w:t>
      </w:r>
      <w:r w:rsidR="004A2BE5">
        <w:t>created using Groundwater Vistas (GWVistas) in the previous exercise</w:t>
      </w:r>
      <w:r w:rsidR="00AB49B4">
        <w:t xml:space="preserve">. </w:t>
      </w:r>
      <w:r w:rsidR="004A2BE5">
        <w:t>We will use a zoned approach to calibrate hydraulic conductivity for the first stress period</w:t>
      </w:r>
      <w:r w:rsidR="00B67D74">
        <w:t>.</w:t>
      </w:r>
    </w:p>
    <w:p w14:paraId="4B0E95C9" w14:textId="550F2FF2" w:rsidR="00DB164E" w:rsidRPr="0012585C" w:rsidRDefault="00DB164E" w:rsidP="005742A9">
      <w:pPr>
        <w:tabs>
          <w:tab w:val="left" w:pos="1080"/>
        </w:tabs>
        <w:spacing w:after="360" w:line="360" w:lineRule="auto"/>
        <w:ind w:left="1080" w:hanging="1080"/>
        <w:outlineLvl w:val="0"/>
        <w:rPr>
          <w:b/>
          <w:bCs/>
        </w:rPr>
      </w:pPr>
      <w:r>
        <w:rPr>
          <w:b/>
          <w:bCs/>
        </w:rPr>
        <w:br w:type="page"/>
      </w:r>
      <w:r>
        <w:rPr>
          <w:b/>
          <w:bCs/>
        </w:rPr>
        <w:lastRenderedPageBreak/>
        <w:t xml:space="preserve">Part I. </w:t>
      </w:r>
      <w:r w:rsidR="009018A2">
        <w:rPr>
          <w:b/>
          <w:bCs/>
        </w:rPr>
        <w:tab/>
        <w:t xml:space="preserve">Use the </w:t>
      </w:r>
      <w:r w:rsidR="00AB49B4">
        <w:rPr>
          <w:b/>
          <w:bCs/>
        </w:rPr>
        <w:t>Groundwater Vistas</w:t>
      </w:r>
      <w:r w:rsidR="009018A2">
        <w:rPr>
          <w:b/>
          <w:bCs/>
        </w:rPr>
        <w:t xml:space="preserve"> file from the previous exercise to create a new Groundwater Vistas file for calibration</w:t>
      </w:r>
    </w:p>
    <w:p w14:paraId="4395DCE9" w14:textId="77777777" w:rsidR="009018A2" w:rsidRDefault="00AB49B4" w:rsidP="00AB49B4">
      <w:pPr>
        <w:numPr>
          <w:ilvl w:val="0"/>
          <w:numId w:val="28"/>
        </w:numPr>
        <w:spacing w:after="360" w:line="360" w:lineRule="auto"/>
      </w:pPr>
      <w:r>
        <w:t xml:space="preserve">Open </w:t>
      </w:r>
      <w:r w:rsidR="009018A2">
        <w:t xml:space="preserve">the </w:t>
      </w:r>
      <w:r>
        <w:t xml:space="preserve">GWVistas </w:t>
      </w:r>
      <w:r w:rsidR="009018A2">
        <w:t>file created in the last exercise</w:t>
      </w:r>
      <w:r>
        <w:t>.</w:t>
      </w:r>
    </w:p>
    <w:p w14:paraId="39B67B28" w14:textId="3723D6DF" w:rsidR="005742A9" w:rsidRDefault="009018A2" w:rsidP="00AB49B4">
      <w:pPr>
        <w:numPr>
          <w:ilvl w:val="0"/>
          <w:numId w:val="28"/>
        </w:numPr>
        <w:spacing w:after="360" w:line="360" w:lineRule="auto"/>
      </w:pPr>
      <w:r>
        <w:t xml:space="preserve">Save the file </w:t>
      </w:r>
      <w:r w:rsidR="005742A9">
        <w:t>as a new GWVistas file (File</w:t>
      </w:r>
      <w:r w:rsidR="005742A9">
        <w:sym w:font="Symbol" w:char="F0AE"/>
      </w:r>
      <w:r w:rsidR="005742A9">
        <w:t>Save As…) in the exercises\Ex05 directory.</w:t>
      </w:r>
    </w:p>
    <w:p w14:paraId="3E14B493" w14:textId="26BB8E2B" w:rsidR="005742A9" w:rsidRDefault="005742A9" w:rsidP="005742A9">
      <w:pPr>
        <w:numPr>
          <w:ilvl w:val="0"/>
          <w:numId w:val="28"/>
        </w:numPr>
        <w:spacing w:after="360" w:line="360" w:lineRule="auto"/>
      </w:pPr>
      <w:r>
        <w:t xml:space="preserve">Change the </w:t>
      </w:r>
      <w:r w:rsidRPr="00DB14EA">
        <w:rPr>
          <w:u w:val="single"/>
        </w:rPr>
        <w:t>Root File Name</w:t>
      </w:r>
      <w:r>
        <w:t xml:space="preserve"> (Model</w:t>
      </w:r>
      <w:r>
        <w:sym w:font="Symbol" w:char="F0AE"/>
      </w:r>
      <w:r>
        <w:t>MODFLOW</w:t>
      </w:r>
      <w:r>
        <w:sym w:font="Symbol" w:char="F0AE"/>
      </w:r>
      <w:r>
        <w:t xml:space="preserve">Packages…) to </w:t>
      </w:r>
      <w:r w:rsidR="000A5920">
        <w:t>ex05</w:t>
      </w:r>
      <w:r>
        <w:t>.</w:t>
      </w:r>
    </w:p>
    <w:p w14:paraId="40EA0C89" w14:textId="73CDC6F2" w:rsidR="005742A9" w:rsidRDefault="005742A9" w:rsidP="005742A9">
      <w:pPr>
        <w:numPr>
          <w:ilvl w:val="0"/>
          <w:numId w:val="28"/>
        </w:numPr>
        <w:spacing w:after="360" w:line="360" w:lineRule="auto"/>
      </w:pPr>
      <w:r>
        <w:t>Recreate the model datasets (Model</w:t>
      </w:r>
      <w:r>
        <w:sym w:font="Symbol" w:char="F0AE"/>
      </w:r>
      <w:r>
        <w:t>MODFLOW2005</w:t>
      </w:r>
      <w:r>
        <w:sym w:font="Symbol" w:char="F0AE"/>
      </w:r>
      <w:r>
        <w:t>Create Datasets) and rerun the model (Model</w:t>
      </w:r>
      <w:r>
        <w:sym w:font="Symbol" w:char="F0AE"/>
      </w:r>
      <w:r>
        <w:t>MODFLOW2005</w:t>
      </w:r>
      <w:r>
        <w:sym w:font="Symbol" w:char="F0AE"/>
      </w:r>
      <w:r>
        <w:t>Run MODFLOW2005).</w:t>
      </w:r>
    </w:p>
    <w:p w14:paraId="6801D0C3" w14:textId="77F494D0" w:rsidR="005742A9" w:rsidRDefault="005742A9" w:rsidP="005742A9">
      <w:pPr>
        <w:numPr>
          <w:ilvl w:val="0"/>
          <w:numId w:val="28"/>
        </w:numPr>
        <w:spacing w:after="360" w:line="360" w:lineRule="auto"/>
      </w:pPr>
      <w:r>
        <w:t>Load the model results for stress period 1 and post the residuals on the plot (Plot</w:t>
      </w:r>
      <w:r>
        <w:sym w:font="Symbol" w:char="F0AE"/>
      </w:r>
      <w:r>
        <w:t>Calibration</w:t>
      </w:r>
      <w:r>
        <w:sym w:font="Symbol" w:char="F0AE"/>
      </w:r>
      <w:r>
        <w:t>Post Residuals). You may need to adjust the view options (Plot</w:t>
      </w:r>
      <w:r>
        <w:sym w:font="Symbol" w:char="F0AE"/>
      </w:r>
      <w:r>
        <w:t>Calibration</w:t>
      </w:r>
      <w:r>
        <w:sym w:font="Symbol" w:char="F0AE"/>
      </w:r>
      <w:r>
        <w:t xml:space="preserve">Options) to make the residual text easier to read. You should </w:t>
      </w:r>
      <w:r>
        <w:lastRenderedPageBreak/>
        <w:t>see something like the figure below.</w:t>
      </w:r>
      <w:r>
        <w:br/>
      </w:r>
      <w:r w:rsidRPr="005742A9">
        <w:rPr>
          <w:noProof/>
        </w:rPr>
        <w:drawing>
          <wp:inline distT="0" distB="0" distL="0" distR="0" wp14:anchorId="13AFD203" wp14:editId="551BCB68">
            <wp:extent cx="3282696"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2696" cy="5486400"/>
                    </a:xfrm>
                    <a:prstGeom prst="rect">
                      <a:avLst/>
                    </a:prstGeom>
                  </pic:spPr>
                </pic:pic>
              </a:graphicData>
            </a:graphic>
          </wp:inline>
        </w:drawing>
      </w:r>
    </w:p>
    <w:p w14:paraId="0995142B" w14:textId="64748D39" w:rsidR="00DB164E" w:rsidRDefault="005742A9" w:rsidP="005742A9">
      <w:pPr>
        <w:tabs>
          <w:tab w:val="left" w:pos="1080"/>
        </w:tabs>
        <w:spacing w:after="360" w:line="360" w:lineRule="auto"/>
        <w:ind w:left="1080" w:hanging="1080"/>
      </w:pPr>
      <w:r>
        <w:rPr>
          <w:b/>
          <w:bCs/>
        </w:rPr>
        <w:t xml:space="preserve">Part II. </w:t>
      </w:r>
      <w:r>
        <w:rPr>
          <w:b/>
          <w:bCs/>
        </w:rPr>
        <w:tab/>
        <w:t>Develop a zonation strategy</w:t>
      </w:r>
    </w:p>
    <w:p w14:paraId="57A29BF3" w14:textId="13716E5D" w:rsidR="005742A9" w:rsidRDefault="005742A9" w:rsidP="005742A9">
      <w:pPr>
        <w:numPr>
          <w:ilvl w:val="0"/>
          <w:numId w:val="42"/>
        </w:numPr>
        <w:spacing w:after="360" w:line="360" w:lineRule="auto"/>
      </w:pPr>
      <w:r>
        <w:t xml:space="preserve">One approach to model calibration is to subdivide parameter arrays into zones of constant values. Zones can be defined based on soil parameters, hydrogeologic properties, model residuals, etc. </w:t>
      </w:r>
      <w:r w:rsidR="002D10FB">
        <w:t>or a combination of these attributes.</w:t>
      </w:r>
      <w:r>
        <w:br/>
      </w:r>
      <w:r>
        <w:br/>
        <w:t>Inactive areas of the models represent bedrock outcrop areas</w:t>
      </w:r>
      <w:r w:rsidR="002D10FB">
        <w:t xml:space="preserve">. Bedrock outcrops also exist on the eastern, northern, and western edges of the model domain. In </w:t>
      </w:r>
      <w:r w:rsidR="002D10FB">
        <w:lastRenderedPageBreak/>
        <w:t>general, the river corridor transitions from coarser materials at the upstream end of the model domain (north) to finer grained materials at the downstream end of the model domain (south).</w:t>
      </w:r>
      <w:r w:rsidR="002D10FB">
        <w:br/>
      </w:r>
      <w:r w:rsidR="002D10FB">
        <w:br/>
        <w:t>Develop a proposed zonation for the hydraulic conductivity</w:t>
      </w:r>
      <w:r w:rsidR="000A5920">
        <w:t xml:space="preserve"> and proposed values for each zone</w:t>
      </w:r>
      <w:r w:rsidR="002D10FB">
        <w:t>.</w:t>
      </w:r>
      <w:r w:rsidR="000A5920">
        <w:t xml:space="preserve"> </w:t>
      </w:r>
      <w:r w:rsidR="002D10FB">
        <w:t xml:space="preserve"> </w:t>
      </w:r>
      <w:r w:rsidR="00EA452C">
        <w:t>Increasing the hydraulic conductivity in areas where the simulated head is above the observed head will generally decrease simulated heads. Conversely, decreasing the hydraulic conductivity will generally increase the simulated heads.</w:t>
      </w:r>
      <w:r w:rsidR="00374FFE">
        <w:br/>
      </w:r>
      <w:r w:rsidR="00374FFE">
        <w:br/>
        <w:t>Discuss your proposed zonation with the instructors.</w:t>
      </w:r>
      <w:r w:rsidR="00EA452C">
        <w:br/>
      </w:r>
      <w:r w:rsidR="00EA452C">
        <w:br/>
        <w:t>Question 1: What effect will changing the hydraulic conductivity in constant head cells have on heads in these cells? ____________________</w:t>
      </w:r>
      <w:r w:rsidR="00EA452C">
        <w:br/>
      </w:r>
    </w:p>
    <w:p w14:paraId="09E16D5C" w14:textId="16C66BCE" w:rsidR="00DE35FE" w:rsidRPr="007D4BDF" w:rsidRDefault="002D10FB" w:rsidP="00DE35FE">
      <w:pPr>
        <w:numPr>
          <w:ilvl w:val="0"/>
          <w:numId w:val="42"/>
        </w:numPr>
        <w:spacing w:after="360" w:line="360" w:lineRule="auto"/>
      </w:pPr>
      <w:r>
        <w:t xml:space="preserve">After </w:t>
      </w:r>
      <w:r w:rsidR="00EA5E9F">
        <w:t xml:space="preserve">developing a proposed zonation for the hydraulic conductivity in the model </w:t>
      </w:r>
      <w:r w:rsidR="000A5920">
        <w:t>use GWVistas to set parameter values in your</w:t>
      </w:r>
      <w:r w:rsidR="00EA452C">
        <w:t xml:space="preserve"> zones. To start modifying the hydraulic conductivity zonation activate the hydraulic conductivity property data (Props</w:t>
      </w:r>
      <w:r w:rsidR="00EA452C">
        <w:sym w:font="Symbol" w:char="F0AE"/>
      </w:r>
      <w:r w:rsidR="00EA452C">
        <w:t>Hydraulic Conductivity). Additional zones can be added using Props</w:t>
      </w:r>
      <w:r w:rsidR="00EA452C">
        <w:sym w:font="Symbol" w:char="F0AE"/>
      </w:r>
      <w:r w:rsidR="00EA452C">
        <w:t xml:space="preserve">Set Value or Zone. Property values can be set as single cells, in a window, along a polyline, or within a polygon (see figure below). </w:t>
      </w:r>
      <w:r w:rsidR="00EA452C">
        <w:br/>
      </w:r>
      <w:r w:rsidR="00EA452C">
        <w:br/>
      </w:r>
      <w:r w:rsidR="00EA452C" w:rsidRPr="00EA452C">
        <w:lastRenderedPageBreak/>
        <w:drawing>
          <wp:inline distT="0" distB="0" distL="0" distR="0" wp14:anchorId="28B3EAEB" wp14:editId="2A446F4F">
            <wp:extent cx="5486400" cy="309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2450"/>
                    </a:xfrm>
                    <a:prstGeom prst="rect">
                      <a:avLst/>
                    </a:prstGeom>
                  </pic:spPr>
                </pic:pic>
              </a:graphicData>
            </a:graphic>
          </wp:inline>
        </w:drawing>
      </w:r>
      <w:r w:rsidR="00EA452C">
        <w:br/>
      </w:r>
      <w:r w:rsidR="00EA452C">
        <w:br/>
        <w:t>For example, defining a zone using a polygon is shown below. The area in the polygon will be defined as zone 2.</w:t>
      </w:r>
      <w:r w:rsidR="00EA452C">
        <w:br/>
      </w:r>
      <w:r w:rsidR="00EA452C">
        <w:br/>
      </w:r>
      <w:r w:rsidR="00EA452C" w:rsidRPr="00EA452C">
        <w:drawing>
          <wp:inline distT="0" distB="0" distL="0" distR="0" wp14:anchorId="296A2E08" wp14:editId="5F74F20E">
            <wp:extent cx="3364992" cy="3657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4992" cy="3657600"/>
                    </a:xfrm>
                    <a:prstGeom prst="rect">
                      <a:avLst/>
                    </a:prstGeom>
                  </pic:spPr>
                </pic:pic>
              </a:graphicData>
            </a:graphic>
          </wp:inline>
        </w:drawing>
      </w:r>
      <w:r w:rsidR="00EA452C">
        <w:br/>
        <w:t xml:space="preserve">Next the value in zone 2 can be changed by modifying the value in the hydraulic </w:t>
      </w:r>
      <w:r w:rsidR="00EA452C">
        <w:lastRenderedPageBreak/>
        <w:t>conductivity property database (Props</w:t>
      </w:r>
      <w:r w:rsidR="00EA452C">
        <w:sym w:font="Symbol" w:char="F0AE"/>
      </w:r>
      <w:r w:rsidR="00EA452C">
        <w:t>Property Values</w:t>
      </w:r>
      <w:r w:rsidR="00EA452C">
        <w:sym w:font="Symbol" w:char="F0AE"/>
      </w:r>
      <w:r w:rsidR="00EA452C">
        <w:t>Database). In this case, the hydraulic conductivity in zone 2 will be set to 5 m/day.</w:t>
      </w:r>
      <w:r w:rsidR="00EA452C">
        <w:br/>
      </w:r>
      <w:r w:rsidR="00EA452C">
        <w:br/>
      </w:r>
      <w:r w:rsidR="00EA452C" w:rsidRPr="00EA452C">
        <w:drawing>
          <wp:inline distT="0" distB="0" distL="0" distR="0" wp14:anchorId="51CF8E6F" wp14:editId="75EFCCA7">
            <wp:extent cx="3456432"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6432" cy="2743200"/>
                    </a:xfrm>
                    <a:prstGeom prst="rect">
                      <a:avLst/>
                    </a:prstGeom>
                  </pic:spPr>
                </pic:pic>
              </a:graphicData>
            </a:graphic>
          </wp:inline>
        </w:drawing>
      </w:r>
      <w:r w:rsidR="00EA452C">
        <w:br/>
      </w:r>
      <w:r w:rsidR="00EA452C">
        <w:br/>
      </w:r>
      <w:r w:rsidR="00CE7D7D">
        <w:t>After resetting zone colors (</w:t>
      </w:r>
      <w:r w:rsidR="00CE7D7D">
        <w:t>Props</w:t>
      </w:r>
      <w:r w:rsidR="00CE7D7D">
        <w:sym w:font="Symbol" w:char="F0AE"/>
      </w:r>
      <w:r w:rsidR="00CE7D7D">
        <w:t>Property Values</w:t>
      </w:r>
      <w:r w:rsidR="00CE7D7D">
        <w:sym w:font="Symbol" w:char="F0AE"/>
      </w:r>
      <w:r w:rsidR="00CE7D7D">
        <w:t>Reset Zone Colors), the new zonation of hydraulic conductivity can be seen (shown below).</w:t>
      </w:r>
      <w:r w:rsidR="00CE7D7D">
        <w:br/>
      </w:r>
      <w:r w:rsidR="00CE7D7D" w:rsidRPr="00CE7D7D">
        <w:drawing>
          <wp:inline distT="0" distB="0" distL="0" distR="0" wp14:anchorId="179C1AD0" wp14:editId="47E0AEC0">
            <wp:extent cx="1911096"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096" cy="3657600"/>
                    </a:xfrm>
                    <a:prstGeom prst="rect">
                      <a:avLst/>
                    </a:prstGeom>
                  </pic:spPr>
                </pic:pic>
              </a:graphicData>
            </a:graphic>
          </wp:inline>
        </w:drawing>
      </w:r>
      <w:r w:rsidR="00CE7D7D">
        <w:br/>
      </w:r>
      <w:r w:rsidR="00CE7D7D">
        <w:lastRenderedPageBreak/>
        <w:t>Continue to follow this procedure to define to set the properties in all of your proposed zones</w:t>
      </w:r>
      <w:r w:rsidR="00EA29F2">
        <w:br/>
      </w:r>
    </w:p>
    <w:p w14:paraId="76A65BE9" w14:textId="4E26D17B" w:rsidR="00374FFE" w:rsidRDefault="00374FFE" w:rsidP="005742A9">
      <w:pPr>
        <w:numPr>
          <w:ilvl w:val="0"/>
          <w:numId w:val="42"/>
        </w:numPr>
        <w:spacing w:after="360" w:line="360" w:lineRule="auto"/>
      </w:pPr>
      <w:r>
        <w:t>After defining all of your zones and setting the parameters, rerun the model, load the results, and evaluate improvements to the model calibration.</w:t>
      </w:r>
      <w:r w:rsidR="002F3BA0">
        <w:t xml:space="preserve"> You should generate a calibration report during each calibration trial (Reports</w:t>
      </w:r>
      <w:r w:rsidR="002F3BA0">
        <w:sym w:font="Symbol" w:char="F0AE"/>
      </w:r>
      <w:r w:rsidR="002F3BA0">
        <w:t>Calibration</w:t>
      </w:r>
      <w:r w:rsidR="002F3BA0">
        <w:sym w:font="Symbol" w:char="F0AE"/>
      </w:r>
      <w:r w:rsidR="002F3BA0">
        <w:t>Target Residuals…) to gage improvements.</w:t>
      </w:r>
    </w:p>
    <w:p w14:paraId="44C69592" w14:textId="77777777" w:rsidR="00374FFE" w:rsidRDefault="00374FFE" w:rsidP="005742A9">
      <w:pPr>
        <w:numPr>
          <w:ilvl w:val="0"/>
          <w:numId w:val="42"/>
        </w:numPr>
        <w:spacing w:after="360" w:line="360" w:lineRule="auto"/>
      </w:pPr>
      <w:r>
        <w:t>After rerunning the model and evaluating the model calibration develop a plan for additional changes. Additional changes would include modification of the zone hydraulic conductivity values and possibly modification to the zonation.</w:t>
      </w:r>
    </w:p>
    <w:p w14:paraId="0F37AC6D" w14:textId="586DCD82" w:rsidR="00D8173F" w:rsidRDefault="00374FFE" w:rsidP="005742A9">
      <w:pPr>
        <w:numPr>
          <w:ilvl w:val="0"/>
          <w:numId w:val="42"/>
        </w:numPr>
        <w:spacing w:after="360" w:line="360" w:lineRule="auto"/>
      </w:pPr>
      <w:r>
        <w:t>Continue this process and develop the best calibrated model you can in an allotted 2</w:t>
      </w:r>
      <w:r w:rsidR="005412AB">
        <w:t>.5</w:t>
      </w:r>
      <w:r>
        <w:t xml:space="preserve"> hour period.</w:t>
      </w:r>
      <w:r w:rsidR="002F3BA0">
        <w:t xml:space="preserve"> The target root mean square error for the observation wells you should try to achieve for your calibration is </w:t>
      </w:r>
      <w:r w:rsidR="002F3BA0">
        <w:sym w:font="Symbol" w:char="F0BB"/>
      </w:r>
      <w:r w:rsidR="002F3BA0">
        <w:t>0.2 m. Please keep track of the number of calibration trials it takes for you to achieve “calibration”.</w:t>
      </w:r>
    </w:p>
    <w:p w14:paraId="7F27D5EC" w14:textId="7B36FB99" w:rsidR="00DB164E" w:rsidRPr="0012585C" w:rsidRDefault="00DB164E" w:rsidP="00DB164E">
      <w:pPr>
        <w:spacing w:after="360" w:line="360" w:lineRule="auto"/>
        <w:outlineLvl w:val="0"/>
        <w:rPr>
          <w:b/>
          <w:bCs/>
        </w:rPr>
      </w:pPr>
      <w:r>
        <w:rPr>
          <w:b/>
          <w:bCs/>
        </w:rPr>
        <w:t xml:space="preserve">Part II. </w:t>
      </w:r>
      <w:r w:rsidR="00F47768">
        <w:rPr>
          <w:b/>
          <w:bCs/>
        </w:rPr>
        <w:t>Summarize Model Calibration</w:t>
      </w:r>
    </w:p>
    <w:p w14:paraId="3013EF6C" w14:textId="0110FF9F" w:rsidR="00F47768" w:rsidRDefault="00456694" w:rsidP="00BD44E7">
      <w:pPr>
        <w:numPr>
          <w:ilvl w:val="0"/>
          <w:numId w:val="6"/>
        </w:numPr>
        <w:spacing w:after="360" w:line="360" w:lineRule="auto"/>
      </w:pPr>
      <w:r>
        <w:t>Provide your final calibrated hydraulic conductivity field to your instructors. A</w:t>
      </w:r>
      <w:r>
        <w:t>ctivate the hydraulic conductivity property data (Props</w:t>
      </w:r>
      <w:r>
        <w:sym w:font="Symbol" w:char="F0AE"/>
      </w:r>
      <w:r>
        <w:t>Hydraulic Conductivity</w:t>
      </w:r>
      <w:r>
        <w:t xml:space="preserve">) and export the data as a matrix file </w:t>
      </w:r>
      <w:r>
        <w:t>(Props</w:t>
      </w:r>
      <w:r>
        <w:sym w:font="Symbol" w:char="F0AE"/>
      </w:r>
      <w:r>
        <w:t>Export</w:t>
      </w:r>
      <w:r>
        <w:sym w:font="Symbol" w:char="F0AE"/>
      </w:r>
      <w:r>
        <w:t>Property Values (Matrix)…</w:t>
      </w:r>
      <w:r>
        <w:t>)</w:t>
      </w:r>
      <w:r>
        <w:t>. Name the file GroupNo_HK.dat, where GroupNo is your group number.</w:t>
      </w:r>
    </w:p>
    <w:p w14:paraId="042B2765" w14:textId="2B7AED44" w:rsidR="00456694" w:rsidRDefault="00456694" w:rsidP="00BD44E7">
      <w:pPr>
        <w:numPr>
          <w:ilvl w:val="0"/>
          <w:numId w:val="6"/>
        </w:numPr>
        <w:spacing w:after="360" w:line="360" w:lineRule="auto"/>
      </w:pPr>
      <w:r>
        <w:t xml:space="preserve">Provide the binary heads file (*.hds) for your final calibrated model. </w:t>
      </w:r>
      <w:r>
        <w:t>Prepend your group number (for example, GroupA) to your</w:t>
      </w:r>
      <w:r>
        <w:t xml:space="preserve"> binary heads file.</w:t>
      </w:r>
    </w:p>
    <w:p w14:paraId="25ED0EF0" w14:textId="53E61161" w:rsidR="005412AB" w:rsidRDefault="005412AB" w:rsidP="00BD44E7">
      <w:pPr>
        <w:numPr>
          <w:ilvl w:val="0"/>
          <w:numId w:val="6"/>
        </w:numPr>
        <w:spacing w:after="360" w:line="360" w:lineRule="auto"/>
      </w:pPr>
      <w:r>
        <w:t xml:space="preserve">Provide the total simulated river and constant head flow values for your final calibrated model to your instructors. </w:t>
      </w:r>
    </w:p>
    <w:p w14:paraId="45A3CD0C" w14:textId="571DE225" w:rsidR="005412AB" w:rsidRPr="0012585C" w:rsidRDefault="005412AB" w:rsidP="005412AB">
      <w:pPr>
        <w:spacing w:after="360" w:line="360" w:lineRule="auto"/>
        <w:outlineLvl w:val="0"/>
        <w:rPr>
          <w:b/>
          <w:bCs/>
        </w:rPr>
      </w:pPr>
      <w:r>
        <w:rPr>
          <w:b/>
          <w:bCs/>
        </w:rPr>
        <w:lastRenderedPageBreak/>
        <w:t>Part I</w:t>
      </w:r>
      <w:r w:rsidR="00D24A97">
        <w:rPr>
          <w:b/>
          <w:bCs/>
        </w:rPr>
        <w:t>I</w:t>
      </w:r>
      <w:bookmarkStart w:id="0" w:name="_GoBack"/>
      <w:bookmarkEnd w:id="0"/>
      <w:r>
        <w:rPr>
          <w:b/>
          <w:bCs/>
        </w:rPr>
        <w:t xml:space="preserve">I. </w:t>
      </w:r>
      <w:r>
        <w:rPr>
          <w:b/>
          <w:bCs/>
        </w:rPr>
        <w:t>Develop and Run the Prediction Model</w:t>
      </w:r>
    </w:p>
    <w:p w14:paraId="4AC38B4A" w14:textId="5698790F" w:rsidR="005412AB" w:rsidRDefault="005412AB" w:rsidP="005412AB">
      <w:pPr>
        <w:numPr>
          <w:ilvl w:val="0"/>
          <w:numId w:val="43"/>
        </w:numPr>
        <w:spacing w:after="360" w:line="360" w:lineRule="auto"/>
      </w:pPr>
      <w:r>
        <w:t xml:space="preserve">Save the </w:t>
      </w:r>
      <w:r>
        <w:t xml:space="preserve">current GWVistas </w:t>
      </w:r>
      <w:r>
        <w:t>file as a new GWVistas file (File</w:t>
      </w:r>
      <w:r>
        <w:sym w:font="Symbol" w:char="F0AE"/>
      </w:r>
      <w:r>
        <w:t>Save As…) in the exercises\Ex05 directory.</w:t>
      </w:r>
    </w:p>
    <w:p w14:paraId="4AC36754" w14:textId="414B6F85" w:rsidR="005412AB" w:rsidRDefault="005412AB" w:rsidP="005412AB">
      <w:pPr>
        <w:numPr>
          <w:ilvl w:val="0"/>
          <w:numId w:val="43"/>
        </w:numPr>
        <w:spacing w:after="360" w:line="360" w:lineRule="auto"/>
      </w:pPr>
      <w:r>
        <w:t xml:space="preserve">Change the </w:t>
      </w:r>
      <w:r w:rsidRPr="00DB14EA">
        <w:rPr>
          <w:u w:val="single"/>
        </w:rPr>
        <w:t>Root File Name</w:t>
      </w:r>
      <w:r>
        <w:t xml:space="preserve"> (Model</w:t>
      </w:r>
      <w:r>
        <w:sym w:font="Symbol" w:char="F0AE"/>
      </w:r>
      <w:r>
        <w:t>MODFLOW</w:t>
      </w:r>
      <w:r>
        <w:sym w:font="Symbol" w:char="F0AE"/>
      </w:r>
      <w:r>
        <w:t>Packages…) to ex05</w:t>
      </w:r>
      <w:r>
        <w:t>_prediction</w:t>
      </w:r>
      <w:r>
        <w:t>.</w:t>
      </w:r>
    </w:p>
    <w:p w14:paraId="7464BC99" w14:textId="46705916" w:rsidR="005412AB" w:rsidRDefault="005412AB" w:rsidP="005412AB">
      <w:pPr>
        <w:numPr>
          <w:ilvl w:val="0"/>
          <w:numId w:val="43"/>
        </w:numPr>
        <w:spacing w:after="360" w:line="360" w:lineRule="auto"/>
      </w:pPr>
      <w:r>
        <w:t xml:space="preserve">Add the pumping wells. Use the Analytical Element Well button on the Menu bar. </w:t>
      </w:r>
      <w:r w:rsidRPr="001805CD">
        <w:rPr>
          <w:noProof/>
        </w:rPr>
        <w:drawing>
          <wp:inline distT="0" distB="0" distL="0" distR="0" wp14:anchorId="0C78E4DF" wp14:editId="14F0F82F">
            <wp:extent cx="317500" cy="279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500" cy="279400"/>
                    </a:xfrm>
                    <a:prstGeom prst="rect">
                      <a:avLst/>
                    </a:prstGeom>
                  </pic:spPr>
                </pic:pic>
              </a:graphicData>
            </a:graphic>
          </wp:inline>
        </w:drawing>
      </w:r>
      <w:r>
        <w:t xml:space="preserve"> The specified pumping rates are listed below.</w:t>
      </w:r>
      <w:r>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5412AB" w14:paraId="54080BEC" w14:textId="77777777" w:rsidTr="001E1EA6">
        <w:trPr>
          <w:trHeight w:val="288"/>
          <w:jc w:val="center"/>
        </w:trPr>
        <w:tc>
          <w:tcPr>
            <w:tcW w:w="1152" w:type="dxa"/>
            <w:vAlign w:val="center"/>
          </w:tcPr>
          <w:p w14:paraId="57A4246E" w14:textId="77777777" w:rsidR="005412AB" w:rsidRPr="00E22ED1" w:rsidRDefault="005412AB" w:rsidP="001E1EA6">
            <w:pPr>
              <w:jc w:val="center"/>
              <w:rPr>
                <w:b/>
              </w:rPr>
            </w:pPr>
            <w:r w:rsidRPr="00E22ED1">
              <w:rPr>
                <w:b/>
              </w:rPr>
              <w:t>Layer</w:t>
            </w:r>
          </w:p>
        </w:tc>
        <w:tc>
          <w:tcPr>
            <w:tcW w:w="1152" w:type="dxa"/>
            <w:vAlign w:val="center"/>
          </w:tcPr>
          <w:p w14:paraId="4F166AB3" w14:textId="77777777" w:rsidR="005412AB" w:rsidRPr="00E22ED1" w:rsidRDefault="005412AB" w:rsidP="001E1EA6">
            <w:pPr>
              <w:jc w:val="center"/>
              <w:rPr>
                <w:b/>
              </w:rPr>
            </w:pPr>
            <w:r w:rsidRPr="00E22ED1">
              <w:rPr>
                <w:b/>
              </w:rPr>
              <w:t>Row</w:t>
            </w:r>
          </w:p>
        </w:tc>
        <w:tc>
          <w:tcPr>
            <w:tcW w:w="1152" w:type="dxa"/>
            <w:vAlign w:val="center"/>
          </w:tcPr>
          <w:p w14:paraId="2A082D98" w14:textId="77777777" w:rsidR="005412AB" w:rsidRPr="00E22ED1" w:rsidRDefault="005412AB" w:rsidP="001E1EA6">
            <w:pPr>
              <w:jc w:val="center"/>
              <w:rPr>
                <w:b/>
              </w:rPr>
            </w:pPr>
            <w:r w:rsidRPr="00E22ED1">
              <w:rPr>
                <w:b/>
              </w:rPr>
              <w:t>Column</w:t>
            </w:r>
          </w:p>
        </w:tc>
        <w:tc>
          <w:tcPr>
            <w:tcW w:w="1152" w:type="dxa"/>
            <w:vAlign w:val="center"/>
          </w:tcPr>
          <w:p w14:paraId="16C9EE86" w14:textId="77777777" w:rsidR="005412AB" w:rsidRPr="00E22ED1" w:rsidRDefault="005412AB" w:rsidP="001E1EA6">
            <w:pPr>
              <w:jc w:val="center"/>
              <w:rPr>
                <w:b/>
              </w:rPr>
            </w:pPr>
            <w:r>
              <w:rPr>
                <w:b/>
              </w:rPr>
              <w:t>Rate</w:t>
            </w:r>
          </w:p>
        </w:tc>
        <w:tc>
          <w:tcPr>
            <w:tcW w:w="250" w:type="dxa"/>
          </w:tcPr>
          <w:p w14:paraId="5BD03709" w14:textId="77777777" w:rsidR="005412AB" w:rsidRPr="00E22ED1" w:rsidRDefault="005412AB" w:rsidP="001E1EA6">
            <w:pPr>
              <w:jc w:val="center"/>
              <w:rPr>
                <w:b/>
              </w:rPr>
            </w:pPr>
          </w:p>
        </w:tc>
        <w:tc>
          <w:tcPr>
            <w:tcW w:w="1152" w:type="dxa"/>
            <w:vAlign w:val="center"/>
          </w:tcPr>
          <w:p w14:paraId="5DDC427D" w14:textId="77777777" w:rsidR="005412AB" w:rsidRPr="00E22ED1" w:rsidRDefault="005412AB" w:rsidP="001E1EA6">
            <w:pPr>
              <w:jc w:val="center"/>
              <w:rPr>
                <w:b/>
              </w:rPr>
            </w:pPr>
            <w:r w:rsidRPr="00E22ED1">
              <w:rPr>
                <w:b/>
              </w:rPr>
              <w:t>Layer</w:t>
            </w:r>
          </w:p>
        </w:tc>
        <w:tc>
          <w:tcPr>
            <w:tcW w:w="1152" w:type="dxa"/>
            <w:vAlign w:val="center"/>
          </w:tcPr>
          <w:p w14:paraId="65EF96AA" w14:textId="77777777" w:rsidR="005412AB" w:rsidRPr="00E22ED1" w:rsidRDefault="005412AB" w:rsidP="001E1EA6">
            <w:pPr>
              <w:jc w:val="center"/>
              <w:rPr>
                <w:b/>
              </w:rPr>
            </w:pPr>
            <w:r w:rsidRPr="00E22ED1">
              <w:rPr>
                <w:b/>
              </w:rPr>
              <w:t>Row</w:t>
            </w:r>
          </w:p>
        </w:tc>
        <w:tc>
          <w:tcPr>
            <w:tcW w:w="1152" w:type="dxa"/>
            <w:vAlign w:val="center"/>
          </w:tcPr>
          <w:p w14:paraId="3373EF1F" w14:textId="77777777" w:rsidR="005412AB" w:rsidRPr="00E22ED1" w:rsidRDefault="005412AB" w:rsidP="001E1EA6">
            <w:pPr>
              <w:jc w:val="center"/>
              <w:rPr>
                <w:b/>
              </w:rPr>
            </w:pPr>
            <w:r w:rsidRPr="00E22ED1">
              <w:rPr>
                <w:b/>
              </w:rPr>
              <w:t>Column</w:t>
            </w:r>
          </w:p>
        </w:tc>
        <w:tc>
          <w:tcPr>
            <w:tcW w:w="1152" w:type="dxa"/>
            <w:vAlign w:val="center"/>
          </w:tcPr>
          <w:p w14:paraId="01A9394E" w14:textId="77777777" w:rsidR="005412AB" w:rsidRPr="00E22ED1" w:rsidRDefault="005412AB" w:rsidP="001E1EA6">
            <w:pPr>
              <w:jc w:val="center"/>
              <w:rPr>
                <w:b/>
              </w:rPr>
            </w:pPr>
            <w:r>
              <w:rPr>
                <w:b/>
              </w:rPr>
              <w:t>Rate</w:t>
            </w:r>
          </w:p>
        </w:tc>
      </w:tr>
      <w:tr w:rsidR="005412AB" w14:paraId="2EA94988" w14:textId="77777777" w:rsidTr="001E1EA6">
        <w:trPr>
          <w:trHeight w:val="288"/>
          <w:jc w:val="center"/>
        </w:trPr>
        <w:tc>
          <w:tcPr>
            <w:tcW w:w="1152" w:type="dxa"/>
            <w:vAlign w:val="center"/>
          </w:tcPr>
          <w:p w14:paraId="53BE4B7B" w14:textId="77777777" w:rsidR="005412AB" w:rsidRDefault="005412AB" w:rsidP="001E1EA6">
            <w:pPr>
              <w:jc w:val="center"/>
            </w:pPr>
            <w:r>
              <w:t>1</w:t>
            </w:r>
          </w:p>
        </w:tc>
        <w:tc>
          <w:tcPr>
            <w:tcW w:w="1152" w:type="dxa"/>
            <w:vAlign w:val="center"/>
          </w:tcPr>
          <w:p w14:paraId="46627E75" w14:textId="77777777" w:rsidR="005412AB" w:rsidRDefault="005412AB" w:rsidP="001E1EA6">
            <w:pPr>
              <w:jc w:val="center"/>
            </w:pPr>
            <w:r>
              <w:t>9</w:t>
            </w:r>
          </w:p>
        </w:tc>
        <w:tc>
          <w:tcPr>
            <w:tcW w:w="1152" w:type="dxa"/>
            <w:vAlign w:val="center"/>
          </w:tcPr>
          <w:p w14:paraId="4B9A2100" w14:textId="77777777" w:rsidR="005412AB" w:rsidRDefault="005412AB" w:rsidP="001E1EA6">
            <w:pPr>
              <w:jc w:val="center"/>
            </w:pPr>
            <w:r>
              <w:t>16</w:t>
            </w:r>
          </w:p>
        </w:tc>
        <w:tc>
          <w:tcPr>
            <w:tcW w:w="1152" w:type="dxa"/>
            <w:vAlign w:val="center"/>
          </w:tcPr>
          <w:p w14:paraId="72F0D650" w14:textId="77777777" w:rsidR="005412AB" w:rsidRDefault="005412AB" w:rsidP="001E1EA6">
            <w:pPr>
              <w:jc w:val="center"/>
            </w:pPr>
            <w:r>
              <w:t>-708.48</w:t>
            </w:r>
          </w:p>
        </w:tc>
        <w:tc>
          <w:tcPr>
            <w:tcW w:w="250" w:type="dxa"/>
          </w:tcPr>
          <w:p w14:paraId="1C5AA8AF" w14:textId="77777777" w:rsidR="005412AB" w:rsidRPr="00E46930" w:rsidRDefault="005412AB" w:rsidP="001E1EA6">
            <w:pPr>
              <w:jc w:val="center"/>
            </w:pPr>
          </w:p>
        </w:tc>
        <w:tc>
          <w:tcPr>
            <w:tcW w:w="1152" w:type="dxa"/>
            <w:vAlign w:val="center"/>
          </w:tcPr>
          <w:p w14:paraId="5D061185" w14:textId="77777777" w:rsidR="005412AB" w:rsidRPr="00E46930" w:rsidRDefault="005412AB" w:rsidP="001E1EA6">
            <w:pPr>
              <w:jc w:val="center"/>
            </w:pPr>
            <w:r>
              <w:t>1</w:t>
            </w:r>
          </w:p>
        </w:tc>
        <w:tc>
          <w:tcPr>
            <w:tcW w:w="1152" w:type="dxa"/>
            <w:vAlign w:val="center"/>
          </w:tcPr>
          <w:p w14:paraId="4CDB1440" w14:textId="77777777" w:rsidR="005412AB" w:rsidRPr="00E46930" w:rsidRDefault="005412AB" w:rsidP="001E1EA6">
            <w:pPr>
              <w:jc w:val="center"/>
            </w:pPr>
            <w:r>
              <w:t>26</w:t>
            </w:r>
          </w:p>
        </w:tc>
        <w:tc>
          <w:tcPr>
            <w:tcW w:w="1152" w:type="dxa"/>
            <w:vAlign w:val="center"/>
          </w:tcPr>
          <w:p w14:paraId="0BA4BB89" w14:textId="77777777" w:rsidR="005412AB" w:rsidRPr="00E46930" w:rsidRDefault="005412AB" w:rsidP="001E1EA6">
            <w:pPr>
              <w:jc w:val="center"/>
            </w:pPr>
            <w:r>
              <w:t>10</w:t>
            </w:r>
          </w:p>
        </w:tc>
        <w:tc>
          <w:tcPr>
            <w:tcW w:w="1152" w:type="dxa"/>
            <w:vAlign w:val="center"/>
          </w:tcPr>
          <w:p w14:paraId="49BB39E8" w14:textId="77777777" w:rsidR="005412AB" w:rsidRPr="00E46930" w:rsidRDefault="005412AB" w:rsidP="001E1EA6">
            <w:pPr>
              <w:jc w:val="center"/>
            </w:pPr>
            <w:r w:rsidRPr="00B805E1">
              <w:t>-71.71</w:t>
            </w:r>
            <w:r>
              <w:t>2</w:t>
            </w:r>
          </w:p>
        </w:tc>
      </w:tr>
      <w:tr w:rsidR="005412AB" w14:paraId="23BB2EA3" w14:textId="77777777" w:rsidTr="001E1EA6">
        <w:trPr>
          <w:trHeight w:val="288"/>
          <w:jc w:val="center"/>
        </w:trPr>
        <w:tc>
          <w:tcPr>
            <w:tcW w:w="1152" w:type="dxa"/>
            <w:vAlign w:val="center"/>
          </w:tcPr>
          <w:p w14:paraId="2F76AE7D" w14:textId="77777777" w:rsidR="005412AB" w:rsidRDefault="005412AB" w:rsidP="001E1EA6">
            <w:pPr>
              <w:jc w:val="center"/>
            </w:pPr>
            <w:r>
              <w:t>1</w:t>
            </w:r>
          </w:p>
        </w:tc>
        <w:tc>
          <w:tcPr>
            <w:tcW w:w="1152" w:type="dxa"/>
            <w:vAlign w:val="center"/>
          </w:tcPr>
          <w:p w14:paraId="7710C135" w14:textId="77777777" w:rsidR="005412AB" w:rsidRDefault="005412AB" w:rsidP="001E1EA6">
            <w:pPr>
              <w:jc w:val="center"/>
            </w:pPr>
            <w:r>
              <w:t>11</w:t>
            </w:r>
          </w:p>
        </w:tc>
        <w:tc>
          <w:tcPr>
            <w:tcW w:w="1152" w:type="dxa"/>
            <w:vAlign w:val="center"/>
          </w:tcPr>
          <w:p w14:paraId="58D0F940" w14:textId="77777777" w:rsidR="005412AB" w:rsidRDefault="005412AB" w:rsidP="001E1EA6">
            <w:pPr>
              <w:jc w:val="center"/>
            </w:pPr>
            <w:r>
              <w:t>13</w:t>
            </w:r>
          </w:p>
        </w:tc>
        <w:tc>
          <w:tcPr>
            <w:tcW w:w="1152" w:type="dxa"/>
            <w:vAlign w:val="center"/>
          </w:tcPr>
          <w:p w14:paraId="63F6F4C6" w14:textId="77777777" w:rsidR="005412AB" w:rsidRDefault="005412AB" w:rsidP="001E1EA6">
            <w:pPr>
              <w:jc w:val="center"/>
            </w:pPr>
            <w:r w:rsidRPr="00B805E1">
              <w:t>-354.2</w:t>
            </w:r>
            <w:r>
              <w:t>4</w:t>
            </w:r>
          </w:p>
        </w:tc>
        <w:tc>
          <w:tcPr>
            <w:tcW w:w="250" w:type="dxa"/>
          </w:tcPr>
          <w:p w14:paraId="141938AF" w14:textId="77777777" w:rsidR="005412AB" w:rsidRPr="00E46930" w:rsidRDefault="005412AB" w:rsidP="001E1EA6">
            <w:pPr>
              <w:jc w:val="center"/>
            </w:pPr>
          </w:p>
        </w:tc>
        <w:tc>
          <w:tcPr>
            <w:tcW w:w="1152" w:type="dxa"/>
            <w:vAlign w:val="center"/>
          </w:tcPr>
          <w:p w14:paraId="26A04281" w14:textId="77777777" w:rsidR="005412AB" w:rsidRPr="00E46930" w:rsidRDefault="005412AB" w:rsidP="001E1EA6">
            <w:pPr>
              <w:jc w:val="center"/>
            </w:pPr>
            <w:r>
              <w:t>1</w:t>
            </w:r>
          </w:p>
        </w:tc>
        <w:tc>
          <w:tcPr>
            <w:tcW w:w="1152" w:type="dxa"/>
            <w:vAlign w:val="center"/>
          </w:tcPr>
          <w:p w14:paraId="6D2419CA" w14:textId="77777777" w:rsidR="005412AB" w:rsidRPr="00E46930" w:rsidRDefault="005412AB" w:rsidP="001E1EA6">
            <w:pPr>
              <w:jc w:val="center"/>
            </w:pPr>
            <w:r>
              <w:t>29</w:t>
            </w:r>
          </w:p>
        </w:tc>
        <w:tc>
          <w:tcPr>
            <w:tcW w:w="1152" w:type="dxa"/>
            <w:vAlign w:val="center"/>
          </w:tcPr>
          <w:p w14:paraId="1CFE4CCD" w14:textId="77777777" w:rsidR="005412AB" w:rsidRPr="00E46930" w:rsidRDefault="005412AB" w:rsidP="001E1EA6">
            <w:pPr>
              <w:jc w:val="center"/>
            </w:pPr>
            <w:r>
              <w:t>6</w:t>
            </w:r>
          </w:p>
        </w:tc>
        <w:tc>
          <w:tcPr>
            <w:tcW w:w="1152" w:type="dxa"/>
            <w:vAlign w:val="center"/>
          </w:tcPr>
          <w:p w14:paraId="62D51608" w14:textId="77777777" w:rsidR="005412AB" w:rsidRPr="00E46930" w:rsidRDefault="005412AB" w:rsidP="001E1EA6">
            <w:pPr>
              <w:jc w:val="center"/>
            </w:pPr>
            <w:r>
              <w:t>-62.208</w:t>
            </w:r>
          </w:p>
        </w:tc>
      </w:tr>
      <w:tr w:rsidR="005412AB" w14:paraId="53098A1E" w14:textId="77777777" w:rsidTr="001E1EA6">
        <w:trPr>
          <w:trHeight w:val="288"/>
          <w:jc w:val="center"/>
        </w:trPr>
        <w:tc>
          <w:tcPr>
            <w:tcW w:w="1152" w:type="dxa"/>
            <w:vAlign w:val="center"/>
          </w:tcPr>
          <w:p w14:paraId="5EF8F51C" w14:textId="77777777" w:rsidR="005412AB" w:rsidRDefault="005412AB" w:rsidP="001E1EA6">
            <w:pPr>
              <w:jc w:val="center"/>
            </w:pPr>
            <w:r>
              <w:t>1</w:t>
            </w:r>
          </w:p>
        </w:tc>
        <w:tc>
          <w:tcPr>
            <w:tcW w:w="1152" w:type="dxa"/>
            <w:vAlign w:val="center"/>
          </w:tcPr>
          <w:p w14:paraId="0FE02178" w14:textId="77777777" w:rsidR="005412AB" w:rsidRDefault="005412AB" w:rsidP="001E1EA6">
            <w:pPr>
              <w:jc w:val="center"/>
            </w:pPr>
            <w:r>
              <w:t>20</w:t>
            </w:r>
          </w:p>
        </w:tc>
        <w:tc>
          <w:tcPr>
            <w:tcW w:w="1152" w:type="dxa"/>
            <w:vAlign w:val="center"/>
          </w:tcPr>
          <w:p w14:paraId="2470BA75" w14:textId="77777777" w:rsidR="005412AB" w:rsidRDefault="005412AB" w:rsidP="001E1EA6">
            <w:pPr>
              <w:jc w:val="center"/>
            </w:pPr>
            <w:r>
              <w:t>14</w:t>
            </w:r>
          </w:p>
        </w:tc>
        <w:tc>
          <w:tcPr>
            <w:tcW w:w="1152" w:type="dxa"/>
            <w:vAlign w:val="center"/>
          </w:tcPr>
          <w:p w14:paraId="13ADE762" w14:textId="77777777" w:rsidR="005412AB" w:rsidRDefault="005412AB" w:rsidP="001E1EA6">
            <w:pPr>
              <w:jc w:val="center"/>
            </w:pPr>
            <w:r w:rsidRPr="00B805E1">
              <w:t>-336.9</w:t>
            </w:r>
            <w:r>
              <w:t>6</w:t>
            </w:r>
          </w:p>
        </w:tc>
        <w:tc>
          <w:tcPr>
            <w:tcW w:w="250" w:type="dxa"/>
          </w:tcPr>
          <w:p w14:paraId="11925C04" w14:textId="77777777" w:rsidR="005412AB" w:rsidRPr="00E46930" w:rsidRDefault="005412AB" w:rsidP="001E1EA6">
            <w:pPr>
              <w:jc w:val="center"/>
            </w:pPr>
          </w:p>
        </w:tc>
        <w:tc>
          <w:tcPr>
            <w:tcW w:w="1152" w:type="dxa"/>
            <w:vAlign w:val="center"/>
          </w:tcPr>
          <w:p w14:paraId="36E0CEE2" w14:textId="77777777" w:rsidR="005412AB" w:rsidRPr="00E46930" w:rsidRDefault="005412AB" w:rsidP="001E1EA6">
            <w:pPr>
              <w:jc w:val="center"/>
            </w:pPr>
            <w:r>
              <w:t>1</w:t>
            </w:r>
          </w:p>
        </w:tc>
        <w:tc>
          <w:tcPr>
            <w:tcW w:w="1152" w:type="dxa"/>
            <w:vAlign w:val="center"/>
          </w:tcPr>
          <w:p w14:paraId="696D8E3D" w14:textId="77777777" w:rsidR="005412AB" w:rsidRPr="00E46930" w:rsidRDefault="005412AB" w:rsidP="001E1EA6">
            <w:pPr>
              <w:jc w:val="center"/>
            </w:pPr>
            <w:r>
              <w:t>34</w:t>
            </w:r>
          </w:p>
        </w:tc>
        <w:tc>
          <w:tcPr>
            <w:tcW w:w="1152" w:type="dxa"/>
            <w:vAlign w:val="center"/>
          </w:tcPr>
          <w:p w14:paraId="2AF6A7B5" w14:textId="77777777" w:rsidR="005412AB" w:rsidRPr="00E46930" w:rsidRDefault="005412AB" w:rsidP="001E1EA6">
            <w:pPr>
              <w:jc w:val="center"/>
            </w:pPr>
            <w:r>
              <w:t>12</w:t>
            </w:r>
          </w:p>
        </w:tc>
        <w:tc>
          <w:tcPr>
            <w:tcW w:w="1152" w:type="dxa"/>
            <w:vAlign w:val="center"/>
          </w:tcPr>
          <w:p w14:paraId="538C93A9" w14:textId="77777777" w:rsidR="005412AB" w:rsidRPr="00E46930" w:rsidRDefault="005412AB" w:rsidP="001E1EA6">
            <w:pPr>
              <w:jc w:val="center"/>
            </w:pPr>
            <w:r>
              <w:t>-371.520</w:t>
            </w:r>
          </w:p>
        </w:tc>
      </w:tr>
    </w:tbl>
    <w:p w14:paraId="300484EE" w14:textId="77777777" w:rsidR="005412AB" w:rsidRDefault="005412AB" w:rsidP="005412AB">
      <w:pPr>
        <w:spacing w:after="360" w:line="360" w:lineRule="auto"/>
        <w:ind w:left="720"/>
      </w:pPr>
    </w:p>
    <w:p w14:paraId="19189699" w14:textId="2CC32F65" w:rsidR="005412AB" w:rsidRDefault="005412AB" w:rsidP="005412AB">
      <w:pPr>
        <w:numPr>
          <w:ilvl w:val="0"/>
          <w:numId w:val="43"/>
        </w:numPr>
        <w:spacing w:after="360" w:line="360" w:lineRule="auto"/>
      </w:pPr>
      <w:r>
        <w:t>Add the pumping wells (continued). Insert an analytical element well in the appropriate row and column location for the first well</w:t>
      </w:r>
      <w:r>
        <w:t xml:space="preserve">. </w:t>
      </w:r>
      <w:r>
        <w:t xml:space="preserve">Enter the pumping rate for </w:t>
      </w:r>
      <w:r>
        <w:lastRenderedPageBreak/>
        <w:t xml:space="preserve">the well as shown below and press </w:t>
      </w:r>
      <w:r w:rsidRPr="004C1A3B">
        <w:rPr>
          <w:u w:val="single"/>
        </w:rPr>
        <w:t>OK</w:t>
      </w:r>
      <w:r>
        <w:t>.</w:t>
      </w:r>
      <w:r>
        <w:br/>
      </w:r>
      <w:r w:rsidRPr="005412AB">
        <w:drawing>
          <wp:inline distT="0" distB="0" distL="0" distR="0" wp14:anchorId="56FDF8FA" wp14:editId="702B8B12">
            <wp:extent cx="3785616"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616" cy="3657600"/>
                    </a:xfrm>
                    <a:prstGeom prst="rect">
                      <a:avLst/>
                    </a:prstGeom>
                  </pic:spPr>
                </pic:pic>
              </a:graphicData>
            </a:graphic>
          </wp:inline>
        </w:drawing>
      </w:r>
    </w:p>
    <w:p w14:paraId="37FE23D9" w14:textId="70CD3EFB" w:rsidR="005412AB" w:rsidRDefault="005412AB" w:rsidP="005412AB">
      <w:pPr>
        <w:numPr>
          <w:ilvl w:val="0"/>
          <w:numId w:val="43"/>
        </w:numPr>
        <w:spacing w:after="360" w:line="360" w:lineRule="auto"/>
      </w:pPr>
      <w:r>
        <w:t>Add the pumping wells (continued).  Repeat these steps for all 6 of the pumping wells.</w:t>
      </w:r>
    </w:p>
    <w:p w14:paraId="41B43766" w14:textId="234DC80F" w:rsidR="005412AB" w:rsidRDefault="005412AB" w:rsidP="005412AB">
      <w:pPr>
        <w:numPr>
          <w:ilvl w:val="0"/>
          <w:numId w:val="43"/>
        </w:numPr>
        <w:spacing w:after="360" w:line="360" w:lineRule="auto"/>
      </w:pPr>
      <w:r>
        <w:t xml:space="preserve">Create the MODFLOW-2005 model datasets </w:t>
      </w:r>
      <w:r>
        <w:t>(</w:t>
      </w:r>
      <w:r>
        <w:t>Model</w:t>
      </w:r>
      <w:r>
        <w:sym w:font="Symbol" w:char="F0AE"/>
      </w:r>
      <w:r>
        <w:t>MODFLOW2005</w:t>
      </w:r>
      <w:r>
        <w:sym w:font="Symbol" w:char="F0AE"/>
      </w:r>
      <w:r>
        <w:t>Create Datasets</w:t>
      </w:r>
      <w:r>
        <w:t>) and run the model (</w:t>
      </w:r>
      <w:r>
        <w:t>Model</w:t>
      </w:r>
      <w:r>
        <w:sym w:font="Symbol" w:char="F0AE"/>
      </w:r>
      <w:r>
        <w:t>MODFLOW2005</w:t>
      </w:r>
      <w:r>
        <w:sym w:font="Symbol" w:char="F0AE"/>
      </w:r>
      <w:r>
        <w:t>Run MODFLOW2005</w:t>
      </w:r>
      <w:r>
        <w:t>)</w:t>
      </w:r>
      <w:r>
        <w:t>.</w:t>
      </w:r>
      <w:r w:rsidR="00153B3B">
        <w:t xml:space="preserve"> Load the model results.</w:t>
      </w:r>
    </w:p>
    <w:p w14:paraId="63982693" w14:textId="7419FD67" w:rsidR="00153B3B" w:rsidRDefault="00153B3B" w:rsidP="00153B3B">
      <w:pPr>
        <w:numPr>
          <w:ilvl w:val="0"/>
          <w:numId w:val="43"/>
        </w:numPr>
        <w:spacing w:after="360" w:line="360" w:lineRule="auto"/>
      </w:pPr>
      <w:r>
        <w:t xml:space="preserve">Provide the binary heads file (*.hds) for your </w:t>
      </w:r>
      <w:r>
        <w:t>prediction</w:t>
      </w:r>
      <w:r>
        <w:t xml:space="preserve"> model. Prepend your group number (for example, GroupA) to your binary heads file.</w:t>
      </w:r>
    </w:p>
    <w:p w14:paraId="68B99B26" w14:textId="1627A89F" w:rsidR="005412AB" w:rsidRDefault="00153B3B" w:rsidP="00153B3B">
      <w:pPr>
        <w:numPr>
          <w:ilvl w:val="0"/>
          <w:numId w:val="43"/>
        </w:numPr>
        <w:spacing w:after="360" w:line="360" w:lineRule="auto"/>
      </w:pPr>
      <w:r>
        <w:t xml:space="preserve">Provide the total simulated river and constant head flow values for your </w:t>
      </w:r>
      <w:r>
        <w:t>prediction model</w:t>
      </w:r>
      <w:r>
        <w:t xml:space="preserve"> to your instructors.</w:t>
      </w:r>
    </w:p>
    <w:sectPr w:rsidR="005412AB">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7DDFF" w14:textId="77777777" w:rsidR="00E4604A" w:rsidRDefault="00E4604A">
      <w:r>
        <w:separator/>
      </w:r>
    </w:p>
  </w:endnote>
  <w:endnote w:type="continuationSeparator" w:id="0">
    <w:p w14:paraId="656AD799" w14:textId="77777777" w:rsidR="00E4604A" w:rsidRDefault="00E46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2CB320B8" w:rsidR="009716FD" w:rsidRPr="002D52A8" w:rsidRDefault="00DB164E" w:rsidP="00DB164E">
    <w:pPr>
      <w:pStyle w:val="Footer"/>
      <w:tabs>
        <w:tab w:val="left" w:pos="5400"/>
      </w:tabs>
      <w:ind w:right="2880"/>
      <w:rPr>
        <w:i/>
        <w:sz w:val="20"/>
        <w:szCs w:val="20"/>
      </w:rPr>
    </w:pPr>
    <w:r>
      <w:rPr>
        <w:i/>
        <w:sz w:val="20"/>
        <w:szCs w:val="20"/>
      </w:rPr>
      <w:t xml:space="preserve">Exercise </w:t>
    </w:r>
    <w:r w:rsidR="00B67D74">
      <w:rPr>
        <w:i/>
        <w:sz w:val="20"/>
        <w:szCs w:val="20"/>
      </w:rPr>
      <w:t>0</w:t>
    </w:r>
    <w:r w:rsidR="00153B3B">
      <w:rPr>
        <w:i/>
        <w:sz w:val="20"/>
        <w:szCs w:val="20"/>
      </w:rPr>
      <w:t>5</w:t>
    </w:r>
    <w:r w:rsidRPr="002D52A8">
      <w:rPr>
        <w:i/>
        <w:sz w:val="20"/>
        <w:szCs w:val="20"/>
      </w:rPr>
      <w:t xml:space="preserve">. </w:t>
    </w:r>
    <w:r w:rsidR="00E22ED1">
      <w:rPr>
        <w:i/>
        <w:sz w:val="20"/>
        <w:szCs w:val="20"/>
      </w:rPr>
      <w:t>Class project model</w:t>
    </w:r>
    <w:r w:rsidR="00153B3B">
      <w:rPr>
        <w:i/>
        <w:sz w:val="20"/>
        <w:szCs w:val="20"/>
      </w:rPr>
      <w:t xml:space="preserve"> calibration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49621" w14:textId="77777777" w:rsidR="00E4604A" w:rsidRDefault="00E4604A">
      <w:r>
        <w:separator/>
      </w:r>
    </w:p>
  </w:footnote>
  <w:footnote w:type="continuationSeparator" w:id="0">
    <w:p w14:paraId="3CEB0F37" w14:textId="77777777" w:rsidR="00E4604A" w:rsidRDefault="00E46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EA5A52"/>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535860"/>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69520C"/>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D985E69"/>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AB0530"/>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6"/>
  </w:num>
  <w:num w:numId="4">
    <w:abstractNumId w:val="17"/>
  </w:num>
  <w:num w:numId="5">
    <w:abstractNumId w:val="29"/>
  </w:num>
  <w:num w:numId="6">
    <w:abstractNumId w:val="8"/>
  </w:num>
  <w:num w:numId="7">
    <w:abstractNumId w:val="22"/>
  </w:num>
  <w:num w:numId="8">
    <w:abstractNumId w:val="34"/>
  </w:num>
  <w:num w:numId="9">
    <w:abstractNumId w:val="39"/>
  </w:num>
  <w:num w:numId="10">
    <w:abstractNumId w:val="15"/>
  </w:num>
  <w:num w:numId="11">
    <w:abstractNumId w:val="5"/>
  </w:num>
  <w:num w:numId="12">
    <w:abstractNumId w:val="32"/>
  </w:num>
  <w:num w:numId="13">
    <w:abstractNumId w:val="24"/>
  </w:num>
  <w:num w:numId="14">
    <w:abstractNumId w:val="0"/>
  </w:num>
  <w:num w:numId="15">
    <w:abstractNumId w:val="12"/>
  </w:num>
  <w:num w:numId="16">
    <w:abstractNumId w:val="13"/>
  </w:num>
  <w:num w:numId="17">
    <w:abstractNumId w:val="36"/>
  </w:num>
  <w:num w:numId="18">
    <w:abstractNumId w:val="2"/>
  </w:num>
  <w:num w:numId="19">
    <w:abstractNumId w:val="28"/>
  </w:num>
  <w:num w:numId="20">
    <w:abstractNumId w:val="38"/>
  </w:num>
  <w:num w:numId="21">
    <w:abstractNumId w:val="37"/>
  </w:num>
  <w:num w:numId="22">
    <w:abstractNumId w:val="33"/>
  </w:num>
  <w:num w:numId="23">
    <w:abstractNumId w:val="9"/>
  </w:num>
  <w:num w:numId="24">
    <w:abstractNumId w:val="23"/>
  </w:num>
  <w:num w:numId="25">
    <w:abstractNumId w:val="7"/>
  </w:num>
  <w:num w:numId="26">
    <w:abstractNumId w:val="26"/>
  </w:num>
  <w:num w:numId="27">
    <w:abstractNumId w:val="40"/>
  </w:num>
  <w:num w:numId="28">
    <w:abstractNumId w:val="1"/>
  </w:num>
  <w:num w:numId="29">
    <w:abstractNumId w:val="41"/>
  </w:num>
  <w:num w:numId="30">
    <w:abstractNumId w:val="21"/>
  </w:num>
  <w:num w:numId="31">
    <w:abstractNumId w:val="27"/>
  </w:num>
  <w:num w:numId="32">
    <w:abstractNumId w:val="31"/>
  </w:num>
  <w:num w:numId="33">
    <w:abstractNumId w:val="25"/>
  </w:num>
  <w:num w:numId="34">
    <w:abstractNumId w:val="3"/>
  </w:num>
  <w:num w:numId="35">
    <w:abstractNumId w:val="11"/>
  </w:num>
  <w:num w:numId="36">
    <w:abstractNumId w:val="35"/>
  </w:num>
  <w:num w:numId="37">
    <w:abstractNumId w:val="42"/>
  </w:num>
  <w:num w:numId="38">
    <w:abstractNumId w:val="10"/>
  </w:num>
  <w:num w:numId="39">
    <w:abstractNumId w:val="14"/>
  </w:num>
  <w:num w:numId="40">
    <w:abstractNumId w:val="18"/>
  </w:num>
  <w:num w:numId="41">
    <w:abstractNumId w:val="16"/>
  </w:num>
  <w:num w:numId="42">
    <w:abstractNumId w:val="3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2343D"/>
    <w:rsid w:val="00034586"/>
    <w:rsid w:val="00047780"/>
    <w:rsid w:val="00051756"/>
    <w:rsid w:val="00054821"/>
    <w:rsid w:val="00065668"/>
    <w:rsid w:val="000704C7"/>
    <w:rsid w:val="00082002"/>
    <w:rsid w:val="000A5920"/>
    <w:rsid w:val="000A6965"/>
    <w:rsid w:val="000C52FE"/>
    <w:rsid w:val="000D0D2B"/>
    <w:rsid w:val="000E64BC"/>
    <w:rsid w:val="000F0D24"/>
    <w:rsid w:val="00102CA0"/>
    <w:rsid w:val="00112CC9"/>
    <w:rsid w:val="001156E7"/>
    <w:rsid w:val="001176B4"/>
    <w:rsid w:val="00117B3C"/>
    <w:rsid w:val="001376F6"/>
    <w:rsid w:val="00140664"/>
    <w:rsid w:val="0014091D"/>
    <w:rsid w:val="00153B3B"/>
    <w:rsid w:val="00163FDF"/>
    <w:rsid w:val="00175377"/>
    <w:rsid w:val="001805CD"/>
    <w:rsid w:val="001830F7"/>
    <w:rsid w:val="001877DB"/>
    <w:rsid w:val="00192DE2"/>
    <w:rsid w:val="001A7EC2"/>
    <w:rsid w:val="001B07CB"/>
    <w:rsid w:val="001B19DC"/>
    <w:rsid w:val="001B28FA"/>
    <w:rsid w:val="001B71EB"/>
    <w:rsid w:val="001C7E08"/>
    <w:rsid w:val="001D10EB"/>
    <w:rsid w:val="00200657"/>
    <w:rsid w:val="00201E76"/>
    <w:rsid w:val="002113E6"/>
    <w:rsid w:val="00240D31"/>
    <w:rsid w:val="00260103"/>
    <w:rsid w:val="00266347"/>
    <w:rsid w:val="00266701"/>
    <w:rsid w:val="002717AE"/>
    <w:rsid w:val="002813B2"/>
    <w:rsid w:val="00283756"/>
    <w:rsid w:val="00294673"/>
    <w:rsid w:val="00297874"/>
    <w:rsid w:val="002A2494"/>
    <w:rsid w:val="002A5B92"/>
    <w:rsid w:val="002A76E2"/>
    <w:rsid w:val="002B2241"/>
    <w:rsid w:val="002D10FB"/>
    <w:rsid w:val="002D52A8"/>
    <w:rsid w:val="002E0552"/>
    <w:rsid w:val="002F3244"/>
    <w:rsid w:val="002F3BA0"/>
    <w:rsid w:val="002F7827"/>
    <w:rsid w:val="0030053B"/>
    <w:rsid w:val="00300D83"/>
    <w:rsid w:val="00301E2D"/>
    <w:rsid w:val="003021F4"/>
    <w:rsid w:val="0030719C"/>
    <w:rsid w:val="003242EE"/>
    <w:rsid w:val="00326CE9"/>
    <w:rsid w:val="0034061E"/>
    <w:rsid w:val="00345C0B"/>
    <w:rsid w:val="003530CC"/>
    <w:rsid w:val="0037290C"/>
    <w:rsid w:val="00374FFE"/>
    <w:rsid w:val="00383EF0"/>
    <w:rsid w:val="0039565D"/>
    <w:rsid w:val="003A0161"/>
    <w:rsid w:val="003A33DB"/>
    <w:rsid w:val="003A38A0"/>
    <w:rsid w:val="003A41EE"/>
    <w:rsid w:val="003A4484"/>
    <w:rsid w:val="003B3312"/>
    <w:rsid w:val="003B5A8A"/>
    <w:rsid w:val="003E418F"/>
    <w:rsid w:val="003F49C5"/>
    <w:rsid w:val="00407074"/>
    <w:rsid w:val="0040717C"/>
    <w:rsid w:val="00407470"/>
    <w:rsid w:val="00410B7D"/>
    <w:rsid w:val="00412D73"/>
    <w:rsid w:val="00414566"/>
    <w:rsid w:val="00421505"/>
    <w:rsid w:val="00435E06"/>
    <w:rsid w:val="00446F60"/>
    <w:rsid w:val="00447282"/>
    <w:rsid w:val="00456694"/>
    <w:rsid w:val="004A2BE5"/>
    <w:rsid w:val="004B12FB"/>
    <w:rsid w:val="004B1DEC"/>
    <w:rsid w:val="004C1A3B"/>
    <w:rsid w:val="004C40DA"/>
    <w:rsid w:val="004D6D5D"/>
    <w:rsid w:val="00503768"/>
    <w:rsid w:val="00516E0E"/>
    <w:rsid w:val="005320AC"/>
    <w:rsid w:val="005412AB"/>
    <w:rsid w:val="005435AA"/>
    <w:rsid w:val="00543906"/>
    <w:rsid w:val="0054495A"/>
    <w:rsid w:val="0054740C"/>
    <w:rsid w:val="00550566"/>
    <w:rsid w:val="00551106"/>
    <w:rsid w:val="00560245"/>
    <w:rsid w:val="005742A9"/>
    <w:rsid w:val="00574819"/>
    <w:rsid w:val="00585992"/>
    <w:rsid w:val="00592A00"/>
    <w:rsid w:val="005A495D"/>
    <w:rsid w:val="005C1B86"/>
    <w:rsid w:val="005C539F"/>
    <w:rsid w:val="005D3C99"/>
    <w:rsid w:val="005D63EB"/>
    <w:rsid w:val="005E50F0"/>
    <w:rsid w:val="005E789E"/>
    <w:rsid w:val="005F0BC6"/>
    <w:rsid w:val="0061595A"/>
    <w:rsid w:val="00631B79"/>
    <w:rsid w:val="006373D0"/>
    <w:rsid w:val="00637F1D"/>
    <w:rsid w:val="00640B43"/>
    <w:rsid w:val="006508BC"/>
    <w:rsid w:val="00651655"/>
    <w:rsid w:val="006574A4"/>
    <w:rsid w:val="00687384"/>
    <w:rsid w:val="006B532B"/>
    <w:rsid w:val="006C1F88"/>
    <w:rsid w:val="006C6F94"/>
    <w:rsid w:val="006D07D5"/>
    <w:rsid w:val="006D10C0"/>
    <w:rsid w:val="006D5F20"/>
    <w:rsid w:val="00745D97"/>
    <w:rsid w:val="007514D2"/>
    <w:rsid w:val="00752DFA"/>
    <w:rsid w:val="00752F59"/>
    <w:rsid w:val="00774D85"/>
    <w:rsid w:val="007811B1"/>
    <w:rsid w:val="00783C8D"/>
    <w:rsid w:val="007A5901"/>
    <w:rsid w:val="007B2BFA"/>
    <w:rsid w:val="007B2F39"/>
    <w:rsid w:val="007B30BB"/>
    <w:rsid w:val="007D0F9E"/>
    <w:rsid w:val="007D4BDF"/>
    <w:rsid w:val="007F1917"/>
    <w:rsid w:val="007F2650"/>
    <w:rsid w:val="007F302B"/>
    <w:rsid w:val="007F3849"/>
    <w:rsid w:val="008036C6"/>
    <w:rsid w:val="00822049"/>
    <w:rsid w:val="0084271E"/>
    <w:rsid w:val="00846AA9"/>
    <w:rsid w:val="00852166"/>
    <w:rsid w:val="00883EBE"/>
    <w:rsid w:val="008864F7"/>
    <w:rsid w:val="008A4653"/>
    <w:rsid w:val="008B51C2"/>
    <w:rsid w:val="008B6912"/>
    <w:rsid w:val="008C20E5"/>
    <w:rsid w:val="008C508C"/>
    <w:rsid w:val="008D0C17"/>
    <w:rsid w:val="008E02D1"/>
    <w:rsid w:val="008E3845"/>
    <w:rsid w:val="008E76E1"/>
    <w:rsid w:val="008E7C89"/>
    <w:rsid w:val="008F06EE"/>
    <w:rsid w:val="009018A2"/>
    <w:rsid w:val="00916C67"/>
    <w:rsid w:val="009322AA"/>
    <w:rsid w:val="009536B8"/>
    <w:rsid w:val="0096326D"/>
    <w:rsid w:val="009716FD"/>
    <w:rsid w:val="00996EAB"/>
    <w:rsid w:val="009B224C"/>
    <w:rsid w:val="009C6579"/>
    <w:rsid w:val="009D5A01"/>
    <w:rsid w:val="009F476A"/>
    <w:rsid w:val="00A03164"/>
    <w:rsid w:val="00A12AA7"/>
    <w:rsid w:val="00A32E93"/>
    <w:rsid w:val="00A514E0"/>
    <w:rsid w:val="00A80C4C"/>
    <w:rsid w:val="00AA1186"/>
    <w:rsid w:val="00AA157C"/>
    <w:rsid w:val="00AA1C8F"/>
    <w:rsid w:val="00AA258D"/>
    <w:rsid w:val="00AB49B4"/>
    <w:rsid w:val="00AE2797"/>
    <w:rsid w:val="00AE4FCC"/>
    <w:rsid w:val="00AF1F04"/>
    <w:rsid w:val="00AF3229"/>
    <w:rsid w:val="00AF6213"/>
    <w:rsid w:val="00B03CED"/>
    <w:rsid w:val="00B13762"/>
    <w:rsid w:val="00B159B2"/>
    <w:rsid w:val="00B165B7"/>
    <w:rsid w:val="00B20C1C"/>
    <w:rsid w:val="00B24DC3"/>
    <w:rsid w:val="00B51C0C"/>
    <w:rsid w:val="00B67247"/>
    <w:rsid w:val="00B67D74"/>
    <w:rsid w:val="00B70514"/>
    <w:rsid w:val="00B9735D"/>
    <w:rsid w:val="00BA0862"/>
    <w:rsid w:val="00BA54DF"/>
    <w:rsid w:val="00BB5461"/>
    <w:rsid w:val="00BC6BD4"/>
    <w:rsid w:val="00BD44E7"/>
    <w:rsid w:val="00BF0A97"/>
    <w:rsid w:val="00BF68D2"/>
    <w:rsid w:val="00C150A8"/>
    <w:rsid w:val="00C16FAA"/>
    <w:rsid w:val="00C32FFE"/>
    <w:rsid w:val="00C64F2A"/>
    <w:rsid w:val="00C64FFE"/>
    <w:rsid w:val="00C737B0"/>
    <w:rsid w:val="00C77E1A"/>
    <w:rsid w:val="00C844A8"/>
    <w:rsid w:val="00C937EA"/>
    <w:rsid w:val="00CB27CE"/>
    <w:rsid w:val="00CB28B0"/>
    <w:rsid w:val="00CB53B3"/>
    <w:rsid w:val="00CB7CA1"/>
    <w:rsid w:val="00CD2E63"/>
    <w:rsid w:val="00CE621F"/>
    <w:rsid w:val="00CE7D7D"/>
    <w:rsid w:val="00D0517C"/>
    <w:rsid w:val="00D23C94"/>
    <w:rsid w:val="00D24A97"/>
    <w:rsid w:val="00D33808"/>
    <w:rsid w:val="00D41D58"/>
    <w:rsid w:val="00D4735B"/>
    <w:rsid w:val="00D578DA"/>
    <w:rsid w:val="00D8173F"/>
    <w:rsid w:val="00D97046"/>
    <w:rsid w:val="00DB0E2D"/>
    <w:rsid w:val="00DB164E"/>
    <w:rsid w:val="00DB5CD9"/>
    <w:rsid w:val="00DB7227"/>
    <w:rsid w:val="00DE220C"/>
    <w:rsid w:val="00DE2D0E"/>
    <w:rsid w:val="00DE35FE"/>
    <w:rsid w:val="00DF45CB"/>
    <w:rsid w:val="00E0047F"/>
    <w:rsid w:val="00E16890"/>
    <w:rsid w:val="00E207F2"/>
    <w:rsid w:val="00E22A9D"/>
    <w:rsid w:val="00E22ED1"/>
    <w:rsid w:val="00E4604A"/>
    <w:rsid w:val="00E4736D"/>
    <w:rsid w:val="00E547C0"/>
    <w:rsid w:val="00E55B8E"/>
    <w:rsid w:val="00EA29F2"/>
    <w:rsid w:val="00EA4330"/>
    <w:rsid w:val="00EA452C"/>
    <w:rsid w:val="00EA5E9F"/>
    <w:rsid w:val="00EC6C73"/>
    <w:rsid w:val="00ED05E2"/>
    <w:rsid w:val="00ED249D"/>
    <w:rsid w:val="00ED3BDA"/>
    <w:rsid w:val="00EF3045"/>
    <w:rsid w:val="00F150C5"/>
    <w:rsid w:val="00F1763E"/>
    <w:rsid w:val="00F47768"/>
    <w:rsid w:val="00F50863"/>
    <w:rsid w:val="00F51728"/>
    <w:rsid w:val="00F52A26"/>
    <w:rsid w:val="00F93729"/>
    <w:rsid w:val="00FA677C"/>
    <w:rsid w:val="00FA7F2D"/>
    <w:rsid w:val="00FB0F6F"/>
    <w:rsid w:val="00FB5DB1"/>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 w:type="paragraph" w:styleId="ListParagraph">
    <w:name w:val="List Paragraph"/>
    <w:basedOn w:val="Normal"/>
    <w:uiPriority w:val="34"/>
    <w:qFormat/>
    <w:rsid w:val="00D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6DA34-5A75-E64D-BD67-233376CF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Hughes, Joseph D</cp:lastModifiedBy>
  <cp:revision>30</cp:revision>
  <cp:lastPrinted>2010-04-19T20:44:00Z</cp:lastPrinted>
  <dcterms:created xsi:type="dcterms:W3CDTF">2018-07-20T17:31:00Z</dcterms:created>
  <dcterms:modified xsi:type="dcterms:W3CDTF">2018-08-17T19:44:00Z</dcterms:modified>
</cp:coreProperties>
</file>