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6A6510CA" w14:textId="77777777" w:rsidR="007D32AA" w:rsidRPr="007D32AA" w:rsidRDefault="00DB164E" w:rsidP="007D32AA">
      <w:pPr>
        <w:pStyle w:val="Title"/>
        <w:spacing w:after="360" w:line="360" w:lineRule="auto"/>
        <w:outlineLvl w:val="0"/>
      </w:pPr>
      <w:r>
        <w:t xml:space="preserve">Exercise </w:t>
      </w:r>
      <w:r w:rsidR="007D32AA">
        <w:t>8</w:t>
      </w:r>
      <w:r>
        <w:t xml:space="preserve">. </w:t>
      </w:r>
      <w:r w:rsidR="007D32AA" w:rsidRPr="007D32AA">
        <w:t>Simulating advective and dispersive movement of a contaminant plume</w:t>
      </w:r>
    </w:p>
    <w:p w14:paraId="05B075CE" w14:textId="6A877A20" w:rsidR="00DB164E" w:rsidRDefault="00DB164E" w:rsidP="00DB164E">
      <w:pPr>
        <w:pStyle w:val="Title"/>
        <w:spacing w:after="360" w:line="360" w:lineRule="auto"/>
        <w:outlineLvl w:val="0"/>
      </w:pP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44024B91" w:rsidR="00DB164E" w:rsidRDefault="00DB164E" w:rsidP="00DB164E">
      <w:pPr>
        <w:spacing w:after="360" w:line="360" w:lineRule="auto"/>
      </w:pPr>
      <w:r>
        <w:tab/>
        <w:t xml:space="preserve">The purpose of this exercise is </w:t>
      </w:r>
      <w:r w:rsidR="007D32AA">
        <w:t>to use MT3D to simulate the transport of a solute</w:t>
      </w:r>
      <w:r w:rsidR="00B67D74">
        <w:t>.</w:t>
      </w:r>
    </w:p>
    <w:p w14:paraId="4B0E95C9" w14:textId="0F0E9B7E"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7D32AA">
        <w:rPr>
          <w:b/>
          <w:bCs/>
        </w:rPr>
        <w:t xml:space="preserve">Simulate </w:t>
      </w:r>
      <w:r w:rsidR="0054481D">
        <w:rPr>
          <w:b/>
          <w:bCs/>
        </w:rPr>
        <w:t>A</w:t>
      </w:r>
      <w:r w:rsidR="007D32AA">
        <w:rPr>
          <w:b/>
          <w:bCs/>
        </w:rPr>
        <w:t xml:space="preserve">dvective </w:t>
      </w:r>
      <w:r w:rsidR="0054481D">
        <w:rPr>
          <w:b/>
          <w:bCs/>
        </w:rPr>
        <w:t>T</w:t>
      </w:r>
      <w:r w:rsidR="007D32AA">
        <w:rPr>
          <w:b/>
          <w:bCs/>
        </w:rPr>
        <w:t>ransport</w:t>
      </w:r>
      <w:r w:rsidR="008076C5">
        <w:rPr>
          <w:b/>
          <w:bCs/>
        </w:rPr>
        <w:t xml:space="preserve"> using MT3D</w:t>
      </w:r>
    </w:p>
    <w:p w14:paraId="5233B8B6" w14:textId="52954D9B" w:rsidR="000F7774" w:rsidRDefault="00EE2227" w:rsidP="007D32AA">
      <w:pPr>
        <w:numPr>
          <w:ilvl w:val="0"/>
          <w:numId w:val="28"/>
        </w:numPr>
        <w:spacing w:after="360" w:line="360" w:lineRule="auto"/>
      </w:pPr>
      <w:r>
        <w:t>Copy the Groundwater Vista file that you created in Exercise 05 into the ex08 folder.  Open up this file, and make sure to change the paths to models to the ex08 folder.</w:t>
      </w:r>
    </w:p>
    <w:p w14:paraId="44CF20A1" w14:textId="6E756C9A" w:rsidR="00EE2227" w:rsidRDefault="00EE2227" w:rsidP="007D32AA">
      <w:pPr>
        <w:numPr>
          <w:ilvl w:val="0"/>
          <w:numId w:val="28"/>
        </w:numPr>
        <w:spacing w:after="360" w:line="360" w:lineRule="auto"/>
      </w:pPr>
      <w:r>
        <w:t>We are going to simulate solute transport for a 10-year period.  Change the period length of stress period one to 10 years.</w:t>
      </w:r>
      <w:r w:rsidR="00457A59">
        <w:t xml:space="preserve">  This is set in the Model&gt;MODFLOW&gt;Stress Period Setup box.</w:t>
      </w:r>
    </w:p>
    <w:p w14:paraId="51CEB3A9" w14:textId="4C48D283" w:rsidR="004A08AC" w:rsidRDefault="004A08AC" w:rsidP="007D32AA">
      <w:pPr>
        <w:numPr>
          <w:ilvl w:val="0"/>
          <w:numId w:val="28"/>
        </w:numPr>
        <w:spacing w:after="360" w:line="360" w:lineRule="auto"/>
      </w:pPr>
      <w:r>
        <w:t>In order to use MT3D, we need MODFLOW to save all of the flows in a special file that can be read by MT3D.  For MODFLOW to create this file, you turn on the MT3D Flow Output, which can be found under the Model&gt;</w:t>
      </w:r>
      <w:proofErr w:type="spellStart"/>
      <w:r>
        <w:t>Modflow</w:t>
      </w:r>
      <w:proofErr w:type="spellEnd"/>
      <w:r>
        <w:t>&gt;Packages menu.</w:t>
      </w:r>
    </w:p>
    <w:p w14:paraId="35B1472F" w14:textId="79D3CF20" w:rsidR="00361B55" w:rsidRDefault="00E9765A" w:rsidP="007D32AA">
      <w:pPr>
        <w:numPr>
          <w:ilvl w:val="0"/>
          <w:numId w:val="28"/>
        </w:numPr>
        <w:spacing w:after="360" w:line="360" w:lineRule="auto"/>
      </w:pPr>
      <w:r>
        <w:t>Run the flow model.</w:t>
      </w:r>
    </w:p>
    <w:p w14:paraId="2F442586" w14:textId="05478E9D" w:rsidR="00DB164E" w:rsidRDefault="001631C7" w:rsidP="004A26B2">
      <w:pPr>
        <w:numPr>
          <w:ilvl w:val="0"/>
          <w:numId w:val="28"/>
        </w:numPr>
        <w:spacing w:after="360" w:line="360" w:lineRule="auto"/>
      </w:pPr>
      <w:r>
        <w:t>Next</w:t>
      </w:r>
      <w:r w:rsidR="00FD3027">
        <w:t>,</w:t>
      </w:r>
      <w:r>
        <w:t xml:space="preserve"> we are going to simulate a solute </w:t>
      </w:r>
      <w:r w:rsidR="0054481D">
        <w:t xml:space="preserve">contaminant source as a constant-concentration condition in row </w:t>
      </w:r>
      <w:r>
        <w:t>13</w:t>
      </w:r>
      <w:r w:rsidR="0054481D">
        <w:t xml:space="preserve"> and column </w:t>
      </w:r>
      <w:r>
        <w:t>2</w:t>
      </w:r>
      <w:r w:rsidR="0054481D">
        <w:t>.</w:t>
      </w:r>
      <w:r w:rsidR="004A26B2">
        <w:t xml:space="preserve">  Put your mouse over that cell and right-click.  Here you will enter a concentration value of 1.0; you will uncheck the box that says the head value is constant, and you will check the box that says the concentration value is constant.</w:t>
      </w:r>
      <w:r w:rsidR="004A26B2" w:rsidRPr="004A26B2">
        <w:rPr>
          <w:noProof/>
        </w:rPr>
        <w:t xml:space="preserve"> </w:t>
      </w:r>
      <w:r w:rsidR="004A26B2" w:rsidRPr="004A26B2">
        <w:rPr>
          <w:noProof/>
        </w:rPr>
        <w:drawing>
          <wp:inline distT="0" distB="0" distL="0" distR="0" wp14:anchorId="23EABE03" wp14:editId="7F8842D1">
            <wp:extent cx="34417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1700" cy="2400300"/>
                    </a:xfrm>
                    <a:prstGeom prst="rect">
                      <a:avLst/>
                    </a:prstGeom>
                  </pic:spPr>
                </pic:pic>
              </a:graphicData>
            </a:graphic>
          </wp:inline>
        </w:drawing>
      </w:r>
      <w:r w:rsidR="004A26B2" w:rsidRPr="004A26B2">
        <w:t xml:space="preserve"> </w:t>
      </w:r>
    </w:p>
    <w:p w14:paraId="3A3DAA39" w14:textId="33280782" w:rsidR="0054481D" w:rsidRDefault="00CE2FA3" w:rsidP="00E9765A">
      <w:pPr>
        <w:numPr>
          <w:ilvl w:val="0"/>
          <w:numId w:val="28"/>
        </w:numPr>
        <w:spacing w:after="360" w:line="360" w:lineRule="auto"/>
      </w:pPr>
      <w:r>
        <w:lastRenderedPageBreak/>
        <w:t xml:space="preserve">At this point you should be ready to run MT3D and simulate solute transport.  </w:t>
      </w:r>
      <w:r w:rsidR="00C21212">
        <w:t>The procedure is similar to running MODFLOW.  First you create the datasets and then you run MT3D.</w:t>
      </w:r>
    </w:p>
    <w:p w14:paraId="79A7BDC4" w14:textId="6A9D921A" w:rsidR="00C21212" w:rsidRDefault="00C21212" w:rsidP="00C21212">
      <w:pPr>
        <w:numPr>
          <w:ilvl w:val="0"/>
          <w:numId w:val="28"/>
        </w:numPr>
        <w:spacing w:after="360" w:line="360" w:lineRule="auto"/>
      </w:pPr>
      <w:r>
        <w:t>When MT3D is finished, you should be able to post-process the results.  A color flood is a way to look at the solute concentrations.  See if you can make a plot that looks like this:</w:t>
      </w:r>
      <w:r w:rsidRPr="00C21212">
        <w:rPr>
          <w:noProof/>
        </w:rPr>
        <w:t xml:space="preserve"> </w:t>
      </w:r>
      <w:r w:rsidRPr="00C21212">
        <w:rPr>
          <w:noProof/>
        </w:rPr>
        <w:drawing>
          <wp:inline distT="0" distB="0" distL="0" distR="0" wp14:anchorId="139B80AE" wp14:editId="380A869F">
            <wp:extent cx="5486400" cy="486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862830"/>
                    </a:xfrm>
                    <a:prstGeom prst="rect">
                      <a:avLst/>
                    </a:prstGeom>
                  </pic:spPr>
                </pic:pic>
              </a:graphicData>
            </a:graphic>
          </wp:inline>
        </w:drawing>
      </w:r>
    </w:p>
    <w:p w14:paraId="06DB4653" w14:textId="3B3A9A65" w:rsidR="00C21212" w:rsidRDefault="00C21212" w:rsidP="00C21212">
      <w:pPr>
        <w:numPr>
          <w:ilvl w:val="0"/>
          <w:numId w:val="28"/>
        </w:numPr>
        <w:spacing w:after="360" w:line="360" w:lineRule="auto"/>
      </w:pPr>
      <w:r>
        <w:rPr>
          <w:noProof/>
        </w:rPr>
        <w:t xml:space="preserve">It is also possible to plot solute concentration breakthrough curves.  This is done by adding an analytical element well somewhere along the flow path from the constant concentration boundary.  When you add an analytic element well, make </w:t>
      </w:r>
      <w:r>
        <w:rPr>
          <w:noProof/>
        </w:rPr>
        <w:lastRenderedPageBreak/>
        <w:t xml:space="preserve">sure you check the box that says Monitor Head/Concentration vs. Time.  </w:t>
      </w:r>
      <w:r w:rsidRPr="00C21212">
        <w:rPr>
          <w:noProof/>
        </w:rPr>
        <w:drawing>
          <wp:inline distT="0" distB="0" distL="0" distR="0" wp14:anchorId="5241D847" wp14:editId="4312EF7D">
            <wp:extent cx="3479800" cy="337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800" cy="3378200"/>
                    </a:xfrm>
                    <a:prstGeom prst="rect">
                      <a:avLst/>
                    </a:prstGeom>
                  </pic:spPr>
                </pic:pic>
              </a:graphicData>
            </a:graphic>
          </wp:inline>
        </w:drawing>
      </w:r>
    </w:p>
    <w:p w14:paraId="487A6421" w14:textId="61D0C8B7" w:rsidR="00C21212" w:rsidRDefault="00C21212" w:rsidP="00C21212">
      <w:pPr>
        <w:numPr>
          <w:ilvl w:val="0"/>
          <w:numId w:val="28"/>
        </w:numPr>
        <w:spacing w:after="360" w:line="360" w:lineRule="auto"/>
      </w:pPr>
      <w:r>
        <w:rPr>
          <w:noProof/>
        </w:rPr>
        <w:t xml:space="preserve">In order to see a breakthrough curve, you will first rerun MT3D and load the results.  Then goto Plot&gt;Hydrograph&gt;Monitoring Well and change the Plot from Head to Concentration and click OK.  You should hopefully see a plot that looks </w:t>
      </w:r>
      <w:r>
        <w:rPr>
          <w:noProof/>
        </w:rPr>
        <w:lastRenderedPageBreak/>
        <w:t xml:space="preserve">like this:  </w:t>
      </w:r>
      <w:r w:rsidRPr="00C21212">
        <w:rPr>
          <w:noProof/>
        </w:rPr>
        <w:drawing>
          <wp:inline distT="0" distB="0" distL="0" distR="0" wp14:anchorId="21B11044" wp14:editId="2F86F7E0">
            <wp:extent cx="5486400" cy="3444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44240"/>
                    </a:xfrm>
                    <a:prstGeom prst="rect">
                      <a:avLst/>
                    </a:prstGeom>
                  </pic:spPr>
                </pic:pic>
              </a:graphicData>
            </a:graphic>
          </wp:inline>
        </w:drawing>
      </w:r>
    </w:p>
    <w:p w14:paraId="67E01368" w14:textId="47EAD0E2" w:rsidR="00C21212" w:rsidRDefault="00C21212" w:rsidP="00C21212">
      <w:pPr>
        <w:numPr>
          <w:ilvl w:val="0"/>
          <w:numId w:val="28"/>
        </w:numPr>
        <w:spacing w:after="360" w:line="360" w:lineRule="auto"/>
      </w:pPr>
      <w:r>
        <w:rPr>
          <w:noProof/>
        </w:rPr>
        <w:t>It’s possible that the y-axis does not have enough precision.  If this is the case, then double-click on the y-axis and increase the precision of the y-axis so you see something like this:</w:t>
      </w:r>
      <w:r w:rsidRPr="00C21212">
        <w:rPr>
          <w:noProof/>
        </w:rPr>
        <w:t xml:space="preserve"> </w:t>
      </w:r>
      <w:r w:rsidRPr="00C21212">
        <w:rPr>
          <w:noProof/>
        </w:rPr>
        <w:drawing>
          <wp:inline distT="0" distB="0" distL="0" distR="0" wp14:anchorId="5995BCA8" wp14:editId="3D90A942">
            <wp:extent cx="5486400" cy="3325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25495"/>
                    </a:xfrm>
                    <a:prstGeom prst="rect">
                      <a:avLst/>
                    </a:prstGeom>
                  </pic:spPr>
                </pic:pic>
              </a:graphicData>
            </a:graphic>
          </wp:inline>
        </w:drawing>
      </w:r>
    </w:p>
    <w:p w14:paraId="71BA2A9B" w14:textId="1BB98C6B" w:rsidR="00C21212" w:rsidRDefault="00C21212" w:rsidP="00337FB4">
      <w:pPr>
        <w:numPr>
          <w:ilvl w:val="0"/>
          <w:numId w:val="28"/>
        </w:numPr>
        <w:spacing w:after="360" w:line="360" w:lineRule="auto"/>
      </w:pPr>
      <w:r>
        <w:rPr>
          <w:noProof/>
        </w:rPr>
        <w:lastRenderedPageBreak/>
        <w:t xml:space="preserve">In order to do comparisons between simulations, you may want to export these concentrations to another file.  This can be done by clicking on the Layer 1 tab on the bottom of the chart, and then right-clicking anywhere in the spreadsheet to </w:t>
      </w:r>
      <w:r w:rsidR="00337FB4">
        <w:rPr>
          <w:noProof/>
        </w:rPr>
        <w:t>find an Export… option, which allows you to export to a file (Note that this data is also written to an MT3D observations file, which should be in your paths to models with an obs extension).</w:t>
      </w:r>
      <w:r w:rsidR="00337FB4" w:rsidRPr="00337FB4">
        <w:rPr>
          <w:noProof/>
        </w:rPr>
        <w:t xml:space="preserve"> </w:t>
      </w:r>
      <w:r w:rsidR="00337FB4" w:rsidRPr="00337FB4">
        <w:rPr>
          <w:noProof/>
        </w:rPr>
        <w:drawing>
          <wp:inline distT="0" distB="0" distL="0" distR="0" wp14:anchorId="0FC0DFE9" wp14:editId="10EFF0BF">
            <wp:extent cx="5486400" cy="360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03625"/>
                    </a:xfrm>
                    <a:prstGeom prst="rect">
                      <a:avLst/>
                    </a:prstGeom>
                  </pic:spPr>
                </pic:pic>
              </a:graphicData>
            </a:graphic>
          </wp:inline>
        </w:drawing>
      </w:r>
    </w:p>
    <w:p w14:paraId="79481835" w14:textId="5DD5985F" w:rsidR="007C2296" w:rsidRDefault="007C2296" w:rsidP="00337FB4">
      <w:pPr>
        <w:numPr>
          <w:ilvl w:val="0"/>
          <w:numId w:val="28"/>
        </w:numPr>
        <w:spacing w:after="360" w:line="360" w:lineRule="auto"/>
      </w:pPr>
      <w:r>
        <w:rPr>
          <w:noProof/>
        </w:rPr>
        <w:t>Visualize and animate movement of the solute plume using ModelViewer.</w:t>
      </w:r>
    </w:p>
    <w:p w14:paraId="646061EA" w14:textId="6386C44E" w:rsidR="00DB164E" w:rsidRPr="0012585C" w:rsidRDefault="00DB164E" w:rsidP="00DB164E">
      <w:pPr>
        <w:spacing w:after="360" w:line="360" w:lineRule="auto"/>
        <w:outlineLvl w:val="0"/>
        <w:rPr>
          <w:b/>
          <w:bCs/>
        </w:rPr>
      </w:pPr>
      <w:r>
        <w:br w:type="page"/>
      </w:r>
      <w:r>
        <w:rPr>
          <w:b/>
          <w:bCs/>
        </w:rPr>
        <w:lastRenderedPageBreak/>
        <w:t xml:space="preserve">Part II. </w:t>
      </w:r>
      <w:r w:rsidR="007C2296">
        <w:rPr>
          <w:b/>
          <w:bCs/>
        </w:rPr>
        <w:t>Compare the different solute transport schemes</w:t>
      </w:r>
    </w:p>
    <w:p w14:paraId="78AFE1CB" w14:textId="117314BE" w:rsidR="00B13762" w:rsidRDefault="007C2296" w:rsidP="00B13762">
      <w:pPr>
        <w:numPr>
          <w:ilvl w:val="0"/>
          <w:numId w:val="7"/>
        </w:numPr>
        <w:spacing w:after="360" w:line="360" w:lineRule="auto"/>
      </w:pPr>
      <w:r>
        <w:br/>
      </w:r>
    </w:p>
    <w:p w14:paraId="2B540952" w14:textId="198AB4D5" w:rsidR="007C2296" w:rsidRPr="0012585C" w:rsidRDefault="007C2296" w:rsidP="007C2296">
      <w:pPr>
        <w:spacing w:after="360" w:line="360" w:lineRule="auto"/>
        <w:outlineLvl w:val="0"/>
        <w:rPr>
          <w:b/>
          <w:bCs/>
        </w:rPr>
      </w:pPr>
      <w:r>
        <w:rPr>
          <w:b/>
          <w:bCs/>
        </w:rPr>
        <w:t>Part II</w:t>
      </w:r>
      <w:r>
        <w:rPr>
          <w:b/>
          <w:bCs/>
        </w:rPr>
        <w:t>I</w:t>
      </w:r>
      <w:r>
        <w:rPr>
          <w:b/>
          <w:bCs/>
        </w:rPr>
        <w:t xml:space="preserve">. </w:t>
      </w:r>
      <w:r>
        <w:rPr>
          <w:b/>
          <w:bCs/>
        </w:rPr>
        <w:t>Run the solute transport model using the true Freyberg parameters</w:t>
      </w:r>
    </w:p>
    <w:p w14:paraId="51F64D94" w14:textId="77777777" w:rsidR="007C2296" w:rsidRDefault="007C2296" w:rsidP="007C2296">
      <w:pPr>
        <w:numPr>
          <w:ilvl w:val="0"/>
          <w:numId w:val="42"/>
        </w:numPr>
        <w:spacing w:after="360" w:line="360" w:lineRule="auto"/>
      </w:pPr>
      <w:r>
        <w:br/>
      </w:r>
      <w:r>
        <w:br/>
      </w:r>
    </w:p>
    <w:p w14:paraId="06EF7479" w14:textId="77777777" w:rsidR="007C2296" w:rsidRDefault="007C2296" w:rsidP="007C2296">
      <w:pPr>
        <w:spacing w:after="360" w:line="360" w:lineRule="auto"/>
      </w:pPr>
      <w:bookmarkStart w:id="0" w:name="_GoBack"/>
      <w:bookmarkEnd w:id="0"/>
    </w:p>
    <w:sectPr w:rsidR="007C229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09D14" w14:textId="77777777" w:rsidR="00AE5F13" w:rsidRDefault="00AE5F13">
      <w:r>
        <w:separator/>
      </w:r>
    </w:p>
  </w:endnote>
  <w:endnote w:type="continuationSeparator" w:id="0">
    <w:p w14:paraId="6FB8FDE4" w14:textId="77777777" w:rsidR="00AE5F13" w:rsidRDefault="00AE5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1AD59B93" w:rsidR="009716FD" w:rsidRPr="002D52A8" w:rsidRDefault="002115EE" w:rsidP="00DB164E">
    <w:pPr>
      <w:pStyle w:val="Footer"/>
      <w:tabs>
        <w:tab w:val="left" w:pos="5400"/>
      </w:tabs>
      <w:ind w:right="2880"/>
      <w:rPr>
        <w:i/>
        <w:sz w:val="20"/>
        <w:szCs w:val="20"/>
      </w:rPr>
    </w:pPr>
    <w:r w:rsidRPr="002115EE">
      <w:rPr>
        <w:i/>
        <w:sz w:val="20"/>
        <w:szCs w:val="20"/>
      </w:rPr>
      <w:t xml:space="preserve">Exercise </w:t>
    </w:r>
    <w:r>
      <w:rPr>
        <w:i/>
        <w:sz w:val="20"/>
        <w:szCs w:val="20"/>
      </w:rPr>
      <w:t>0</w:t>
    </w:r>
    <w:r w:rsidRPr="002115EE">
      <w:rPr>
        <w:i/>
        <w:sz w:val="20"/>
        <w:szCs w:val="20"/>
      </w:rPr>
      <w:t>8. Simulating advective and dispersive movement of a contaminant plume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0ECB2" w14:textId="77777777" w:rsidR="00AE5F13" w:rsidRDefault="00AE5F13">
      <w:r>
        <w:separator/>
      </w:r>
    </w:p>
  </w:footnote>
  <w:footnote w:type="continuationSeparator" w:id="0">
    <w:p w14:paraId="71715435" w14:textId="77777777" w:rsidR="00AE5F13" w:rsidRDefault="00AE5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0A4F5E"/>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5"/>
  </w:num>
  <w:num w:numId="4">
    <w:abstractNumId w:val="16"/>
  </w:num>
  <w:num w:numId="5">
    <w:abstractNumId w:val="28"/>
  </w:num>
  <w:num w:numId="6">
    <w:abstractNumId w:val="7"/>
  </w:num>
  <w:num w:numId="7">
    <w:abstractNumId w:val="21"/>
  </w:num>
  <w:num w:numId="8">
    <w:abstractNumId w:val="32"/>
  </w:num>
  <w:num w:numId="9">
    <w:abstractNumId w:val="38"/>
  </w:num>
  <w:num w:numId="10">
    <w:abstractNumId w:val="14"/>
  </w:num>
  <w:num w:numId="11">
    <w:abstractNumId w:val="4"/>
  </w:num>
  <w:num w:numId="12">
    <w:abstractNumId w:val="30"/>
  </w:num>
  <w:num w:numId="13">
    <w:abstractNumId w:val="23"/>
  </w:num>
  <w:num w:numId="14">
    <w:abstractNumId w:val="0"/>
  </w:num>
  <w:num w:numId="15">
    <w:abstractNumId w:val="11"/>
  </w:num>
  <w:num w:numId="16">
    <w:abstractNumId w:val="12"/>
  </w:num>
  <w:num w:numId="17">
    <w:abstractNumId w:val="34"/>
  </w:num>
  <w:num w:numId="18">
    <w:abstractNumId w:val="2"/>
  </w:num>
  <w:num w:numId="19">
    <w:abstractNumId w:val="27"/>
  </w:num>
  <w:num w:numId="20">
    <w:abstractNumId w:val="36"/>
  </w:num>
  <w:num w:numId="21">
    <w:abstractNumId w:val="35"/>
  </w:num>
  <w:num w:numId="22">
    <w:abstractNumId w:val="31"/>
  </w:num>
  <w:num w:numId="23">
    <w:abstractNumId w:val="8"/>
  </w:num>
  <w:num w:numId="24">
    <w:abstractNumId w:val="22"/>
  </w:num>
  <w:num w:numId="25">
    <w:abstractNumId w:val="6"/>
  </w:num>
  <w:num w:numId="26">
    <w:abstractNumId w:val="25"/>
  </w:num>
  <w:num w:numId="27">
    <w:abstractNumId w:val="39"/>
  </w:num>
  <w:num w:numId="28">
    <w:abstractNumId w:val="1"/>
  </w:num>
  <w:num w:numId="29">
    <w:abstractNumId w:val="40"/>
  </w:num>
  <w:num w:numId="30">
    <w:abstractNumId w:val="20"/>
  </w:num>
  <w:num w:numId="31">
    <w:abstractNumId w:val="26"/>
  </w:num>
  <w:num w:numId="32">
    <w:abstractNumId w:val="29"/>
  </w:num>
  <w:num w:numId="33">
    <w:abstractNumId w:val="24"/>
  </w:num>
  <w:num w:numId="34">
    <w:abstractNumId w:val="3"/>
  </w:num>
  <w:num w:numId="35">
    <w:abstractNumId w:val="10"/>
  </w:num>
  <w:num w:numId="36">
    <w:abstractNumId w:val="33"/>
  </w:num>
  <w:num w:numId="37">
    <w:abstractNumId w:val="41"/>
  </w:num>
  <w:num w:numId="38">
    <w:abstractNumId w:val="9"/>
  </w:num>
  <w:num w:numId="39">
    <w:abstractNumId w:val="13"/>
  </w:num>
  <w:num w:numId="40">
    <w:abstractNumId w:val="17"/>
  </w:num>
  <w:num w:numId="41">
    <w:abstractNumId w:val="1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6965"/>
    <w:rsid w:val="000C52FE"/>
    <w:rsid w:val="000D0D2B"/>
    <w:rsid w:val="000E64BC"/>
    <w:rsid w:val="000F0D24"/>
    <w:rsid w:val="000F7774"/>
    <w:rsid w:val="00102CA0"/>
    <w:rsid w:val="00112CC9"/>
    <w:rsid w:val="001156E7"/>
    <w:rsid w:val="001176B4"/>
    <w:rsid w:val="00117B3C"/>
    <w:rsid w:val="001376F6"/>
    <w:rsid w:val="00140664"/>
    <w:rsid w:val="0014091D"/>
    <w:rsid w:val="001631C7"/>
    <w:rsid w:val="00163FDF"/>
    <w:rsid w:val="00175377"/>
    <w:rsid w:val="001805CD"/>
    <w:rsid w:val="001830F7"/>
    <w:rsid w:val="001877DB"/>
    <w:rsid w:val="00192DE2"/>
    <w:rsid w:val="001A7EC2"/>
    <w:rsid w:val="001B07CB"/>
    <w:rsid w:val="001B19DC"/>
    <w:rsid w:val="001B28FA"/>
    <w:rsid w:val="001B71EB"/>
    <w:rsid w:val="001C7E08"/>
    <w:rsid w:val="001D10EB"/>
    <w:rsid w:val="00200657"/>
    <w:rsid w:val="00201E76"/>
    <w:rsid w:val="002113E6"/>
    <w:rsid w:val="002115EE"/>
    <w:rsid w:val="00240D31"/>
    <w:rsid w:val="00260103"/>
    <w:rsid w:val="00266347"/>
    <w:rsid w:val="00266701"/>
    <w:rsid w:val="002717AE"/>
    <w:rsid w:val="002813B2"/>
    <w:rsid w:val="00283756"/>
    <w:rsid w:val="00294673"/>
    <w:rsid w:val="00297874"/>
    <w:rsid w:val="002A2494"/>
    <w:rsid w:val="002A5B92"/>
    <w:rsid w:val="002A76E2"/>
    <w:rsid w:val="002B0E84"/>
    <w:rsid w:val="002B2241"/>
    <w:rsid w:val="002D52A8"/>
    <w:rsid w:val="002E0552"/>
    <w:rsid w:val="002F3244"/>
    <w:rsid w:val="002F7827"/>
    <w:rsid w:val="0030053B"/>
    <w:rsid w:val="00300D83"/>
    <w:rsid w:val="00301E2D"/>
    <w:rsid w:val="003021F4"/>
    <w:rsid w:val="0030719C"/>
    <w:rsid w:val="003242EE"/>
    <w:rsid w:val="00326CE9"/>
    <w:rsid w:val="00337FB4"/>
    <w:rsid w:val="0034061E"/>
    <w:rsid w:val="00341FA4"/>
    <w:rsid w:val="00345C0B"/>
    <w:rsid w:val="003530CC"/>
    <w:rsid w:val="00361B55"/>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57A59"/>
    <w:rsid w:val="004A08AC"/>
    <w:rsid w:val="004A26B2"/>
    <w:rsid w:val="004B12FB"/>
    <w:rsid w:val="004B1DEC"/>
    <w:rsid w:val="004C1A3B"/>
    <w:rsid w:val="004C40DA"/>
    <w:rsid w:val="004D6D5D"/>
    <w:rsid w:val="00503768"/>
    <w:rsid w:val="00516E0E"/>
    <w:rsid w:val="005320AC"/>
    <w:rsid w:val="005435AA"/>
    <w:rsid w:val="00543906"/>
    <w:rsid w:val="0054481D"/>
    <w:rsid w:val="0054495A"/>
    <w:rsid w:val="0054740C"/>
    <w:rsid w:val="00550566"/>
    <w:rsid w:val="00551106"/>
    <w:rsid w:val="00560245"/>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7D5"/>
    <w:rsid w:val="006D10C0"/>
    <w:rsid w:val="006D5F20"/>
    <w:rsid w:val="006F67EB"/>
    <w:rsid w:val="00745D97"/>
    <w:rsid w:val="007514D2"/>
    <w:rsid w:val="00752DFA"/>
    <w:rsid w:val="00752F59"/>
    <w:rsid w:val="00774D85"/>
    <w:rsid w:val="007811B1"/>
    <w:rsid w:val="00783C8D"/>
    <w:rsid w:val="007A5901"/>
    <w:rsid w:val="007B2BFA"/>
    <w:rsid w:val="007B2F39"/>
    <w:rsid w:val="007B30BB"/>
    <w:rsid w:val="007C2296"/>
    <w:rsid w:val="007D0F9E"/>
    <w:rsid w:val="007D32AA"/>
    <w:rsid w:val="007D4BDF"/>
    <w:rsid w:val="007F1917"/>
    <w:rsid w:val="007F2650"/>
    <w:rsid w:val="007F302B"/>
    <w:rsid w:val="007F3849"/>
    <w:rsid w:val="008036C6"/>
    <w:rsid w:val="008076C5"/>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16C67"/>
    <w:rsid w:val="009322AA"/>
    <w:rsid w:val="009536B8"/>
    <w:rsid w:val="0096326D"/>
    <w:rsid w:val="009716FD"/>
    <w:rsid w:val="00996EAB"/>
    <w:rsid w:val="009B0D92"/>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E5F13"/>
    <w:rsid w:val="00AF1F04"/>
    <w:rsid w:val="00AF3229"/>
    <w:rsid w:val="00AF6213"/>
    <w:rsid w:val="00B13762"/>
    <w:rsid w:val="00B159B2"/>
    <w:rsid w:val="00B165B7"/>
    <w:rsid w:val="00B20C1C"/>
    <w:rsid w:val="00B24DC3"/>
    <w:rsid w:val="00B51C0C"/>
    <w:rsid w:val="00B67247"/>
    <w:rsid w:val="00B67D74"/>
    <w:rsid w:val="00B70514"/>
    <w:rsid w:val="00B9735D"/>
    <w:rsid w:val="00BA54DF"/>
    <w:rsid w:val="00BB5461"/>
    <w:rsid w:val="00BC6BD4"/>
    <w:rsid w:val="00BD44E7"/>
    <w:rsid w:val="00BF0A97"/>
    <w:rsid w:val="00BF68D2"/>
    <w:rsid w:val="00C150A8"/>
    <w:rsid w:val="00C16FAA"/>
    <w:rsid w:val="00C21212"/>
    <w:rsid w:val="00C32FFE"/>
    <w:rsid w:val="00C64F2A"/>
    <w:rsid w:val="00C64FFE"/>
    <w:rsid w:val="00C737B0"/>
    <w:rsid w:val="00C77E1A"/>
    <w:rsid w:val="00C844A8"/>
    <w:rsid w:val="00C937EA"/>
    <w:rsid w:val="00CB27CE"/>
    <w:rsid w:val="00CB28B0"/>
    <w:rsid w:val="00CB53B3"/>
    <w:rsid w:val="00CB7CA1"/>
    <w:rsid w:val="00CD2E63"/>
    <w:rsid w:val="00CE2FA3"/>
    <w:rsid w:val="00CE621F"/>
    <w:rsid w:val="00D0517C"/>
    <w:rsid w:val="00D23C94"/>
    <w:rsid w:val="00D33808"/>
    <w:rsid w:val="00D41D58"/>
    <w:rsid w:val="00D4735B"/>
    <w:rsid w:val="00D578DA"/>
    <w:rsid w:val="00D8173F"/>
    <w:rsid w:val="00D97046"/>
    <w:rsid w:val="00DB0E2D"/>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9765A"/>
    <w:rsid w:val="00EA29F2"/>
    <w:rsid w:val="00EA4330"/>
    <w:rsid w:val="00EC6C73"/>
    <w:rsid w:val="00ED05E2"/>
    <w:rsid w:val="00ED249D"/>
    <w:rsid w:val="00ED3BDA"/>
    <w:rsid w:val="00EE2227"/>
    <w:rsid w:val="00EF3045"/>
    <w:rsid w:val="00F150C5"/>
    <w:rsid w:val="00F1763E"/>
    <w:rsid w:val="00F50863"/>
    <w:rsid w:val="00F51728"/>
    <w:rsid w:val="00F52A26"/>
    <w:rsid w:val="00F93729"/>
    <w:rsid w:val="00FA677C"/>
    <w:rsid w:val="00FA7F2D"/>
    <w:rsid w:val="00FB0F6F"/>
    <w:rsid w:val="00FB5DB1"/>
    <w:rsid w:val="00FD3027"/>
    <w:rsid w:val="00FE3BC1"/>
    <w:rsid w:val="00FE623E"/>
    <w:rsid w:val="00FE697A"/>
    <w:rsid w:val="00FE6C94"/>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04272">
      <w:bodyDiv w:val="1"/>
      <w:marLeft w:val="0"/>
      <w:marRight w:val="0"/>
      <w:marTop w:val="0"/>
      <w:marBottom w:val="0"/>
      <w:divBdr>
        <w:top w:val="none" w:sz="0" w:space="0" w:color="auto"/>
        <w:left w:val="none" w:sz="0" w:space="0" w:color="auto"/>
        <w:bottom w:val="none" w:sz="0" w:space="0" w:color="auto"/>
        <w:right w:val="none" w:sz="0" w:space="0" w:color="auto"/>
      </w:divBdr>
    </w:div>
    <w:div w:id="12998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6F5B6-CE27-9441-8527-CF99AF93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37</cp:revision>
  <cp:lastPrinted>2010-04-19T20:44:00Z</cp:lastPrinted>
  <dcterms:created xsi:type="dcterms:W3CDTF">2018-07-20T17:31:00Z</dcterms:created>
  <dcterms:modified xsi:type="dcterms:W3CDTF">2018-08-17T19:40:00Z</dcterms:modified>
</cp:coreProperties>
</file>