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1F3864"/>
          <w:sz w:val="40"/>
          <w:szCs w:val="40"/>
        </w:rPr>
        <w:t xml:space="preserve">ESWMP — Demand Intake Service</w:t>
      </w:r>
    </w:p>
    <w:p>
      <w:pPr>
        <w:spacing w:after="40"/>
      </w:pPr>
      <w:r>
        <w:rPr>
          <w:rFonts w:ascii="Calibri" w:cs="Calibri" w:eastAsia="Calibri" w:hAnsi="Calibri"/>
          <w:color w:val="595959"/>
          <w:sz w:val="26"/>
          <w:szCs w:val="26"/>
        </w:rPr>
        <w:t xml:space="preserve">Database Model — Diagram, Schema &amp; Recommendations</w:t>
      </w:r>
    </w:p>
    <w:p>
      <w:pPr>
        <w:pBdr>
          <w:bottom w:val="single" w:color="D9D9D9" w:sz="6"/>
        </w:pBdr>
        <w:spacing w:after="120" w:before="60"/>
      </w:pPr>
      <w:r>
        <w:rPr>
          <w:sz w:val="2"/>
          <w:szCs w:val="2"/>
        </w:rPr>
        <w:t xml:space="preserve"/>
      </w:r>
    </w:p>
    <w:p>
      <w:pPr>
        <w:spacing w:after="40" w:line="276"/>
      </w:pPr>
      <w:r>
        <w:rPr>
          <w:rFonts w:ascii="Calibri" w:cs="Calibri" w:eastAsia="Calibri" w:hAnsi="Calibri"/>
          <w:b/>
          <w:bCs/>
          <w:sz w:val="21"/>
          <w:szCs w:val="21"/>
        </w:rPr>
        <w:t xml:space="preserve">Service: </w:t>
      </w:r>
      <w:r>
        <w:rPr>
          <w:rFonts w:ascii="Consolas" w:cs="Consolas" w:eastAsia="Consolas" w:hAnsi="Consolas"/>
          <w:sz w:val="19"/>
          <w:szCs w:val="19"/>
        </w:rPr>
        <w:t xml:space="preserve">Eswmp.Work</w:t>
      </w:r>
      <w:r>
        <w:rPr>
          <w:rFonts w:ascii="Calibri" w:cs="Calibri" w:eastAsia="Calibri" w:hAnsi="Calibri"/>
          <w:sz w:val="21"/>
          <w:szCs w:val="21"/>
        </w:rPr>
        <w:t xml:space="preserve">   ·   Port 6004   ·   Database: </w:t>
      </w:r>
      <w:r>
        <w:rPr>
          <w:rFonts w:ascii="Consolas" w:cs="Consolas" w:eastAsia="Consolas" w:hAnsi="Consolas"/>
          <w:sz w:val="19"/>
          <w:szCs w:val="19"/>
        </w:rPr>
        <w:t xml:space="preserve">eswmp_work</w:t>
      </w:r>
      <w:r>
        <w:rPr>
          <w:rFonts w:ascii="Calibri" w:cs="Calibri" w:eastAsia="Calibri" w:hAnsi="Calibri"/>
          <w:sz w:val="21"/>
          <w:szCs w:val="21"/>
        </w:rPr>
        <w:t xml:space="preserve">   ·   Schema: </w:t>
      </w:r>
      <w:r>
        <w:rPr>
          <w:rFonts w:ascii="Consolas" w:cs="Consolas" w:eastAsia="Consolas" w:hAnsi="Consolas"/>
          <w:sz w:val="19"/>
          <w:szCs w:val="19"/>
        </w:rPr>
        <w:t xml:space="preserve">demand</w:t>
      </w:r>
    </w:p>
    <w:p>
      <w:pPr>
        <w:spacing w:after="180" w:before="0" w:line="276"/>
      </w:pPr>
      <w:r>
        <w:rPr>
          <w:rFonts w:ascii="Calibri" w:cs="Calibri" w:eastAsia="Calibri" w:hAnsi="Calibri"/>
          <w:i/>
          <w:iCs/>
          <w:color w:val="595959"/>
          <w:sz w:val="19"/>
          <w:szCs w:val="19"/>
        </w:rPr>
        <w:t xml:space="preserve">Scope note: the diagram and tables describe the logical model from the source specification, with the design recommendations folded in and marked. Items shown as REC are proposed, not as-built; confirm against the EF migrations and WorkDbContext.cs before treating them as fact.</w:t>
      </w:r>
    </w:p>
    <w:p>
      <w:pPr>
        <w:pStyle w:val="Heading1"/>
        <w:spacing w:after="140" w:before="280"/>
      </w:pPr>
      <w:r>
        <w:rPr>
          <w:rFonts w:ascii="Calibri" w:cs="Calibri" w:eastAsia="Calibri" w:hAnsi="Calibri"/>
          <w:b/>
          <w:bCs/>
          <w:color w:val="1F3864"/>
          <w:sz w:val="30"/>
          <w:szCs w:val="30"/>
        </w:rPr>
        <w:t xml:space="preserve">1.  Entity-relationship diagram</w:t>
      </w:r>
    </w:p>
    <w:p>
      <w:pPr>
        <w:spacing w:after="120" w:before="0" w:line="276"/>
      </w:pPr>
      <w:r>
        <w:rPr>
          <w:rFonts w:ascii="Calibri" w:cs="Calibri" w:eastAsia="Calibri" w:hAnsi="Calibri"/>
          <w:sz w:val="21"/>
          <w:szCs w:val="21"/>
        </w:rPr>
        <w:t xml:space="preserve">Three tables in the demand schema, with the recommended foreign keys, indexes, check constraint, and tenant-isolation additions applied. Each column note carries its provenance.</w:t>
      </w:r>
    </w:p>
    <w:p>
      <w:pPr>
        <w:spacing w:after="40"/>
      </w:pPr>
      <w:r>
        <w:rPr>
          <w:rFonts w:ascii="Calibri" w:cs="Calibri" w:eastAsia="Calibri" w:hAnsi="Calibri"/>
          <w:color w:val="1F3864"/>
          <w:sz w:val="22"/>
          <w:szCs w:val="22"/>
        </w:rPr>
        <w:t xml:space="preserve">■ </w:t>
      </w:r>
      <w:r>
        <w:rPr>
          <w:rFonts w:ascii="Calibri" w:cs="Calibri" w:eastAsia="Calibri" w:hAnsi="Calibri"/>
          <w:b/>
          <w:bCs/>
          <w:color w:val="1F3864"/>
          <w:sz w:val="19"/>
          <w:szCs w:val="19"/>
        </w:rPr>
        <w:t xml:space="preserve">spec  </w:t>
      </w:r>
      <w:r>
        <w:rPr>
          <w:rFonts w:ascii="Calibri" w:cs="Calibri" w:eastAsia="Calibri" w:hAnsi="Calibri"/>
          <w:color w:val="595959"/>
          <w:sz w:val="19"/>
          <w:szCs w:val="19"/>
        </w:rPr>
        <w:t xml:space="preserve">as stated in the source specification</w:t>
      </w:r>
    </w:p>
    <w:p>
      <w:pPr>
        <w:spacing w:after="40"/>
      </w:pPr>
      <w:r>
        <w:rPr>
          <w:rFonts w:ascii="Calibri" w:cs="Calibri" w:eastAsia="Calibri" w:hAnsi="Calibri"/>
          <w:color w:val="534AB7"/>
          <w:sz w:val="22"/>
          <w:szCs w:val="22"/>
        </w:rPr>
        <w:t xml:space="preserve">■ </w:t>
      </w:r>
      <w:r>
        <w:rPr>
          <w:rFonts w:ascii="Calibri" w:cs="Calibri" w:eastAsia="Calibri" w:hAnsi="Calibri"/>
          <w:b/>
          <w:bCs/>
          <w:color w:val="534AB7"/>
          <w:sz w:val="19"/>
          <w:szCs w:val="19"/>
        </w:rPr>
        <w:t xml:space="preserve">REC  </w:t>
      </w:r>
      <w:r>
        <w:rPr>
          <w:rFonts w:ascii="Calibri" w:cs="Calibri" w:eastAsia="Calibri" w:hAnsi="Calibri"/>
          <w:color w:val="595959"/>
          <w:sz w:val="19"/>
          <w:szCs w:val="19"/>
        </w:rPr>
        <w:t xml:space="preserve">added per the recommendations in section 3</w:t>
      </w:r>
    </w:p>
    <w:p>
      <w:pPr>
        <w:spacing w:after="60" w:before="0" w:line="276"/>
      </w:pPr>
      <w:r>
        <w:rPr>
          <w:rFonts w:ascii="Calibri" w:cs="Calibri" w:eastAsia="Calibri" w:hAnsi="Calibri"/>
          <w:sz w:val="21"/>
          <w:szCs w:val="21"/>
        </w:rPr>
        <w:t xml:space="preserve"/>
      </w:r>
    </w:p>
    <w:p>
      <w:pPr>
        <w:spacing w:after="80"/>
        <w:jc w:val="center"/>
      </w:pPr>
      <w:r>
        <w:drawing>
          <wp:inline distT="0" distB="0" distL="0" distR="0">
            <wp:extent cx="5124450" cy="679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4450" cy="6791325"/>
                    </a:xfrm>
                    <a:prstGeom prst="rect">
                      <a:avLst/>
                    </a:prstGeom>
                  </pic:spPr>
                </pic:pic>
              </a:graphicData>
            </a:graphic>
          </wp:inline>
        </w:drawing>
      </w:r>
    </w:p>
    <w:p>
      <w:pPr>
        <w:spacing w:after="120" w:before="0" w:line="276"/>
        <w:jc w:val="center"/>
      </w:pPr>
      <w:r>
        <w:rPr>
          <w:rFonts w:ascii="Calibri" w:cs="Calibri" w:eastAsia="Calibri" w:hAnsi="Calibri"/>
          <w:i/>
          <w:iCs/>
          <w:color w:val="595959"/>
          <w:sz w:val="19"/>
          <w:szCs w:val="19"/>
        </w:rPr>
        <w:t xml:space="preserve">Cardinality: one Demand has many validation results (one row per validate call) and at most one idempotency record (one per create key). Delete rules differ by intent — cascade for validation results, restrict for idempotency records.</w:t>
      </w:r>
    </w:p>
    <w:p>
      <w:r>
        <w:br w:type="page"/>
      </w:r>
    </w:p>
    <w:p>
      <w:pPr>
        <w:pStyle w:val="Heading1"/>
        <w:spacing w:after="140" w:before="280"/>
      </w:pPr>
      <w:r>
        <w:rPr>
          <w:rFonts w:ascii="Calibri" w:cs="Calibri" w:eastAsia="Calibri" w:hAnsi="Calibri"/>
          <w:b/>
          <w:bCs/>
          <w:color w:val="1F3864"/>
          <w:sz w:val="30"/>
          <w:szCs w:val="30"/>
        </w:rPr>
        <w:t xml:space="preserve">2.  Schema reference</w:t>
      </w:r>
    </w:p>
    <w:p>
      <w:pPr>
        <w:spacing w:after="140" w:before="0" w:line="276"/>
      </w:pPr>
      <w:r>
        <w:rPr>
          <w:rFonts w:ascii="Calibri" w:cs="Calibri" w:eastAsia="Calibri" w:hAnsi="Calibri"/>
          <w:sz w:val="21"/>
          <w:szCs w:val="21"/>
        </w:rPr>
        <w:t xml:space="preserve">Columns as stated in the specification. Rows highlighted in purple are additions from the recommendations.</w:t>
      </w:r>
    </w:p>
    <w:p>
      <w:pPr>
        <w:pStyle w:val="Heading2"/>
        <w:spacing w:after="100" w:before="220"/>
      </w:pPr>
      <w:r>
        <w:rPr>
          <w:rFonts w:ascii="Calibri" w:cs="Calibri" w:eastAsia="Calibri" w:hAnsi="Calibri"/>
          <w:b/>
          <w:bCs/>
          <w:color w:val="1F3864"/>
          <w:sz w:val="24"/>
          <w:szCs w:val="24"/>
        </w:rPr>
        <w:t xml:space="preserve">2.1  demand.Demands  — aggregate root</w:t>
      </w:r>
    </w:p>
    <w:tbl>
      <w:tblPr>
        <w:tblW w:type="dxa" w:w="8400"/>
        <w:tblBorders>
          <w:top w:val="single" w:color="BFBFBF" w:sz="2"/>
          <w:left w:val="single" w:color="BFBFBF" w:sz="2"/>
          <w:bottom w:val="single" w:color="BFBFBF" w:sz="2"/>
          <w:right w:val="single" w:color="BFBFBF" w:sz="2"/>
          <w:insideH w:val="single" w:color="D9D9D9" w:sz="1"/>
          <w:insideV w:val="single" w:color="D9D9D9" w:sz="1"/>
        </w:tblBorders>
      </w:tblPr>
      <w:tblGrid>
        <w:gridCol w:w="2400"/>
        <w:gridCol w:w="2100"/>
        <w:gridCol w:w="3900"/>
      </w:tblGrid>
      <w:tr>
        <w:trPr>
          <w:tblHeader/>
        </w:trPr>
        <w:tc>
          <w:tcPr>
            <w:tcW w:type="dxa" w:w="24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9"/>
                <w:szCs w:val="19"/>
              </w:rPr>
              <w:t xml:space="preserve">Column</w:t>
            </w:r>
          </w:p>
        </w:tc>
        <w:tc>
          <w:tcPr>
            <w:tcW w:type="dxa" w:w="21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9"/>
                <w:szCs w:val="19"/>
              </w:rPr>
              <w:t xml:space="preserve">Type</w:t>
            </w:r>
          </w:p>
        </w:tc>
        <w:tc>
          <w:tcPr>
            <w:tcW w:type="dxa" w:w="39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9"/>
                <w:szCs w:val="19"/>
              </w:rPr>
              <w:t xml:space="preserve">Notes</w:t>
            </w:r>
          </w:p>
        </w:tc>
      </w:tr>
      <w:tr>
        <w:tc>
          <w:tcPr>
            <w:tcW w:type="dxa" w:w="2400"/>
            <w:shd w:fill="FFFFFF"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Id</w:t>
            </w:r>
          </w:p>
        </w:tc>
        <w:tc>
          <w:tcPr>
            <w:tcW w:type="dxa" w:w="2100"/>
            <w:shd w:fill="FFFFFF"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uuid (PK)</w:t>
            </w:r>
          </w:p>
        </w:tc>
        <w:tc>
          <w:tcPr>
            <w:tcW w:type="dxa" w:w="3900"/>
            <w:shd w:fill="FFFFFF"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TenantScopedEntity</w:t>
            </w:r>
          </w:p>
        </w:tc>
      </w:tr>
      <w:tr>
        <w:tc>
          <w:tcPr>
            <w:tcW w:type="dxa" w:w="2400"/>
            <w:shd w:fill="F2F4F7"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TenantId</w:t>
            </w:r>
          </w:p>
        </w:tc>
        <w:tc>
          <w:tcPr>
            <w:tcW w:type="dxa" w:w="21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uuid</w:t>
            </w:r>
          </w:p>
        </w:tc>
        <w:tc>
          <w:tcPr>
            <w:tcW w:type="dxa" w:w="39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Query-filtered · RLS (rec)</w:t>
            </w:r>
          </w:p>
        </w:tc>
      </w:tr>
      <w:tr>
        <w:tc>
          <w:tcPr>
            <w:tcW w:type="dxa" w:w="2400"/>
            <w:shd w:fill="FFFFFF"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OrganizationId</w:t>
            </w:r>
          </w:p>
        </w:tc>
        <w:tc>
          <w:tcPr>
            <w:tcW w:type="dxa" w:w="2100"/>
            <w:shd w:fill="FFFFFF"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uuid, null</w:t>
            </w:r>
          </w:p>
        </w:tc>
        <w:tc>
          <w:tcPr>
            <w:tcW w:type="dxa" w:w="3900"/>
            <w:shd w:fill="FFFFFF"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Opaque — no Organization service</w:t>
            </w:r>
          </w:p>
        </w:tc>
      </w:tr>
      <w:tr>
        <w:tc>
          <w:tcPr>
            <w:tcW w:type="dxa" w:w="2400"/>
            <w:shd w:fill="F2F4F7"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DemandType</w:t>
            </w:r>
          </w:p>
        </w:tc>
        <w:tc>
          <w:tcPr>
            <w:tcW w:type="dxa" w:w="21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varchar, required</w:t>
            </w:r>
          </w:p>
        </w:tc>
        <w:tc>
          <w:tcPr>
            <w:tcW w:type="dxa" w:w="39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Caller-defined — nature of work</w:t>
            </w:r>
          </w:p>
        </w:tc>
      </w:tr>
      <w:tr>
        <w:tc>
          <w:tcPr>
            <w:tcW w:type="dxa" w:w="2400"/>
            <w:shd w:fill="FFFFFF" w:color="auto" w:val="clear"/>
            <w:tcMar>
              <w:top w:type="dxa" w:w="60"/>
              <w:left w:type="dxa" w:w="90"/>
              <w:bottom w:type="dxa" w:w="60"/>
              <w:right w:type="dxa" w:w="90"/>
            </w:tcMar>
          </w:tcPr>
          <w:p>
            <w:pPr>
              <w:spacing w:after="0" w:line="240"/>
            </w:pPr>
            <w:r>
              <w:rPr>
                <w:rFonts w:ascii="Consolas" w:cs="Consolas" w:eastAsia="Consolas" w:hAnsi="Consolas"/>
                <w:b/>
                <w:bCs/>
                <w:color w:val="534AB7"/>
                <w:sz w:val="17"/>
                <w:szCs w:val="17"/>
              </w:rPr>
              <w:t xml:space="preserve">FulfillmentMode</w:t>
            </w:r>
          </w:p>
        </w:tc>
        <w:tc>
          <w:tcPr>
            <w:tcW w:type="dxa" w:w="2100"/>
            <w:shd w:fill="FFFFFF" w:color="auto" w:val="clear"/>
            <w:tcMar>
              <w:top w:type="dxa" w:w="60"/>
              <w:left w:type="dxa" w:w="90"/>
              <w:bottom w:type="dxa" w:w="60"/>
              <w:right w:type="dxa" w:w="90"/>
            </w:tcMar>
          </w:tcPr>
          <w:p>
            <w:pPr>
              <w:spacing w:after="0" w:line="240"/>
            </w:pPr>
            <w:r>
              <w:rPr>
                <w:rFonts w:ascii="Calibri" w:cs="Calibri" w:eastAsia="Calibri" w:hAnsi="Calibri"/>
                <w:b/>
                <w:bCs/>
                <w:color w:val="534AB7"/>
                <w:sz w:val="18"/>
                <w:szCs w:val="18"/>
              </w:rPr>
              <w:t xml:space="preserve">enum (rec)</w:t>
            </w:r>
          </w:p>
        </w:tc>
        <w:tc>
          <w:tcPr>
            <w:tcW w:type="dxa" w:w="3900"/>
            <w:shd w:fill="FFFFFF" w:color="auto" w:val="clear"/>
            <w:tcMar>
              <w:top w:type="dxa" w:w="60"/>
              <w:left w:type="dxa" w:w="90"/>
              <w:bottom w:type="dxa" w:w="60"/>
              <w:right w:type="dxa" w:w="90"/>
            </w:tcMar>
          </w:tcPr>
          <w:p>
            <w:pPr>
              <w:spacing w:after="0" w:line="240"/>
            </w:pPr>
            <w:r>
              <w:rPr>
                <w:rFonts w:ascii="Calibri" w:cs="Calibri" w:eastAsia="Calibri" w:hAnsi="Calibri"/>
                <w:b/>
                <w:bCs/>
                <w:color w:val="534AB7"/>
                <w:sz w:val="18"/>
                <w:szCs w:val="18"/>
              </w:rPr>
              <w:t xml:space="preserve">Timing axis — OnDemand/Scheduled/Recurring/Standby</w:t>
            </w:r>
          </w:p>
        </w:tc>
      </w:tr>
      <w:tr>
        <w:tc>
          <w:tcPr>
            <w:tcW w:type="dxa" w:w="2400"/>
            <w:shd w:fill="F2F4F7"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SourceSystem</w:t>
            </w:r>
          </w:p>
        </w:tc>
        <w:tc>
          <w:tcPr>
            <w:tcW w:type="dxa" w:w="21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varchar, required</w:t>
            </w:r>
          </w:p>
        </w:tc>
        <w:tc>
          <w:tcPr>
            <w:tcW w:type="dxa" w:w="39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Submitting caller system</w:t>
            </w:r>
          </w:p>
        </w:tc>
      </w:tr>
      <w:tr>
        <w:tc>
          <w:tcPr>
            <w:tcW w:type="dxa" w:w="2400"/>
            <w:shd w:fill="FFFFFF"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SourceChannel</w:t>
            </w:r>
          </w:p>
        </w:tc>
        <w:tc>
          <w:tcPr>
            <w:tcW w:type="dxa" w:w="2100"/>
            <w:shd w:fill="FFFFFF"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varchar, null</w:t>
            </w:r>
          </w:p>
        </w:tc>
        <w:tc>
          <w:tcPr>
            <w:tcW w:type="dxa" w:w="3900"/>
            <w:shd w:fill="FFFFFF"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e.g. MobileApp, CallCenter</w:t>
            </w:r>
          </w:p>
        </w:tc>
      </w:tr>
      <w:tr>
        <w:tc>
          <w:tcPr>
            <w:tcW w:type="dxa" w:w="2400"/>
            <w:shd w:fill="F2F4F7"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Status</w:t>
            </w:r>
          </w:p>
        </w:tc>
        <w:tc>
          <w:tcPr>
            <w:tcW w:type="dxa" w:w="21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enum, def. Received</w:t>
            </w:r>
          </w:p>
        </w:tc>
        <w:tc>
          <w:tcPr>
            <w:tcW w:type="dxa" w:w="39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Lifecycle state</w:t>
            </w:r>
          </w:p>
        </w:tc>
      </w:tr>
      <w:tr>
        <w:tc>
          <w:tcPr>
            <w:tcW w:type="dxa" w:w="2400"/>
            <w:shd w:fill="FFFFFF"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Priority</w:t>
            </w:r>
          </w:p>
        </w:tc>
        <w:tc>
          <w:tcPr>
            <w:tcW w:type="dxa" w:w="2100"/>
            <w:shd w:fill="FFFFFF"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enum, def. Normal</w:t>
            </w:r>
          </w:p>
        </w:tc>
        <w:tc>
          <w:tcPr>
            <w:tcW w:type="dxa" w:w="3900"/>
            <w:shd w:fill="FFFFFF"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Low → Critical</w:t>
            </w:r>
          </w:p>
        </w:tc>
      </w:tr>
      <w:tr>
        <w:tc>
          <w:tcPr>
            <w:tcW w:type="dxa" w:w="2400"/>
            <w:shd w:fill="F2F4F7"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Summary</w:t>
            </w:r>
          </w:p>
        </w:tc>
        <w:tc>
          <w:tcPr>
            <w:tcW w:type="dxa" w:w="21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varchar, null</w:t>
            </w:r>
          </w:p>
        </w:tc>
        <w:tc>
          <w:tcPr>
            <w:tcW w:type="dxa" w:w="39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Optional text</w:t>
            </w:r>
          </w:p>
        </w:tc>
      </w:tr>
      <w:tr>
        <w:tc>
          <w:tcPr>
            <w:tcW w:type="dxa" w:w="2400"/>
            <w:shd w:fill="FFFFFF"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Description</w:t>
            </w:r>
          </w:p>
        </w:tc>
        <w:tc>
          <w:tcPr>
            <w:tcW w:type="dxa" w:w="2100"/>
            <w:shd w:fill="FFFFFF"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text, null</w:t>
            </w:r>
          </w:p>
        </w:tc>
        <w:tc>
          <w:tcPr>
            <w:tcW w:type="dxa" w:w="3900"/>
            <w:shd w:fill="FFFFFF"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Optional text</w:t>
            </w:r>
          </w:p>
        </w:tc>
      </w:tr>
      <w:tr>
        <w:tc>
          <w:tcPr>
            <w:tcW w:type="dxa" w:w="2400"/>
            <w:shd w:fill="F2F4F7"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RequestedStartAtUtc</w:t>
            </w:r>
          </w:p>
        </w:tc>
        <w:tc>
          <w:tcPr>
            <w:tcW w:type="dxa" w:w="21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timestamptz, null</w:t>
            </w:r>
          </w:p>
        </w:tc>
        <w:tc>
          <w:tcPr>
            <w:tcW w:type="dxa" w:w="39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Window start</w:t>
            </w:r>
          </w:p>
        </w:tc>
      </w:tr>
      <w:tr>
        <w:tc>
          <w:tcPr>
            <w:tcW w:type="dxa" w:w="2400"/>
            <w:shd w:fill="FFFFFF"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RequestedEndAtUtc</w:t>
            </w:r>
          </w:p>
        </w:tc>
        <w:tc>
          <w:tcPr>
            <w:tcW w:type="dxa" w:w="2100"/>
            <w:shd w:fill="FFFFFF"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timestamptz, null</w:t>
            </w:r>
          </w:p>
        </w:tc>
        <w:tc>
          <w:tcPr>
            <w:tcW w:type="dxa" w:w="3900"/>
            <w:shd w:fill="FFFFFF"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Window end</w:t>
            </w:r>
          </w:p>
        </w:tc>
      </w:tr>
      <w:tr>
        <w:tc>
          <w:tcPr>
            <w:tcW w:type="dxa" w:w="2400"/>
            <w:shd w:fill="F2F4F7"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RequestedTimezone</w:t>
            </w:r>
          </w:p>
        </w:tc>
        <w:tc>
          <w:tcPr>
            <w:tcW w:type="dxa" w:w="21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varchar, null</w:t>
            </w:r>
          </w:p>
        </w:tc>
        <w:tc>
          <w:tcPr>
            <w:tcW w:type="dxa" w:w="39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Timezone id</w:t>
            </w:r>
          </w:p>
        </w:tc>
      </w:tr>
      <w:tr>
        <w:tc>
          <w:tcPr>
            <w:tcW w:type="dxa" w:w="2400"/>
            <w:shd w:fill="FFFFFF"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LocationReference</w:t>
            </w:r>
          </w:p>
        </w:tc>
        <w:tc>
          <w:tcPr>
            <w:tcW w:type="dxa" w:w="2100"/>
            <w:shd w:fill="FFFFFF"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jsonb, null</w:t>
            </w:r>
          </w:p>
        </w:tc>
        <w:tc>
          <w:tcPr>
            <w:tcW w:type="dxa" w:w="3900"/>
            <w:shd w:fill="FFFFFF"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Opaque</w:t>
            </w:r>
          </w:p>
        </w:tc>
      </w:tr>
      <w:tr>
        <w:tc>
          <w:tcPr>
            <w:tcW w:type="dxa" w:w="2400"/>
            <w:shd w:fill="F2F4F7"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RequirementReferenceId</w:t>
            </w:r>
          </w:p>
        </w:tc>
        <w:tc>
          <w:tcPr>
            <w:tcW w:type="dxa" w:w="21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uuid, null</w:t>
            </w:r>
          </w:p>
        </w:tc>
        <w:tc>
          <w:tcPr>
            <w:tcW w:type="dxa" w:w="39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Set once matched</w:t>
            </w:r>
          </w:p>
        </w:tc>
      </w:tr>
      <w:tr>
        <w:tc>
          <w:tcPr>
            <w:tcW w:type="dxa" w:w="2400"/>
            <w:shd w:fill="FFFFFF"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ExternalReferenceType</w:t>
            </w:r>
          </w:p>
        </w:tc>
        <w:tc>
          <w:tcPr>
            <w:tcW w:type="dxa" w:w="2100"/>
            <w:shd w:fill="FFFFFF"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varchar, required</w:t>
            </w:r>
          </w:p>
        </w:tc>
        <w:tc>
          <w:tcPr>
            <w:tcW w:type="dxa" w:w="3900"/>
            <w:shd w:fill="FFFFFF"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Opaque pointer · indexed (rec)</w:t>
            </w:r>
          </w:p>
        </w:tc>
      </w:tr>
      <w:tr>
        <w:tc>
          <w:tcPr>
            <w:tcW w:type="dxa" w:w="2400"/>
            <w:shd w:fill="F2F4F7"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ExternalReferenceId</w:t>
            </w:r>
          </w:p>
        </w:tc>
        <w:tc>
          <w:tcPr>
            <w:tcW w:type="dxa" w:w="21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varchar, required</w:t>
            </w:r>
          </w:p>
        </w:tc>
        <w:tc>
          <w:tcPr>
            <w:tcW w:type="dxa" w:w="39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Opaque pointer · indexed (rec)</w:t>
            </w:r>
          </w:p>
        </w:tc>
      </w:tr>
      <w:tr>
        <w:tc>
          <w:tcPr>
            <w:tcW w:type="dxa" w:w="2400"/>
            <w:shd w:fill="FFFFFF"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Version</w:t>
            </w:r>
          </w:p>
        </w:tc>
        <w:tc>
          <w:tcPr>
            <w:tcW w:type="dxa" w:w="2100"/>
            <w:shd w:fill="FFFFFF"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int, def. 1</w:t>
            </w:r>
          </w:p>
        </w:tc>
        <w:tc>
          <w:tcPr>
            <w:tcW w:type="dxa" w:w="3900"/>
            <w:shd w:fill="FFFFFF"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Optimistic concurrency</w:t>
            </w:r>
          </w:p>
        </w:tc>
      </w:tr>
      <w:tr>
        <w:tc>
          <w:tcPr>
            <w:tcW w:type="dxa" w:w="2400"/>
            <w:shd w:fill="F2F4F7" w:color="auto" w:val="clear"/>
            <w:tcMar>
              <w:top w:type="dxa" w:w="60"/>
              <w:left w:type="dxa" w:w="90"/>
              <w:bottom w:type="dxa" w:w="60"/>
              <w:right w:type="dxa" w:w="90"/>
            </w:tcMar>
          </w:tcPr>
          <w:p>
            <w:pPr>
              <w:spacing w:after="0" w:line="240"/>
            </w:pPr>
            <w:r>
              <w:rPr>
                <w:rFonts w:ascii="Consolas" w:cs="Consolas" w:eastAsia="Consolas" w:hAnsi="Consolas"/>
                <w:b/>
                <w:bCs/>
                <w:color w:val="534AB7"/>
                <w:sz w:val="17"/>
                <w:szCs w:val="17"/>
              </w:rPr>
              <w:t xml:space="preserve">CK_TimeWindow</w:t>
            </w:r>
          </w:p>
        </w:tc>
        <w:tc>
          <w:tcPr>
            <w:tcW w:type="dxa" w:w="2100"/>
            <w:shd w:fill="F2F4F7" w:color="auto" w:val="clear"/>
            <w:tcMar>
              <w:top w:type="dxa" w:w="60"/>
              <w:left w:type="dxa" w:w="90"/>
              <w:bottom w:type="dxa" w:w="60"/>
              <w:right w:type="dxa" w:w="90"/>
            </w:tcMar>
          </w:tcPr>
          <w:p>
            <w:pPr>
              <w:spacing w:after="0" w:line="240"/>
            </w:pPr>
            <w:r>
              <w:rPr>
                <w:rFonts w:ascii="Calibri" w:cs="Calibri" w:eastAsia="Calibri" w:hAnsi="Calibri"/>
                <w:b/>
                <w:bCs/>
                <w:color w:val="534AB7"/>
                <w:sz w:val="18"/>
                <w:szCs w:val="18"/>
              </w:rPr>
              <w:t xml:space="preserve">check (rec)</w:t>
            </w:r>
          </w:p>
        </w:tc>
        <w:tc>
          <w:tcPr>
            <w:tcW w:type="dxa" w:w="3900"/>
            <w:shd w:fill="F2F4F7" w:color="auto" w:val="clear"/>
            <w:tcMar>
              <w:top w:type="dxa" w:w="60"/>
              <w:left w:type="dxa" w:w="90"/>
              <w:bottom w:type="dxa" w:w="60"/>
              <w:right w:type="dxa" w:w="90"/>
            </w:tcMar>
          </w:tcPr>
          <w:p>
            <w:pPr>
              <w:spacing w:after="0" w:line="240"/>
            </w:pPr>
            <w:r>
              <w:rPr>
                <w:rFonts w:ascii="Calibri" w:cs="Calibri" w:eastAsia="Calibri" w:hAnsi="Calibri"/>
                <w:b/>
                <w:bCs/>
                <w:color w:val="534AB7"/>
                <w:sz w:val="18"/>
                <w:szCs w:val="18"/>
              </w:rPr>
              <w:t xml:space="preserve">start &lt; end — mirrors validate rule</w:t>
            </w:r>
          </w:p>
        </w:tc>
      </w:tr>
      <w:tr>
        <w:tc>
          <w:tcPr>
            <w:tcW w:type="dxa" w:w="2400"/>
            <w:shd w:fill="FFFFFF" w:color="auto" w:val="clear"/>
            <w:tcMar>
              <w:top w:type="dxa" w:w="60"/>
              <w:left w:type="dxa" w:w="90"/>
              <w:bottom w:type="dxa" w:w="60"/>
              <w:right w:type="dxa" w:w="90"/>
            </w:tcMar>
          </w:tcPr>
          <w:p>
            <w:pPr>
              <w:spacing w:after="0" w:line="240"/>
            </w:pPr>
            <w:r>
              <w:rPr>
                <w:rFonts w:ascii="Consolas" w:cs="Consolas" w:eastAsia="Consolas" w:hAnsi="Consolas"/>
                <w:b/>
                <w:bCs/>
                <w:color w:val="534AB7"/>
                <w:sz w:val="17"/>
                <w:szCs w:val="17"/>
              </w:rPr>
              <w:t xml:space="preserve">IX_Search</w:t>
            </w:r>
          </w:p>
        </w:tc>
        <w:tc>
          <w:tcPr>
            <w:tcW w:type="dxa" w:w="2100"/>
            <w:shd w:fill="FFFFFF" w:color="auto" w:val="clear"/>
            <w:tcMar>
              <w:top w:type="dxa" w:w="60"/>
              <w:left w:type="dxa" w:w="90"/>
              <w:bottom w:type="dxa" w:w="60"/>
              <w:right w:type="dxa" w:w="90"/>
            </w:tcMar>
          </w:tcPr>
          <w:p>
            <w:pPr>
              <w:spacing w:after="0" w:line="240"/>
            </w:pPr>
            <w:r>
              <w:rPr>
                <w:rFonts w:ascii="Calibri" w:cs="Calibri" w:eastAsia="Calibri" w:hAnsi="Calibri"/>
                <w:b/>
                <w:bCs/>
                <w:color w:val="534AB7"/>
                <w:sz w:val="18"/>
                <w:szCs w:val="18"/>
              </w:rPr>
              <w:t xml:space="preserve">index (rec)</w:t>
            </w:r>
          </w:p>
        </w:tc>
        <w:tc>
          <w:tcPr>
            <w:tcW w:type="dxa" w:w="3900"/>
            <w:shd w:fill="FFFFFF" w:color="auto" w:val="clear"/>
            <w:tcMar>
              <w:top w:type="dxa" w:w="60"/>
              <w:left w:type="dxa" w:w="90"/>
              <w:bottom w:type="dxa" w:w="60"/>
              <w:right w:type="dxa" w:w="90"/>
            </w:tcMar>
          </w:tcPr>
          <w:p>
            <w:pPr>
              <w:spacing w:after="0" w:line="240"/>
            </w:pPr>
            <w:r>
              <w:rPr>
                <w:rFonts w:ascii="Calibri" w:cs="Calibri" w:eastAsia="Calibri" w:hAnsi="Calibri"/>
                <w:b/>
                <w:bCs/>
                <w:color w:val="534AB7"/>
                <w:sz w:val="18"/>
                <w:szCs w:val="18"/>
              </w:rPr>
              <w:t xml:space="preserve">TenantId, Status, CreatedAt</w:t>
            </w:r>
          </w:p>
        </w:tc>
      </w:tr>
    </w:tbl>
    <w:p>
      <w:pPr>
        <w:spacing w:after="160" w:before="0" w:line="276"/>
      </w:pPr>
      <w:r>
        <w:rPr>
          <w:rFonts w:ascii="Calibri" w:cs="Calibri" w:eastAsia="Calibri" w:hAnsi="Calibri"/>
          <w:color w:val="595959"/>
          <w:sz w:val="18"/>
          <w:szCs w:val="18"/>
        </w:rPr>
        <w:t xml:space="preserve">Status: Received · Validating · Ready · Accepted · Rejected · Cancelled · Expired.   Priority: Low · Normal · High · Urgent · Critical.</w:t>
      </w:r>
    </w:p>
    <w:p>
      <w:pPr>
        <w:pStyle w:val="Heading2"/>
        <w:spacing w:after="100" w:before="220"/>
      </w:pPr>
      <w:r>
        <w:rPr>
          <w:rFonts w:ascii="Calibri" w:cs="Calibri" w:eastAsia="Calibri" w:hAnsi="Calibri"/>
          <w:b/>
          <w:bCs/>
          <w:color w:val="1F3864"/>
          <w:sz w:val="24"/>
          <w:szCs w:val="24"/>
        </w:rPr>
        <w:t xml:space="preserve">2.2  demand.DemandValidationResults</w:t>
      </w:r>
    </w:p>
    <w:tbl>
      <w:tblPr>
        <w:tblW w:type="dxa" w:w="8400"/>
        <w:tblBorders>
          <w:top w:val="single" w:color="BFBFBF" w:sz="2"/>
          <w:left w:val="single" w:color="BFBFBF" w:sz="2"/>
          <w:bottom w:val="single" w:color="BFBFBF" w:sz="2"/>
          <w:right w:val="single" w:color="BFBFBF" w:sz="2"/>
          <w:insideH w:val="single" w:color="D9D9D9" w:sz="1"/>
          <w:insideV w:val="single" w:color="D9D9D9" w:sz="1"/>
        </w:tblBorders>
      </w:tblPr>
      <w:tblGrid>
        <w:gridCol w:w="2400"/>
        <w:gridCol w:w="2100"/>
        <w:gridCol w:w="3900"/>
      </w:tblGrid>
      <w:tr>
        <w:trPr>
          <w:tblHeader/>
        </w:trPr>
        <w:tc>
          <w:tcPr>
            <w:tcW w:type="dxa" w:w="24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9"/>
                <w:szCs w:val="19"/>
              </w:rPr>
              <w:t xml:space="preserve">Column</w:t>
            </w:r>
          </w:p>
        </w:tc>
        <w:tc>
          <w:tcPr>
            <w:tcW w:type="dxa" w:w="21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9"/>
                <w:szCs w:val="19"/>
              </w:rPr>
              <w:t xml:space="preserve">Type</w:t>
            </w:r>
          </w:p>
        </w:tc>
        <w:tc>
          <w:tcPr>
            <w:tcW w:type="dxa" w:w="39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9"/>
                <w:szCs w:val="19"/>
              </w:rPr>
              <w:t xml:space="preserve">Notes</w:t>
            </w:r>
          </w:p>
        </w:tc>
      </w:tr>
      <w:tr>
        <w:tc>
          <w:tcPr>
            <w:tcW w:type="dxa" w:w="2400"/>
            <w:shd w:fill="FFFFFF"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Id</w:t>
            </w:r>
          </w:p>
        </w:tc>
        <w:tc>
          <w:tcPr>
            <w:tcW w:type="dxa" w:w="2100"/>
            <w:shd w:fill="FFFFFF"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uuid (PK)</w:t>
            </w:r>
          </w:p>
        </w:tc>
        <w:tc>
          <w:tcPr>
            <w:tcW w:type="dxa" w:w="3900"/>
            <w:shd w:fill="FFFFFF"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TenantScopedEntity</w:t>
            </w:r>
          </w:p>
        </w:tc>
      </w:tr>
      <w:tr>
        <w:tc>
          <w:tcPr>
            <w:tcW w:type="dxa" w:w="2400"/>
            <w:shd w:fill="F2F4F7"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TenantId</w:t>
            </w:r>
          </w:p>
        </w:tc>
        <w:tc>
          <w:tcPr>
            <w:tcW w:type="dxa" w:w="21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uuid</w:t>
            </w:r>
          </w:p>
        </w:tc>
        <w:tc>
          <w:tcPr>
            <w:tcW w:type="dxa" w:w="39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RLS (rec) — see R1</w:t>
            </w:r>
          </w:p>
        </w:tc>
      </w:tr>
      <w:tr>
        <w:tc>
          <w:tcPr>
            <w:tcW w:type="dxa" w:w="2400"/>
            <w:shd w:fill="FFFFFF" w:color="auto" w:val="clear"/>
            <w:tcMar>
              <w:top w:type="dxa" w:w="60"/>
              <w:left w:type="dxa" w:w="90"/>
              <w:bottom w:type="dxa" w:w="60"/>
              <w:right w:type="dxa" w:w="90"/>
            </w:tcMar>
          </w:tcPr>
          <w:p>
            <w:pPr>
              <w:spacing w:after="0" w:line="240"/>
            </w:pPr>
            <w:r>
              <w:rPr>
                <w:rFonts w:ascii="Consolas" w:cs="Consolas" w:eastAsia="Consolas" w:hAnsi="Consolas"/>
                <w:b/>
                <w:bCs/>
                <w:color w:val="534AB7"/>
                <w:sz w:val="17"/>
                <w:szCs w:val="17"/>
              </w:rPr>
              <w:t xml:space="preserve">DemandId</w:t>
            </w:r>
          </w:p>
        </w:tc>
        <w:tc>
          <w:tcPr>
            <w:tcW w:type="dxa" w:w="2100"/>
            <w:shd w:fill="FFFFFF" w:color="auto" w:val="clear"/>
            <w:tcMar>
              <w:top w:type="dxa" w:w="60"/>
              <w:left w:type="dxa" w:w="90"/>
              <w:bottom w:type="dxa" w:w="60"/>
              <w:right w:type="dxa" w:w="90"/>
            </w:tcMar>
          </w:tcPr>
          <w:p>
            <w:pPr>
              <w:spacing w:after="0" w:line="240"/>
            </w:pPr>
            <w:r>
              <w:rPr>
                <w:rFonts w:ascii="Calibri" w:cs="Calibri" w:eastAsia="Calibri" w:hAnsi="Calibri"/>
                <w:b/>
                <w:bCs/>
                <w:color w:val="534AB7"/>
                <w:sz w:val="18"/>
                <w:szCs w:val="18"/>
              </w:rPr>
              <w:t xml:space="preserve">uuid, FK (rec)</w:t>
            </w:r>
          </w:p>
        </w:tc>
        <w:tc>
          <w:tcPr>
            <w:tcW w:type="dxa" w:w="3900"/>
            <w:shd w:fill="FFFFFF" w:color="auto" w:val="clear"/>
            <w:tcMar>
              <w:top w:type="dxa" w:w="60"/>
              <w:left w:type="dxa" w:w="90"/>
              <w:bottom w:type="dxa" w:w="60"/>
              <w:right w:type="dxa" w:w="90"/>
            </w:tcMar>
          </w:tcPr>
          <w:p>
            <w:pPr>
              <w:spacing w:after="0" w:line="240"/>
            </w:pPr>
            <w:r>
              <w:rPr>
                <w:rFonts w:ascii="Calibri" w:cs="Calibri" w:eastAsia="Calibri" w:hAnsi="Calibri"/>
                <w:b/>
                <w:bCs/>
                <w:color w:val="534AB7"/>
                <w:sz w:val="18"/>
                <w:szCs w:val="18"/>
              </w:rPr>
              <w:t xml:space="preserve">→ Demands, ON DELETE CASCADE</w:t>
            </w:r>
          </w:p>
        </w:tc>
      </w:tr>
      <w:tr>
        <w:tc>
          <w:tcPr>
            <w:tcW w:type="dxa" w:w="2400"/>
            <w:shd w:fill="F2F4F7"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Status</w:t>
            </w:r>
          </w:p>
        </w:tc>
        <w:tc>
          <w:tcPr>
            <w:tcW w:type="dxa" w:w="21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enum</w:t>
            </w:r>
          </w:p>
        </w:tc>
        <w:tc>
          <w:tcPr>
            <w:tcW w:type="dxa" w:w="39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Invalid · ValidWithWarnings · Valid</w:t>
            </w:r>
          </w:p>
        </w:tc>
      </w:tr>
      <w:tr>
        <w:tc>
          <w:tcPr>
            <w:tcW w:type="dxa" w:w="2400"/>
            <w:shd w:fill="FFFFFF"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ValidatedAt</w:t>
            </w:r>
          </w:p>
        </w:tc>
        <w:tc>
          <w:tcPr>
            <w:tcW w:type="dxa" w:w="2100"/>
            <w:shd w:fill="FFFFFF"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timestamptz</w:t>
            </w:r>
          </w:p>
        </w:tc>
        <w:tc>
          <w:tcPr>
            <w:tcW w:type="dxa" w:w="3900"/>
            <w:shd w:fill="FFFFFF"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Timestamp</w:t>
            </w:r>
          </w:p>
        </w:tc>
      </w:tr>
      <w:tr>
        <w:tc>
          <w:tcPr>
            <w:tcW w:type="dxa" w:w="2400"/>
            <w:shd w:fill="F2F4F7"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IssuesJson</w:t>
            </w:r>
          </w:p>
        </w:tc>
        <w:tc>
          <w:tcPr>
            <w:tcW w:type="dxa" w:w="21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jsonb</w:t>
            </w:r>
          </w:p>
        </w:tc>
        <w:tc>
          <w:tcPr>
            <w:tcW w:type="dxa" w:w="39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[{code, severity, message}]</w:t>
            </w:r>
          </w:p>
        </w:tc>
      </w:tr>
      <w:tr>
        <w:tc>
          <w:tcPr>
            <w:tcW w:type="dxa" w:w="2400"/>
            <w:shd w:fill="FFFFFF" w:color="auto" w:val="clear"/>
            <w:tcMar>
              <w:top w:type="dxa" w:w="60"/>
              <w:left w:type="dxa" w:w="90"/>
              <w:bottom w:type="dxa" w:w="60"/>
              <w:right w:type="dxa" w:w="90"/>
            </w:tcMar>
          </w:tcPr>
          <w:p>
            <w:pPr>
              <w:spacing w:after="0" w:line="240"/>
            </w:pPr>
            <w:r>
              <w:rPr>
                <w:rFonts w:ascii="Consolas" w:cs="Consolas" w:eastAsia="Consolas" w:hAnsi="Consolas"/>
                <w:b/>
                <w:bCs/>
                <w:color w:val="534AB7"/>
                <w:sz w:val="17"/>
                <w:szCs w:val="17"/>
              </w:rPr>
              <w:t xml:space="preserve">IX_DVR</w:t>
            </w:r>
          </w:p>
        </w:tc>
        <w:tc>
          <w:tcPr>
            <w:tcW w:type="dxa" w:w="2100"/>
            <w:shd w:fill="FFFFFF" w:color="auto" w:val="clear"/>
            <w:tcMar>
              <w:top w:type="dxa" w:w="60"/>
              <w:left w:type="dxa" w:w="90"/>
              <w:bottom w:type="dxa" w:w="60"/>
              <w:right w:type="dxa" w:w="90"/>
            </w:tcMar>
          </w:tcPr>
          <w:p>
            <w:pPr>
              <w:spacing w:after="0" w:line="240"/>
            </w:pPr>
            <w:r>
              <w:rPr>
                <w:rFonts w:ascii="Calibri" w:cs="Calibri" w:eastAsia="Calibri" w:hAnsi="Calibri"/>
                <w:b/>
                <w:bCs/>
                <w:color w:val="534AB7"/>
                <w:sz w:val="18"/>
                <w:szCs w:val="18"/>
              </w:rPr>
              <w:t xml:space="preserve">index (rec)</w:t>
            </w:r>
          </w:p>
        </w:tc>
        <w:tc>
          <w:tcPr>
            <w:tcW w:type="dxa" w:w="3900"/>
            <w:shd w:fill="FFFFFF" w:color="auto" w:val="clear"/>
            <w:tcMar>
              <w:top w:type="dxa" w:w="60"/>
              <w:left w:type="dxa" w:w="90"/>
              <w:bottom w:type="dxa" w:w="60"/>
              <w:right w:type="dxa" w:w="90"/>
            </w:tcMar>
          </w:tcPr>
          <w:p>
            <w:pPr>
              <w:spacing w:after="0" w:line="240"/>
            </w:pPr>
            <w:r>
              <w:rPr>
                <w:rFonts w:ascii="Calibri" w:cs="Calibri" w:eastAsia="Calibri" w:hAnsi="Calibri"/>
                <w:b/>
                <w:bCs/>
                <w:color w:val="534AB7"/>
                <w:sz w:val="18"/>
                <w:szCs w:val="18"/>
              </w:rPr>
              <w:t xml:space="preserve">TenantId, DemandId, ValidatedAt</w:t>
            </w:r>
          </w:p>
        </w:tc>
      </w:tr>
    </w:tbl>
    <w:p>
      <w:pPr>
        <w:spacing w:after="80" w:before="0" w:line="276"/>
      </w:pPr>
      <w:r>
        <w:rPr>
          <w:rFonts w:ascii="Calibri" w:cs="Calibri" w:eastAsia="Calibri" w:hAnsi="Calibri"/>
          <w:sz w:val="21"/>
          <w:szCs w:val="21"/>
        </w:rPr>
        <w:t xml:space="preserve"/>
      </w:r>
    </w:p>
    <w:p>
      <w:pPr>
        <w:pStyle w:val="Heading2"/>
        <w:spacing w:after="100" w:before="220"/>
      </w:pPr>
      <w:r>
        <w:rPr>
          <w:rFonts w:ascii="Calibri" w:cs="Calibri" w:eastAsia="Calibri" w:hAnsi="Calibri"/>
          <w:b/>
          <w:bCs/>
          <w:color w:val="1F3864"/>
          <w:sz w:val="24"/>
          <w:szCs w:val="24"/>
        </w:rPr>
        <w:t xml:space="preserve">2.3  demand.DemandIdempotencyRecords</w:t>
      </w:r>
    </w:p>
    <w:tbl>
      <w:tblPr>
        <w:tblW w:type="dxa" w:w="8400"/>
        <w:tblBorders>
          <w:top w:val="single" w:color="BFBFBF" w:sz="2"/>
          <w:left w:val="single" w:color="BFBFBF" w:sz="2"/>
          <w:bottom w:val="single" w:color="BFBFBF" w:sz="2"/>
          <w:right w:val="single" w:color="BFBFBF" w:sz="2"/>
          <w:insideH w:val="single" w:color="D9D9D9" w:sz="1"/>
          <w:insideV w:val="single" w:color="D9D9D9" w:sz="1"/>
        </w:tblBorders>
      </w:tblPr>
      <w:tblGrid>
        <w:gridCol w:w="2400"/>
        <w:gridCol w:w="2100"/>
        <w:gridCol w:w="3900"/>
      </w:tblGrid>
      <w:tr>
        <w:trPr>
          <w:tblHeader/>
        </w:trPr>
        <w:tc>
          <w:tcPr>
            <w:tcW w:type="dxa" w:w="24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9"/>
                <w:szCs w:val="19"/>
              </w:rPr>
              <w:t xml:space="preserve">Column</w:t>
            </w:r>
          </w:p>
        </w:tc>
        <w:tc>
          <w:tcPr>
            <w:tcW w:type="dxa" w:w="21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9"/>
                <w:szCs w:val="19"/>
              </w:rPr>
              <w:t xml:space="preserve">Type</w:t>
            </w:r>
          </w:p>
        </w:tc>
        <w:tc>
          <w:tcPr>
            <w:tcW w:type="dxa" w:w="39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9"/>
                <w:szCs w:val="19"/>
              </w:rPr>
              <w:t xml:space="preserve">Notes</w:t>
            </w:r>
          </w:p>
        </w:tc>
      </w:tr>
      <w:tr>
        <w:tc>
          <w:tcPr>
            <w:tcW w:type="dxa" w:w="2400"/>
            <w:shd w:fill="FFFFFF"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Id</w:t>
            </w:r>
          </w:p>
        </w:tc>
        <w:tc>
          <w:tcPr>
            <w:tcW w:type="dxa" w:w="2100"/>
            <w:shd w:fill="FFFFFF"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uuid (PK)</w:t>
            </w:r>
          </w:p>
        </w:tc>
        <w:tc>
          <w:tcPr>
            <w:tcW w:type="dxa" w:w="3900"/>
            <w:shd w:fill="FFFFFF"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TenantScopedEntity</w:t>
            </w:r>
          </w:p>
        </w:tc>
      </w:tr>
      <w:tr>
        <w:tc>
          <w:tcPr>
            <w:tcW w:type="dxa" w:w="2400"/>
            <w:shd w:fill="F2F4F7"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TenantId</w:t>
            </w:r>
          </w:p>
        </w:tc>
        <w:tc>
          <w:tcPr>
            <w:tcW w:type="dxa" w:w="21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uuid</w:t>
            </w:r>
          </w:p>
        </w:tc>
        <w:tc>
          <w:tcPr>
            <w:tcW w:type="dxa" w:w="39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Unique with key · RLS (rec)</w:t>
            </w:r>
          </w:p>
        </w:tc>
      </w:tr>
      <w:tr>
        <w:tc>
          <w:tcPr>
            <w:tcW w:type="dxa" w:w="2400"/>
            <w:shd w:fill="FFFFFF"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IdempotencyKey</w:t>
            </w:r>
          </w:p>
        </w:tc>
        <w:tc>
          <w:tcPr>
            <w:tcW w:type="dxa" w:w="2100"/>
            <w:shd w:fill="FFFFFF"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varchar, required</w:t>
            </w:r>
          </w:p>
        </w:tc>
        <w:tc>
          <w:tcPr>
            <w:tcW w:type="dxa" w:w="3900"/>
            <w:shd w:fill="FFFFFF"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From Idempotency-Key header</w:t>
            </w:r>
          </w:p>
        </w:tc>
      </w:tr>
      <w:tr>
        <w:tc>
          <w:tcPr>
            <w:tcW w:type="dxa" w:w="2400"/>
            <w:shd w:fill="F2F4F7"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RequestHash</w:t>
            </w:r>
          </w:p>
        </w:tc>
        <w:tc>
          <w:tcPr>
            <w:tcW w:type="dxa" w:w="21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char(64)</w:t>
            </w:r>
          </w:p>
        </w:tc>
        <w:tc>
          <w:tcPr>
            <w:tcW w:type="dxa" w:w="39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SHA-256 of request JSON</w:t>
            </w:r>
          </w:p>
        </w:tc>
      </w:tr>
      <w:tr>
        <w:tc>
          <w:tcPr>
            <w:tcW w:type="dxa" w:w="2400"/>
            <w:shd w:fill="FFFFFF" w:color="auto" w:val="clear"/>
            <w:tcMar>
              <w:top w:type="dxa" w:w="60"/>
              <w:left w:type="dxa" w:w="90"/>
              <w:bottom w:type="dxa" w:w="60"/>
              <w:right w:type="dxa" w:w="90"/>
            </w:tcMar>
          </w:tcPr>
          <w:p>
            <w:pPr>
              <w:spacing w:after="0" w:line="240"/>
            </w:pPr>
            <w:r>
              <w:rPr>
                <w:rFonts w:ascii="Consolas" w:cs="Consolas" w:eastAsia="Consolas" w:hAnsi="Consolas"/>
                <w:b/>
                <w:bCs/>
                <w:color w:val="534AB7"/>
                <w:sz w:val="17"/>
                <w:szCs w:val="17"/>
              </w:rPr>
              <w:t xml:space="preserve">DemandId</w:t>
            </w:r>
          </w:p>
        </w:tc>
        <w:tc>
          <w:tcPr>
            <w:tcW w:type="dxa" w:w="2100"/>
            <w:shd w:fill="FFFFFF" w:color="auto" w:val="clear"/>
            <w:tcMar>
              <w:top w:type="dxa" w:w="60"/>
              <w:left w:type="dxa" w:w="90"/>
              <w:bottom w:type="dxa" w:w="60"/>
              <w:right w:type="dxa" w:w="90"/>
            </w:tcMar>
          </w:tcPr>
          <w:p>
            <w:pPr>
              <w:spacing w:after="0" w:line="240"/>
            </w:pPr>
            <w:r>
              <w:rPr>
                <w:rFonts w:ascii="Calibri" w:cs="Calibri" w:eastAsia="Calibri" w:hAnsi="Calibri"/>
                <w:b/>
                <w:bCs/>
                <w:color w:val="534AB7"/>
                <w:sz w:val="18"/>
                <w:szCs w:val="18"/>
              </w:rPr>
              <w:t xml:space="preserve">uuid, FK (rec)</w:t>
            </w:r>
          </w:p>
        </w:tc>
        <w:tc>
          <w:tcPr>
            <w:tcW w:type="dxa" w:w="3900"/>
            <w:shd w:fill="FFFFFF" w:color="auto" w:val="clear"/>
            <w:tcMar>
              <w:top w:type="dxa" w:w="60"/>
              <w:left w:type="dxa" w:w="90"/>
              <w:bottom w:type="dxa" w:w="60"/>
              <w:right w:type="dxa" w:w="90"/>
            </w:tcMar>
          </w:tcPr>
          <w:p>
            <w:pPr>
              <w:spacing w:after="0" w:line="240"/>
            </w:pPr>
            <w:r>
              <w:rPr>
                <w:rFonts w:ascii="Calibri" w:cs="Calibri" w:eastAsia="Calibri" w:hAnsi="Calibri"/>
                <w:b/>
                <w:bCs/>
                <w:color w:val="534AB7"/>
                <w:sz w:val="18"/>
                <w:szCs w:val="18"/>
              </w:rPr>
              <w:t xml:space="preserve">→ Demands, ON DELETE RESTRICT</w:t>
            </w:r>
          </w:p>
        </w:tc>
      </w:tr>
      <w:tr>
        <w:tc>
          <w:tcPr>
            <w:tcW w:type="dxa" w:w="2400"/>
            <w:shd w:fill="F2F4F7" w:color="auto" w:val="clear"/>
            <w:tcMar>
              <w:top w:type="dxa" w:w="60"/>
              <w:left w:type="dxa" w:w="90"/>
              <w:bottom w:type="dxa" w:w="60"/>
              <w:right w:type="dxa" w:w="90"/>
            </w:tcMar>
          </w:tcPr>
          <w:p>
            <w:pPr>
              <w:spacing w:after="0" w:line="240"/>
            </w:pPr>
            <w:r>
              <w:rPr>
                <w:rFonts w:ascii="Consolas" w:cs="Consolas" w:eastAsia="Consolas" w:hAnsi="Consolas"/>
                <w:b w:val="false"/>
                <w:bCs w:val="false"/>
                <w:color w:val="000000"/>
                <w:sz w:val="17"/>
                <w:szCs w:val="17"/>
              </w:rPr>
              <w:t xml:space="preserve">ResponseBodyJson</w:t>
            </w:r>
          </w:p>
        </w:tc>
        <w:tc>
          <w:tcPr>
            <w:tcW w:type="dxa" w:w="21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jsonb</w:t>
            </w:r>
          </w:p>
        </w:tc>
        <w:tc>
          <w:tcPr>
            <w:tcW w:type="dxa" w:w="3900"/>
            <w:shd w:fill="F2F4F7" w:color="auto" w:val="clear"/>
            <w:tcMar>
              <w:top w:type="dxa" w:w="60"/>
              <w:left w:type="dxa" w:w="90"/>
              <w:bottom w:type="dxa" w:w="60"/>
              <w:right w:type="dxa" w:w="90"/>
            </w:tcMar>
          </w:tcPr>
          <w:p>
            <w:pPr>
              <w:spacing w:after="0" w:line="240"/>
            </w:pPr>
            <w:r>
              <w:rPr>
                <w:rFonts w:ascii="Calibri" w:cs="Calibri" w:eastAsia="Calibri" w:hAnsi="Calibri"/>
                <w:b w:val="false"/>
                <w:bCs w:val="false"/>
                <w:color w:val="000000"/>
                <w:sz w:val="18"/>
                <w:szCs w:val="18"/>
              </w:rPr>
              <w:t xml:space="preserve">Original 201, replayed verbatim</w:t>
            </w:r>
          </w:p>
        </w:tc>
      </w:tr>
    </w:tbl>
    <w:p>
      <w:pPr>
        <w:spacing w:after="60" w:line="276"/>
      </w:pPr>
      <w:r>
        <w:rPr>
          <w:rFonts w:ascii="Calibri" w:cs="Calibri" w:eastAsia="Calibri" w:hAnsi="Calibri"/>
          <w:b/>
          <w:bCs/>
          <w:sz w:val="21"/>
          <w:szCs w:val="21"/>
        </w:rPr>
        <w:t xml:space="preserve">Unique index: </w:t>
      </w:r>
      <w:r>
        <w:rPr>
          <w:rFonts w:ascii="Consolas" w:cs="Consolas" w:eastAsia="Consolas" w:hAnsi="Consolas"/>
          <w:sz w:val="19"/>
          <w:szCs w:val="19"/>
        </w:rPr>
        <w:t xml:space="preserve">(TenantId, IdempotencyKey)</w:t>
      </w:r>
      <w:r>
        <w:rPr>
          <w:rFonts w:ascii="Calibri" w:cs="Calibri" w:eastAsia="Calibri" w:hAnsi="Calibri"/>
          <w:sz w:val="21"/>
          <w:szCs w:val="21"/>
        </w:rPr>
        <w:t xml:space="preserve">  — the only constraint the source spec states explicitly.</w:t>
      </w:r>
    </w:p>
    <w:p>
      <w:r>
        <w:br w:type="page"/>
      </w:r>
    </w:p>
    <w:p>
      <w:pPr>
        <w:pStyle w:val="Heading1"/>
        <w:spacing w:after="140" w:before="280"/>
      </w:pPr>
      <w:r>
        <w:rPr>
          <w:rFonts w:ascii="Calibri" w:cs="Calibri" w:eastAsia="Calibri" w:hAnsi="Calibri"/>
          <w:b/>
          <w:bCs/>
          <w:color w:val="1F3864"/>
          <w:sz w:val="30"/>
          <w:szCs w:val="30"/>
        </w:rPr>
        <w:t xml:space="preserve">3.  Reference values</w:t>
      </w:r>
    </w:p>
    <w:p>
      <w:pPr>
        <w:spacing w:after="140" w:before="0" w:line="276"/>
      </w:pPr>
      <w:r>
        <w:rPr>
          <w:rFonts w:ascii="Calibri" w:cs="Calibri" w:eastAsia="Calibri" w:hAnsi="Calibri"/>
          <w:sz w:val="21"/>
          <w:szCs w:val="21"/>
        </w:rPr>
        <w:t xml:space="preserve">Suggested value sets for the five categorical columns. DemandType, SourceSystem, and SourceChannel hold the caller's own vocabulary — the platform stores them as opaque strings and must never branch on them; the values shown are an illustrative PetZiv starter set, configuration owned by the caller. FulfillmentMode and Status are platform-owned closed sets that downstream logic depends on. Note the deliberate split of DemandType (nature of work) from FulfillmentMode (timing) — see 3.1–3.2.</w:t>
      </w:r>
    </w:p>
    <w:p>
      <w:pPr>
        <w:spacing w:after="40"/>
      </w:pPr>
      <w:r>
        <w:rPr>
          <w:rFonts w:ascii="Calibri" w:cs="Calibri" w:eastAsia="Calibri" w:hAnsi="Calibri"/>
          <w:color w:val="1F3864"/>
          <w:sz w:val="22"/>
          <w:szCs w:val="22"/>
        </w:rPr>
        <w:t xml:space="preserve">■ </w:t>
      </w:r>
      <w:r>
        <w:rPr>
          <w:rFonts w:ascii="Calibri" w:cs="Calibri" w:eastAsia="Calibri" w:hAnsi="Calibri"/>
          <w:b/>
          <w:bCs/>
          <w:color w:val="1F3864"/>
          <w:sz w:val="19"/>
          <w:szCs w:val="19"/>
        </w:rPr>
        <w:t xml:space="preserve">spec  </w:t>
      </w:r>
      <w:r>
        <w:rPr>
          <w:rFonts w:ascii="Calibri" w:cs="Calibri" w:eastAsia="Calibri" w:hAnsi="Calibri"/>
          <w:color w:val="595959"/>
          <w:sz w:val="19"/>
          <w:szCs w:val="19"/>
        </w:rPr>
        <w:t xml:space="preserve">value set fixed by the specification — closed, not tenant-extensible</w:t>
      </w:r>
    </w:p>
    <w:p>
      <w:pPr>
        <w:spacing w:after="40"/>
      </w:pPr>
      <w:r>
        <w:rPr>
          <w:rFonts w:ascii="Calibri" w:cs="Calibri" w:eastAsia="Calibri" w:hAnsi="Calibri"/>
          <w:color w:val="534AB7"/>
          <w:sz w:val="22"/>
          <w:szCs w:val="22"/>
        </w:rPr>
        <w:t xml:space="preserve">■ </w:t>
      </w:r>
      <w:r>
        <w:rPr>
          <w:rFonts w:ascii="Calibri" w:cs="Calibri" w:eastAsia="Calibri" w:hAnsi="Calibri"/>
          <w:b/>
          <w:bCs/>
          <w:color w:val="534AB7"/>
          <w:sz w:val="19"/>
          <w:szCs w:val="19"/>
        </w:rPr>
        <w:t xml:space="preserve">REC  </w:t>
      </w:r>
      <w:r>
        <w:rPr>
          <w:rFonts w:ascii="Calibri" w:cs="Calibri" w:eastAsia="Calibri" w:hAnsi="Calibri"/>
          <w:color w:val="595959"/>
          <w:sz w:val="19"/>
          <w:szCs w:val="19"/>
        </w:rPr>
        <w:t xml:space="preserve">illustrative PetZiv starter set — confirm the real list before enforcing</w:t>
      </w:r>
    </w:p>
    <w:p>
      <w:pPr>
        <w:spacing w:after="80" w:before="0" w:line="276"/>
      </w:pPr>
      <w:r>
        <w:rPr>
          <w:rFonts w:ascii="Calibri" w:cs="Calibri" w:eastAsia="Calibri" w:hAnsi="Calibri"/>
          <w:sz w:val="21"/>
          <w:szCs w:val="21"/>
        </w:rPr>
        <w:t xml:space="preserve"/>
      </w:r>
    </w:p>
    <w:p>
      <w:pPr>
        <w:pStyle w:val="Heading2"/>
        <w:spacing w:after="60" w:before="220"/>
      </w:pPr>
      <w:r>
        <w:rPr>
          <w:rFonts w:ascii="Calibri" w:cs="Calibri" w:eastAsia="Calibri" w:hAnsi="Calibri"/>
          <w:b/>
          <w:bCs/>
          <w:color w:val="1F3864"/>
          <w:sz w:val="24"/>
          <w:szCs w:val="24"/>
        </w:rPr>
        <w:t xml:space="preserve">3.1  Demands.DemandType</w:t>
      </w:r>
      <w:r>
        <w:rPr>
          <w:rFonts w:ascii="Calibri" w:cs="Calibri" w:eastAsia="Calibri" w:hAnsi="Calibri"/>
          <w:b/>
          <w:bCs/>
          <w:color w:val="534AB7"/>
          <w:sz w:val="18"/>
          <w:szCs w:val="18"/>
        </w:rPr>
        <w:t xml:space="preserve">    caller-defined</w:t>
      </w:r>
    </w:p>
    <w:p>
      <w:pPr>
        <w:spacing w:after="100" w:before="0" w:line="276"/>
      </w:pPr>
      <w:r>
        <w:rPr>
          <w:rFonts w:ascii="Calibri" w:cs="Calibri" w:eastAsia="Calibri" w:hAnsi="Calibri"/>
          <w:sz w:val="21"/>
          <w:szCs w:val="21"/>
        </w:rPr>
        <w:t xml:space="preserve">DemandType carries one axis only: the nature of the work, in the caller's own terms. It deliberately does NOT encode timing (on-demand vs scheduled) — that is a separate, platform-owned axis, FulfillmentMode (section 3.2). Splitting them is what keeps the type set extensible: a new service adds one DemandType with no platform change, and a new fulfillment model never forks every type into an on-demand and a scheduled variant.</w:t>
      </w:r>
    </w:p>
    <w:p>
      <w:pPr>
        <w:spacing w:after="100" w:before="0" w:line="276"/>
      </w:pPr>
      <w:r>
        <w:rPr>
          <w:rFonts w:ascii="Calibri" w:cs="Calibri" w:eastAsia="Calibri" w:hAnsi="Calibri"/>
          <w:color w:val="595959"/>
          <w:sz w:val="19"/>
          <w:szCs w:val="19"/>
        </w:rPr>
        <w:t xml:space="preserve">Grounding: ServiceNow Field Service Management classifies work orders by nature (reactive, preventive, inspection, installation); appointment and on-demand platforms classify by timing (one-time, recurring, immediate). On-demand marketplace guidance is explicit that instant-vs-scheduled is a structural property driving matching, payment, and notification logic — building one model on the other's stack is cited as a leading cause of costly rebuilds. Hence timing lives in its own column, not in DemandType.</w:t>
      </w:r>
    </w:p>
    <w:tbl>
      <w:tblPr>
        <w:tblW w:type="dxa" w:w="8400"/>
        <w:tblBorders>
          <w:top w:val="single" w:color="BFBFBF" w:sz="2"/>
          <w:left w:val="single" w:color="BFBFBF" w:sz="2"/>
          <w:bottom w:val="single" w:color="BFBFBF" w:sz="2"/>
          <w:right w:val="single" w:color="BFBFBF" w:sz="2"/>
          <w:insideH w:val="single" w:color="D9D9D9" w:sz="1"/>
          <w:insideV w:val="single" w:color="D9D9D9" w:sz="1"/>
        </w:tblBorders>
      </w:tblPr>
      <w:tblGrid>
        <w:gridCol w:w="2600"/>
        <w:gridCol w:w="5800"/>
      </w:tblGrid>
      <w:tr>
        <w:trPr>
          <w:tblHeader/>
        </w:trPr>
        <w:tc>
          <w:tcPr>
            <w:tcW w:type="dxa" w:w="26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9"/>
                <w:szCs w:val="19"/>
              </w:rPr>
              <w:t xml:space="preserve">Value</w:t>
            </w:r>
          </w:p>
        </w:tc>
        <w:tc>
          <w:tcPr>
            <w:tcW w:type="dxa" w:w="58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9"/>
                <w:szCs w:val="19"/>
              </w:rPr>
              <w:t xml:space="preserve">Meaning</w:t>
            </w:r>
          </w:p>
        </w:tc>
      </w:tr>
      <w:tr>
        <w:tc>
          <w:tcPr>
            <w:tcW w:type="dxa" w:w="2600"/>
            <w:shd w:fill="FFFFFF"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GroomingVisit</w:t>
            </w:r>
          </w:p>
        </w:tc>
        <w:tc>
          <w:tcPr>
            <w:tcW w:type="dxa" w:w="5800"/>
            <w:shd w:fill="FFFFFF"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A grooming service (bath, cut, style) for a pet.</w:t>
            </w:r>
          </w:p>
        </w:tc>
      </w:tr>
      <w:tr>
        <w:tc>
          <w:tcPr>
            <w:tcW w:type="dxa" w:w="2600"/>
            <w:shd w:fill="F2F4F7"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VetConsult</w:t>
            </w:r>
          </w:p>
        </w:tc>
        <w:tc>
          <w:tcPr>
            <w:tcW w:type="dxa" w:w="5800"/>
            <w:shd w:fill="F2F4F7"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A veterinary consultation or advisory interaction.</w:t>
            </w:r>
          </w:p>
        </w:tc>
      </w:tr>
      <w:tr>
        <w:tc>
          <w:tcPr>
            <w:tcW w:type="dxa" w:w="2600"/>
            <w:shd w:fill="FFFFFF"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DogWalk</w:t>
            </w:r>
          </w:p>
        </w:tc>
        <w:tc>
          <w:tcPr>
            <w:tcW w:type="dxa" w:w="5800"/>
            <w:shd w:fill="FFFFFF"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A walking service, often the recurring or on-demand case.</w:t>
            </w:r>
          </w:p>
        </w:tc>
      </w:tr>
      <w:tr>
        <w:tc>
          <w:tcPr>
            <w:tcW w:type="dxa" w:w="2600"/>
            <w:shd w:fill="F2F4F7"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PetTransport</w:t>
            </w:r>
          </w:p>
        </w:tc>
        <w:tc>
          <w:tcPr>
            <w:tcW w:type="dxa" w:w="5800"/>
            <w:shd w:fill="F2F4F7"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A pickup / drop-off or movement request.</w:t>
            </w:r>
          </w:p>
        </w:tc>
      </w:tr>
      <w:tr>
        <w:tc>
          <w:tcPr>
            <w:tcW w:type="dxa" w:w="2600"/>
            <w:shd w:fill="FFFFFF"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Boarding</w:t>
            </w:r>
          </w:p>
        </w:tc>
        <w:tc>
          <w:tcPr>
            <w:tcW w:type="dxa" w:w="5800"/>
            <w:shd w:fill="FFFFFF"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An overnight or multi-day stay.</w:t>
            </w:r>
          </w:p>
        </w:tc>
      </w:tr>
      <w:tr>
        <w:tc>
          <w:tcPr>
            <w:tcW w:type="dxa" w:w="2600"/>
            <w:shd w:fill="F2F4F7"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Training</w:t>
            </w:r>
          </w:p>
        </w:tc>
        <w:tc>
          <w:tcPr>
            <w:tcW w:type="dxa" w:w="5800"/>
            <w:shd w:fill="F2F4F7"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A behaviour or obedience training session.</w:t>
            </w:r>
          </w:p>
        </w:tc>
      </w:tr>
      <w:tr>
        <w:tc>
          <w:tcPr>
            <w:tcW w:type="dxa" w:w="2600"/>
            <w:shd w:fill="FFFFFF"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NailTrim</w:t>
            </w:r>
          </w:p>
        </w:tc>
        <w:tc>
          <w:tcPr>
            <w:tcW w:type="dxa" w:w="5800"/>
            <w:shd w:fill="FFFFFF"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A short grooming add-on; shown to illustrate cheap extensibility.</w:t>
            </w:r>
          </w:p>
        </w:tc>
      </w:tr>
      <w:tr>
        <w:tc>
          <w:tcPr>
            <w:tcW w:type="dxa" w:w="2600"/>
            <w:shd w:fill="F2F4F7"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Assessment</w:t>
            </w:r>
          </w:p>
        </w:tc>
        <w:tc>
          <w:tcPr>
            <w:tcW w:type="dxa" w:w="5800"/>
            <w:shd w:fill="F2F4F7"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An evaluation to determine what work, if any, is required.</w:t>
            </w:r>
          </w:p>
        </w:tc>
      </w:tr>
    </w:tbl>
    <w:p>
      <w:pPr>
        <w:spacing w:after="140" w:before="0" w:line="276"/>
      </w:pPr>
      <w:r>
        <w:rPr>
          <w:rFonts w:ascii="Calibri" w:cs="Calibri" w:eastAsia="Calibri" w:hAnsi="Calibri"/>
          <w:i/>
          <w:iCs/>
          <w:color w:val="595959"/>
          <w:sz w:val="19"/>
          <w:szCs w:val="19"/>
        </w:rPr>
        <w:t xml:space="preserve">These are illustrative PetZiv values on the nature-of-work axis. Recommended handling: a per-tenant lookup owned by caller configuration, not a platform enum — the platform stores the string and never branches on it.</w:t>
      </w:r>
    </w:p>
    <w:p>
      <w:pPr>
        <w:pStyle w:val="Heading2"/>
        <w:spacing w:after="60" w:before="200"/>
      </w:pPr>
      <w:r>
        <w:rPr>
          <w:rFonts w:ascii="Calibri" w:cs="Calibri" w:eastAsia="Calibri" w:hAnsi="Calibri"/>
          <w:b/>
          <w:bCs/>
          <w:color w:val="1F3864"/>
          <w:sz w:val="24"/>
          <w:szCs w:val="24"/>
        </w:rPr>
        <w:t xml:space="preserve">3.2  Demands.FulfillmentMode</w:t>
      </w:r>
      <w:r>
        <w:rPr>
          <w:rFonts w:ascii="Calibri" w:cs="Calibri" w:eastAsia="Calibri" w:hAnsi="Calibri"/>
          <w:b/>
          <w:bCs/>
          <w:color w:val="534AB7"/>
          <w:sz w:val="18"/>
          <w:szCs w:val="18"/>
        </w:rPr>
        <w:t xml:space="preserve">    platform-owned, closed set (rec)</w:t>
      </w:r>
    </w:p>
    <w:p>
      <w:pPr>
        <w:spacing w:after="100" w:before="0" w:line="276"/>
      </w:pPr>
      <w:r>
        <w:rPr>
          <w:rFonts w:ascii="Calibri" w:cs="Calibri" w:eastAsia="Calibri" w:hAnsi="Calibri"/>
          <w:sz w:val="21"/>
          <w:szCs w:val="21"/>
        </w:rPr>
        <w:t xml:space="preserve">The timing axis — how a demand is fulfilled in time. Unlike DemandType this is platform-owned and closed, because downstream matching, booking, and notification logic branches on it. A dedicated column (rather than inferring from the requested window or overloading Priority) makes the distinction explicit and queryable at the scheduling handoff. Recommended NOT NULL default: Scheduled.</w:t>
      </w:r>
    </w:p>
    <w:tbl>
      <w:tblPr>
        <w:tblW w:type="dxa" w:w="8400"/>
        <w:tblBorders>
          <w:top w:val="single" w:color="BFBFBF" w:sz="2"/>
          <w:left w:val="single" w:color="BFBFBF" w:sz="2"/>
          <w:bottom w:val="single" w:color="BFBFBF" w:sz="2"/>
          <w:right w:val="single" w:color="BFBFBF" w:sz="2"/>
          <w:insideH w:val="single" w:color="D9D9D9" w:sz="1"/>
          <w:insideV w:val="single" w:color="D9D9D9" w:sz="1"/>
        </w:tblBorders>
      </w:tblPr>
      <w:tblGrid>
        <w:gridCol w:w="2600"/>
        <w:gridCol w:w="5800"/>
      </w:tblGrid>
      <w:tr>
        <w:trPr>
          <w:tblHeader/>
        </w:trPr>
        <w:tc>
          <w:tcPr>
            <w:tcW w:type="dxa" w:w="26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9"/>
                <w:szCs w:val="19"/>
              </w:rPr>
              <w:t xml:space="preserve">Value</w:t>
            </w:r>
          </w:p>
        </w:tc>
        <w:tc>
          <w:tcPr>
            <w:tcW w:type="dxa" w:w="58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9"/>
                <w:szCs w:val="19"/>
              </w:rPr>
              <w:t xml:space="preserve">Meaning</w:t>
            </w:r>
          </w:p>
        </w:tc>
      </w:tr>
      <w:tr>
        <w:tc>
          <w:tcPr>
            <w:tcW w:type="dxa" w:w="2600"/>
            <w:shd w:fill="FFFFFF"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OnDemand</w:t>
            </w:r>
          </w:p>
        </w:tc>
        <w:tc>
          <w:tcPr>
            <w:tcW w:type="dxa" w:w="5800"/>
            <w:shd w:fill="FFFFFF"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Immediate / near-immediate; routes to real-time matching and dispatch.</w:t>
            </w:r>
          </w:p>
        </w:tc>
      </w:tr>
      <w:tr>
        <w:tc>
          <w:tcPr>
            <w:tcW w:type="dxa" w:w="2600"/>
            <w:shd w:fill="F2F4F7"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Scheduled</w:t>
            </w:r>
          </w:p>
        </w:tc>
        <w:tc>
          <w:tcPr>
            <w:tcW w:type="dxa" w:w="5800"/>
            <w:shd w:fill="F2F4F7"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Booked for a specific future time or window; routes to availability + booking.</w:t>
            </w:r>
          </w:p>
        </w:tc>
      </w:tr>
      <w:tr>
        <w:tc>
          <w:tcPr>
            <w:tcW w:type="dxa" w:w="2600"/>
            <w:shd w:fill="FFFFFF"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Recurring</w:t>
            </w:r>
          </w:p>
        </w:tc>
        <w:tc>
          <w:tcPr>
            <w:tcW w:type="dxa" w:w="5800"/>
            <w:shd w:fill="FFFFFF"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One instance of a repeating arrangement; cadence lives in recurrence fields, not here.</w:t>
            </w:r>
          </w:p>
        </w:tc>
      </w:tr>
      <w:tr>
        <w:tc>
          <w:tcPr>
            <w:tcW w:type="dxa" w:w="2600"/>
            <w:shd w:fill="F2F4F7"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Standby</w:t>
            </w:r>
          </w:p>
        </w:tc>
        <w:tc>
          <w:tcPr>
            <w:tcW w:type="dxa" w:w="5800"/>
            <w:shd w:fill="F2F4F7"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Flexible / as-capacity-allows — the drop-in pattern from scheduling platforms.</w:t>
            </w:r>
          </w:p>
        </w:tc>
      </w:tr>
    </w:tbl>
    <w:p>
      <w:pPr>
        <w:spacing w:after="140" w:before="0" w:line="276"/>
      </w:pPr>
      <w:r>
        <w:rPr>
          <w:rFonts w:ascii="Calibri" w:cs="Calibri" w:eastAsia="Calibri" w:hAnsi="Calibri"/>
          <w:i/>
          <w:iCs/>
          <w:color w:val="595959"/>
          <w:sz w:val="19"/>
          <w:szCs w:val="19"/>
        </w:rPr>
        <w:t xml:space="preserve">Closed set, like Status. Any DemandType can pair with any FulfillmentMode — the two axes are orthogonal, so a Demand row is effectively one cell in a type-by-mode grid (e.g. GroomingVisit + OnDemand, or DogWalk + Recurring).</w:t>
      </w:r>
    </w:p>
    <w:p>
      <w:pPr>
        <w:pStyle w:val="Heading2"/>
        <w:spacing w:after="60" w:before="200"/>
      </w:pPr>
      <w:r>
        <w:rPr>
          <w:rFonts w:ascii="Calibri" w:cs="Calibri" w:eastAsia="Calibri" w:hAnsi="Calibri"/>
          <w:b/>
          <w:bCs/>
          <w:color w:val="1F3864"/>
          <w:sz w:val="24"/>
          <w:szCs w:val="24"/>
        </w:rPr>
        <w:t xml:space="preserve">3.3  Demands.SourceSystem</w:t>
      </w:r>
      <w:r>
        <w:rPr>
          <w:rFonts w:ascii="Calibri" w:cs="Calibri" w:eastAsia="Calibri" w:hAnsi="Calibri"/>
          <w:b/>
          <w:bCs/>
          <w:color w:val="534AB7"/>
          <w:sz w:val="18"/>
          <w:szCs w:val="18"/>
        </w:rPr>
        <w:t xml:space="preserve">    caller-defined</w:t>
      </w:r>
    </w:p>
    <w:p>
      <w:pPr>
        <w:spacing w:after="100" w:before="0" w:line="276"/>
      </w:pPr>
      <w:r>
        <w:rPr>
          <w:rFonts w:ascii="Calibri" w:cs="Calibri" w:eastAsia="Calibri" w:hAnsi="Calibri"/>
          <w:sz w:val="21"/>
          <w:szCs w:val="21"/>
        </w:rPr>
        <w:t xml:space="preserve">Which caller system submitted the request — provenance, effectively. Values should be stable machine identifiers, not display names. A slug convention (lowercase, hyphenated) keeps them clean.</w:t>
      </w:r>
    </w:p>
    <w:tbl>
      <w:tblPr>
        <w:tblW w:type="dxa" w:w="8400"/>
        <w:tblBorders>
          <w:top w:val="single" w:color="BFBFBF" w:sz="2"/>
          <w:left w:val="single" w:color="BFBFBF" w:sz="2"/>
          <w:bottom w:val="single" w:color="BFBFBF" w:sz="2"/>
          <w:right w:val="single" w:color="BFBFBF" w:sz="2"/>
          <w:insideH w:val="single" w:color="D9D9D9" w:sz="1"/>
          <w:insideV w:val="single" w:color="D9D9D9" w:sz="1"/>
        </w:tblBorders>
      </w:tblPr>
      <w:tblGrid>
        <w:gridCol w:w="2600"/>
        <w:gridCol w:w="5800"/>
      </w:tblGrid>
      <w:tr>
        <w:trPr>
          <w:tblHeader/>
        </w:trPr>
        <w:tc>
          <w:tcPr>
            <w:tcW w:type="dxa" w:w="26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9"/>
                <w:szCs w:val="19"/>
              </w:rPr>
              <w:t xml:space="preserve">Value</w:t>
            </w:r>
          </w:p>
        </w:tc>
        <w:tc>
          <w:tcPr>
            <w:tcW w:type="dxa" w:w="58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9"/>
                <w:szCs w:val="19"/>
              </w:rPr>
              <w:t xml:space="preserve">Meaning</w:t>
            </w:r>
          </w:p>
        </w:tc>
      </w:tr>
      <w:tr>
        <w:tc>
          <w:tcPr>
            <w:tcW w:type="dxa" w:w="2600"/>
            <w:shd w:fill="FFFFFF"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PetZivApp</w:t>
            </w:r>
          </w:p>
        </w:tc>
        <w:tc>
          <w:tcPr>
            <w:tcW w:type="dxa" w:w="5800"/>
            <w:shd w:fill="FFFFFF"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The PetZiv consumer mobile application.</w:t>
            </w:r>
          </w:p>
        </w:tc>
      </w:tr>
      <w:tr>
        <w:tc>
          <w:tcPr>
            <w:tcW w:type="dxa" w:w="2600"/>
            <w:shd w:fill="F2F4F7"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PetZivWeb</w:t>
            </w:r>
          </w:p>
        </w:tc>
        <w:tc>
          <w:tcPr>
            <w:tcW w:type="dxa" w:w="5800"/>
            <w:shd w:fill="F2F4F7"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The PetZiv customer web experience.</w:t>
            </w:r>
          </w:p>
        </w:tc>
      </w:tr>
      <w:tr>
        <w:tc>
          <w:tcPr>
            <w:tcW w:type="dxa" w:w="2600"/>
            <w:shd w:fill="FFFFFF"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PetZivAdmin</w:t>
            </w:r>
          </w:p>
        </w:tc>
        <w:tc>
          <w:tcPr>
            <w:tcW w:type="dxa" w:w="5800"/>
            <w:shd w:fill="FFFFFF"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Internal staff/admin tooling creating demands on a customer's behalf.</w:t>
            </w:r>
          </w:p>
        </w:tc>
      </w:tr>
      <w:tr>
        <w:tc>
          <w:tcPr>
            <w:tcW w:type="dxa" w:w="2600"/>
            <w:shd w:fill="F2F4F7"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PartnerAPI</w:t>
            </w:r>
          </w:p>
        </w:tc>
        <w:tc>
          <w:tcPr>
            <w:tcW w:type="dxa" w:w="5800"/>
            <w:shd w:fill="F2F4F7"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A third-party partner submitting through the public API.</w:t>
            </w:r>
          </w:p>
        </w:tc>
      </w:tr>
      <w:tr>
        <w:tc>
          <w:tcPr>
            <w:tcW w:type="dxa" w:w="2600"/>
            <w:shd w:fill="FFFFFF"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CallCenterCRM</w:t>
            </w:r>
          </w:p>
        </w:tc>
        <w:tc>
          <w:tcPr>
            <w:tcW w:type="dxa" w:w="5800"/>
            <w:shd w:fill="FFFFFF"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The CRM used by call-centre agents.</w:t>
            </w:r>
          </w:p>
        </w:tc>
      </w:tr>
      <w:tr>
        <w:tc>
          <w:tcPr>
            <w:tcW w:type="dxa" w:w="2600"/>
            <w:shd w:fill="F2F4F7"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Migration</w:t>
            </w:r>
          </w:p>
        </w:tc>
        <w:tc>
          <w:tcPr>
            <w:tcW w:type="dxa" w:w="5800"/>
            <w:shd w:fill="F2F4F7"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Records loaded in bulk during data migration — distinguishes backfill from live intake.</w:t>
            </w:r>
          </w:p>
        </w:tc>
      </w:tr>
      <w:tr>
        <w:tc>
          <w:tcPr>
            <w:tcW w:type="dxa" w:w="2600"/>
            <w:shd w:fill="FFFFFF"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SystemScheduler</w:t>
            </w:r>
          </w:p>
        </w:tc>
        <w:tc>
          <w:tcPr>
            <w:tcW w:type="dxa" w:w="5800"/>
            <w:shd w:fill="FFFFFF"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An automated internal process (e.g. generating recurring instances).</w:t>
            </w:r>
          </w:p>
        </w:tc>
      </w:tr>
    </w:tbl>
    <w:p>
      <w:pPr>
        <w:spacing w:after="140" w:before="0" w:line="276"/>
      </w:pPr>
      <w:r>
        <w:rPr>
          <w:rFonts w:ascii="Calibri" w:cs="Calibri" w:eastAsia="Calibri" w:hAnsi="Calibri"/>
          <w:i/>
          <w:iCs/>
          <w:color w:val="595959"/>
          <w:sz w:val="19"/>
          <w:szCs w:val="19"/>
        </w:rPr>
        <w:t xml:space="preserve">Recommended handling: reserve one value (Migration or backfill) for bulk-loaded rows so they stay separable from live traffic later.</w:t>
      </w:r>
    </w:p>
    <w:p>
      <w:pPr>
        <w:pStyle w:val="Heading2"/>
        <w:spacing w:after="60" w:before="200"/>
      </w:pPr>
      <w:r>
        <w:rPr>
          <w:rFonts w:ascii="Calibri" w:cs="Calibri" w:eastAsia="Calibri" w:hAnsi="Calibri"/>
          <w:b/>
          <w:bCs/>
          <w:color w:val="1F3864"/>
          <w:sz w:val="24"/>
          <w:szCs w:val="24"/>
        </w:rPr>
        <w:t xml:space="preserve">3.4  Demands.SourceChannel</w:t>
      </w:r>
      <w:r>
        <w:rPr>
          <w:rFonts w:ascii="Calibri" w:cs="Calibri" w:eastAsia="Calibri" w:hAnsi="Calibri"/>
          <w:b/>
          <w:bCs/>
          <w:color w:val="534AB7"/>
          <w:sz w:val="18"/>
          <w:szCs w:val="18"/>
        </w:rPr>
        <w:t xml:space="preserve">    caller-defined, nullable</w:t>
      </w:r>
    </w:p>
    <w:p>
      <w:pPr>
        <w:spacing w:after="100" w:before="0" w:line="276"/>
      </w:pPr>
      <w:r>
        <w:rPr>
          <w:rFonts w:ascii="Calibri" w:cs="Calibri" w:eastAsia="Calibri" w:hAnsi="Calibri"/>
          <w:sz w:val="21"/>
          <w:szCs w:val="21"/>
        </w:rPr>
        <w:t xml:space="preserve">How the request reached the caller — the human or interaction channel, distinct from the software system in SourceSystem. Nullable, so decide what null means: unknown versus not-applicable.</w:t>
      </w:r>
    </w:p>
    <w:tbl>
      <w:tblPr>
        <w:tblW w:type="dxa" w:w="8400"/>
        <w:tblBorders>
          <w:top w:val="single" w:color="BFBFBF" w:sz="2"/>
          <w:left w:val="single" w:color="BFBFBF" w:sz="2"/>
          <w:bottom w:val="single" w:color="BFBFBF" w:sz="2"/>
          <w:right w:val="single" w:color="BFBFBF" w:sz="2"/>
          <w:insideH w:val="single" w:color="D9D9D9" w:sz="1"/>
          <w:insideV w:val="single" w:color="D9D9D9" w:sz="1"/>
        </w:tblBorders>
      </w:tblPr>
      <w:tblGrid>
        <w:gridCol w:w="2600"/>
        <w:gridCol w:w="5800"/>
      </w:tblGrid>
      <w:tr>
        <w:trPr>
          <w:tblHeader/>
        </w:trPr>
        <w:tc>
          <w:tcPr>
            <w:tcW w:type="dxa" w:w="26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9"/>
                <w:szCs w:val="19"/>
              </w:rPr>
              <w:t xml:space="preserve">Value</w:t>
            </w:r>
          </w:p>
        </w:tc>
        <w:tc>
          <w:tcPr>
            <w:tcW w:type="dxa" w:w="58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9"/>
                <w:szCs w:val="19"/>
              </w:rPr>
              <w:t xml:space="preserve">Meaning</w:t>
            </w:r>
          </w:p>
        </w:tc>
      </w:tr>
      <w:tr>
        <w:tc>
          <w:tcPr>
            <w:tcW w:type="dxa" w:w="2600"/>
            <w:shd w:fill="FFFFFF"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MobileApp</w:t>
            </w:r>
          </w:p>
        </w:tc>
        <w:tc>
          <w:tcPr>
            <w:tcW w:type="dxa" w:w="5800"/>
            <w:shd w:fill="FFFFFF"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Submitted by the customer through a mobile app.</w:t>
            </w:r>
          </w:p>
        </w:tc>
      </w:tr>
      <w:tr>
        <w:tc>
          <w:tcPr>
            <w:tcW w:type="dxa" w:w="2600"/>
            <w:shd w:fill="F2F4F7"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WebPortal</w:t>
            </w:r>
          </w:p>
        </w:tc>
        <w:tc>
          <w:tcPr>
            <w:tcW w:type="dxa" w:w="5800"/>
            <w:shd w:fill="F2F4F7"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Submitted through a browser-based portal.</w:t>
            </w:r>
          </w:p>
        </w:tc>
      </w:tr>
      <w:tr>
        <w:tc>
          <w:tcPr>
            <w:tcW w:type="dxa" w:w="2600"/>
            <w:shd w:fill="FFFFFF"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CallCenter</w:t>
            </w:r>
          </w:p>
        </w:tc>
        <w:tc>
          <w:tcPr>
            <w:tcW w:type="dxa" w:w="5800"/>
            <w:shd w:fill="FFFFFF"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Taken by a human agent over the phone.</w:t>
            </w:r>
          </w:p>
        </w:tc>
      </w:tr>
      <w:tr>
        <w:tc>
          <w:tcPr>
            <w:tcW w:type="dxa" w:w="2600"/>
            <w:shd w:fill="F2F4F7"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Email</w:t>
            </w:r>
          </w:p>
        </w:tc>
        <w:tc>
          <w:tcPr>
            <w:tcW w:type="dxa" w:w="5800"/>
            <w:shd w:fill="F2F4F7"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Originated from an inbound email.</w:t>
            </w:r>
          </w:p>
        </w:tc>
      </w:tr>
      <w:tr>
        <w:tc>
          <w:tcPr>
            <w:tcW w:type="dxa" w:w="2600"/>
            <w:shd w:fill="FFFFFF"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Chat</w:t>
            </w:r>
          </w:p>
        </w:tc>
        <w:tc>
          <w:tcPr>
            <w:tcW w:type="dxa" w:w="5800"/>
            <w:shd w:fill="FFFFFF"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Originated from a chat or messaging interaction.</w:t>
            </w:r>
          </w:p>
        </w:tc>
      </w:tr>
      <w:tr>
        <w:tc>
          <w:tcPr>
            <w:tcW w:type="dxa" w:w="2600"/>
            <w:shd w:fill="F2F4F7"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WalkIn</w:t>
            </w:r>
          </w:p>
        </w:tc>
        <w:tc>
          <w:tcPr>
            <w:tcW w:type="dxa" w:w="5800"/>
            <w:shd w:fill="F2F4F7"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Captured in person at a physical location.</w:t>
            </w:r>
          </w:p>
        </w:tc>
      </w:tr>
      <w:tr>
        <w:tc>
          <w:tcPr>
            <w:tcW w:type="dxa" w:w="2600"/>
            <w:shd w:fill="FFFFFF"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PartnerIntegration</w:t>
            </w:r>
          </w:p>
        </w:tc>
        <w:tc>
          <w:tcPr>
            <w:tcW w:type="dxa" w:w="5800"/>
            <w:shd w:fill="FFFFFF"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Arrived via a partner's integration rather than a direct customer action.</w:t>
            </w:r>
          </w:p>
        </w:tc>
      </w:tr>
      <w:tr>
        <w:tc>
          <w:tcPr>
            <w:tcW w:type="dxa" w:w="2600"/>
            <w:shd w:fill="F2F4F7"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AutomatedRecurrence</w:t>
            </w:r>
          </w:p>
        </w:tc>
        <w:tc>
          <w:tcPr>
            <w:tcW w:type="dxa" w:w="5800"/>
            <w:shd w:fill="F2F4F7"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Generated by the system with no human channel — an explicit value in place of null.</w:t>
            </w:r>
          </w:p>
        </w:tc>
      </w:tr>
    </w:tbl>
    <w:p>
      <w:pPr>
        <w:spacing w:after="140" w:before="0" w:line="276"/>
      </w:pPr>
      <w:r>
        <w:rPr>
          <w:rFonts w:ascii="Calibri" w:cs="Calibri" w:eastAsia="Calibri" w:hAnsi="Calibri"/>
          <w:i/>
          <w:iCs/>
          <w:color w:val="595959"/>
          <w:sz w:val="19"/>
          <w:szCs w:val="19"/>
        </w:rPr>
        <w:t xml:space="preserve">Recommended handling: use an explicit System/Automated value rather than overloading null, if 'no human channel' and 'channel unknown' both need to be distinguishable in reporting.</w:t>
      </w:r>
    </w:p>
    <w:p>
      <w:pPr>
        <w:pStyle w:val="Heading2"/>
        <w:spacing w:after="60" w:before="200"/>
      </w:pPr>
      <w:r>
        <w:rPr>
          <w:rFonts w:ascii="Calibri" w:cs="Calibri" w:eastAsia="Calibri" w:hAnsi="Calibri"/>
          <w:b/>
          <w:bCs/>
          <w:color w:val="1F3864"/>
          <w:sz w:val="24"/>
          <w:szCs w:val="24"/>
        </w:rPr>
        <w:t xml:space="preserve">3.5  Demands.Status</w:t>
      </w:r>
      <w:r>
        <w:rPr>
          <w:rFonts w:ascii="Calibri" w:cs="Calibri" w:eastAsia="Calibri" w:hAnsi="Calibri"/>
          <w:b/>
          <w:bCs/>
          <w:color w:val="1F3864"/>
          <w:sz w:val="18"/>
          <w:szCs w:val="18"/>
        </w:rPr>
        <w:t xml:space="preserve">    platform-owned, fixed by spec</w:t>
      </w:r>
    </w:p>
    <w:p>
      <w:pPr>
        <w:spacing w:after="100" w:before="0" w:line="276"/>
      </w:pPr>
      <w:r>
        <w:rPr>
          <w:rFonts w:ascii="Calibri" w:cs="Calibri" w:eastAsia="Calibri" w:hAnsi="Calibri"/>
          <w:sz w:val="21"/>
          <w:szCs w:val="21"/>
        </w:rPr>
        <w:t xml:space="preserve">ESWMP's own lifecycle state. Unlike the three columns above, this set is closed — the lifecycle and mutability rules depend on the exact values, so it is not tenant-extensible.</w:t>
      </w:r>
    </w:p>
    <w:tbl>
      <w:tblPr>
        <w:tblW w:type="dxa" w:w="8400"/>
        <w:tblBorders>
          <w:top w:val="single" w:color="BFBFBF" w:sz="2"/>
          <w:left w:val="single" w:color="BFBFBF" w:sz="2"/>
          <w:bottom w:val="single" w:color="BFBFBF" w:sz="2"/>
          <w:right w:val="single" w:color="BFBFBF" w:sz="2"/>
          <w:insideH w:val="single" w:color="D9D9D9" w:sz="1"/>
          <w:insideV w:val="single" w:color="D9D9D9" w:sz="1"/>
        </w:tblBorders>
      </w:tblPr>
      <w:tblGrid>
        <w:gridCol w:w="2600"/>
        <w:gridCol w:w="5800"/>
      </w:tblGrid>
      <w:tr>
        <w:trPr>
          <w:tblHeader/>
        </w:trPr>
        <w:tc>
          <w:tcPr>
            <w:tcW w:type="dxa" w:w="26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9"/>
                <w:szCs w:val="19"/>
              </w:rPr>
              <w:t xml:space="preserve">Value</w:t>
            </w:r>
          </w:p>
        </w:tc>
        <w:tc>
          <w:tcPr>
            <w:tcW w:type="dxa" w:w="58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9"/>
                <w:szCs w:val="19"/>
              </w:rPr>
              <w:t xml:space="preserve">Meaning</w:t>
            </w:r>
          </w:p>
        </w:tc>
      </w:tr>
      <w:tr>
        <w:tc>
          <w:tcPr>
            <w:tcW w:type="dxa" w:w="2600"/>
            <w:shd w:fill="FFFFFF"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Received</w:t>
            </w:r>
          </w:p>
        </w:tc>
        <w:tc>
          <w:tcPr>
            <w:tcW w:type="dxa" w:w="5800"/>
            <w:shd w:fill="FFFFFF"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Initial state on creation. Broadly mutable via PATCH.</w:t>
            </w:r>
          </w:p>
        </w:tc>
      </w:tr>
      <w:tr>
        <w:tc>
          <w:tcPr>
            <w:tcW w:type="dxa" w:w="2600"/>
            <w:shd w:fill="F2F4F7"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Validating</w:t>
            </w:r>
          </w:p>
        </w:tc>
        <w:tc>
          <w:tcPr>
            <w:tcW w:type="dxa" w:w="5800"/>
            <w:shd w:fill="F2F4F7"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Present in the mutability rules; a Demand may not rest here if validate is synchronous.</w:t>
            </w:r>
          </w:p>
        </w:tc>
      </w:tr>
      <w:tr>
        <w:tc>
          <w:tcPr>
            <w:tcW w:type="dxa" w:w="2600"/>
            <w:shd w:fill="FFFFFF"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Ready</w:t>
            </w:r>
          </w:p>
        </w:tc>
        <w:tc>
          <w:tcPr>
            <w:tcW w:type="dxa" w:w="5800"/>
            <w:shd w:fill="FFFFFF"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Passed validation (Valid or ValidWithWarnings). Only Priority is mutable. Can be accepted.</w:t>
            </w:r>
          </w:p>
        </w:tc>
      </w:tr>
      <w:tr>
        <w:tc>
          <w:tcPr>
            <w:tcW w:type="dxa" w:w="2600"/>
            <w:shd w:fill="F2F4F7"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Accepted</w:t>
            </w:r>
          </w:p>
        </w:tc>
        <w:tc>
          <w:tcPr>
            <w:tcW w:type="dxa" w:w="5800"/>
            <w:shd w:fill="F2F4F7"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Terminal. Publishes DemandAcceptedEvent. Fully immutable.</w:t>
            </w:r>
          </w:p>
        </w:tc>
      </w:tr>
      <w:tr>
        <w:tc>
          <w:tcPr>
            <w:tcW w:type="dxa" w:w="2600"/>
            <w:shd w:fill="FFFFFF"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Rejected</w:t>
            </w:r>
          </w:p>
        </w:tc>
        <w:tc>
          <w:tcPr>
            <w:tcW w:type="dxa" w:w="5800"/>
            <w:shd w:fill="FFFFFF"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Terminal. Requires a reasonCode. Publishes DemandRejectedEvent.</w:t>
            </w:r>
          </w:p>
        </w:tc>
      </w:tr>
      <w:tr>
        <w:tc>
          <w:tcPr>
            <w:tcW w:type="dxa" w:w="2600"/>
            <w:shd w:fill="F2F4F7"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Cancelled</w:t>
            </w:r>
          </w:p>
        </w:tc>
        <w:tc>
          <w:tcPr>
            <w:tcW w:type="dxa" w:w="5800"/>
            <w:shd w:fill="F2F4F7"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Terminal. Publishes DemandCancelledEvent.</w:t>
            </w:r>
          </w:p>
        </w:tc>
      </w:tr>
      <w:tr>
        <w:tc>
          <w:tcPr>
            <w:tcW w:type="dxa" w:w="2600"/>
            <w:shd w:fill="FFFFFF" w:color="auto" w:val="clear"/>
            <w:tcMar>
              <w:top w:type="dxa" w:w="60"/>
              <w:left w:type="dxa" w:w="90"/>
              <w:bottom w:type="dxa" w:w="60"/>
              <w:right w:type="dxa" w:w="90"/>
            </w:tcMar>
          </w:tcPr>
          <w:p>
            <w:pPr>
              <w:spacing w:after="0" w:line="240"/>
            </w:pPr>
            <w:r>
              <w:rPr>
                <w:rFonts w:ascii="Consolas" w:cs="Consolas" w:eastAsia="Consolas" w:hAnsi="Consolas"/>
                <w:color w:val="000000"/>
                <w:sz w:val="17"/>
                <w:szCs w:val="17"/>
              </w:rPr>
              <w:t xml:space="preserve">Expired</w:t>
            </w:r>
          </w:p>
        </w:tc>
        <w:tc>
          <w:tcPr>
            <w:tcW w:type="dxa" w:w="5800"/>
            <w:shd w:fill="FFFFFF" w:color="auto"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Terminal and defined, but unreachable today — no expiry job sets it.</w:t>
            </w:r>
          </w:p>
        </w:tc>
      </w:tr>
    </w:tbl>
    <w:p>
      <w:pPr>
        <w:spacing w:after="120" w:before="0" w:line="276"/>
      </w:pPr>
      <w:r>
        <w:rPr>
          <w:rFonts w:ascii="Calibri" w:cs="Calibri" w:eastAsia="Calibri" w:hAnsi="Calibri"/>
          <w:i/>
          <w:iCs/>
          <w:color w:val="595959"/>
          <w:sz w:val="19"/>
          <w:szCs w:val="19"/>
        </w:rPr>
        <w:t xml:space="preserve">Reachable transitions: Received → Ready → Accepted; and Received/Validating/Ready → Rejected or Cancelled. Nothing transitions into Expired yet.</w:t>
      </w:r>
    </w:p>
    <w:p>
      <w:r>
        <w:br w:type="page"/>
      </w:r>
    </w:p>
    <w:p>
      <w:pPr>
        <w:pStyle w:val="Heading1"/>
        <w:spacing w:after="140" w:before="280"/>
      </w:pPr>
      <w:r>
        <w:rPr>
          <w:rFonts w:ascii="Calibri" w:cs="Calibri" w:eastAsia="Calibri" w:hAnsi="Calibri"/>
          <w:b/>
          <w:bCs/>
          <w:color w:val="1F3864"/>
          <w:sz w:val="30"/>
          <w:szCs w:val="30"/>
        </w:rPr>
        <w:t xml:space="preserve">4.  Recommendations applied</w:t>
      </w:r>
    </w:p>
    <w:p>
      <w:pPr>
        <w:spacing w:after="160" w:before="0" w:line="276"/>
      </w:pPr>
      <w:r>
        <w:rPr>
          <w:rFonts w:ascii="Calibri" w:cs="Calibri" w:eastAsia="Calibri" w:hAnsi="Calibri"/>
          <w:sz w:val="21"/>
          <w:szCs w:val="21"/>
        </w:rPr>
        <w:t xml:space="preserve">Each item below is realized in the accompanying DDL and marked in the diagram and tables above.</w:t>
      </w:r>
    </w:p>
    <w:p>
      <w:pPr>
        <w:spacing w:after="60" w:before="160"/>
      </w:pPr>
      <w:r>
        <w:rPr>
          <w:rFonts w:ascii="Calibri" w:cs="Calibri" w:eastAsia="Calibri" w:hAnsi="Calibri"/>
          <w:b/>
          <w:bCs/>
          <w:color w:val="1F3864"/>
          <w:sz w:val="23"/>
          <w:szCs w:val="23"/>
        </w:rPr>
        <w:t xml:space="preserve">R1  </w:t>
      </w:r>
      <w:r>
        <w:rPr>
          <w:rFonts w:ascii="Calibri" w:cs="Calibri" w:eastAsia="Calibri" w:hAnsi="Calibri"/>
          <w:b/>
          <w:bCs/>
          <w:color w:val="1F3864"/>
          <w:sz w:val="23"/>
          <w:szCs w:val="23"/>
        </w:rPr>
        <w:t xml:space="preserve">Confirm the tenant query filter on DemandValidationResults</w:t>
      </w:r>
      <w:r>
        <w:rPr>
          <w:rFonts w:ascii="Calibri" w:cs="Calibri" w:eastAsia="Calibri" w:hAnsi="Calibri"/>
          <w:b/>
          <w:bCs/>
          <w:color w:val="9E2A2B"/>
          <w:sz w:val="18"/>
          <w:szCs w:val="18"/>
        </w:rPr>
        <w:t xml:space="preserve">    [ High ]</w:t>
      </w:r>
    </w:p>
    <w:p>
      <w:pPr>
        <w:spacing w:after="80" w:before="0" w:line="276"/>
      </w:pPr>
      <w:r>
        <w:rPr>
          <w:rFonts w:ascii="Calibri" w:cs="Calibri" w:eastAsia="Calibri" w:hAnsi="Calibri"/>
          <w:sz w:val="21"/>
          <w:szCs w:val="21"/>
        </w:rPr>
        <w:t xml:space="preserve">The spec confirms HasQueryFilter on Demand and DemandIdempotencyRecord but not on DemandValidationResult. If the filter is absent there, validation results — including IssuesJson, which may echo caller-supplied content — are reachable across tenants unless every read joins through a filtered Demand. The DDL adds optional row-level-security policies on all three tables as database-level defence in depth.</w:t>
      </w:r>
    </w:p>
    <w:p>
      <w:pPr>
        <w:spacing w:after="60" w:line="276"/>
      </w:pPr>
      <w:r>
        <w:rPr>
          <w:rFonts w:ascii="Calibri" w:cs="Calibri" w:eastAsia="Calibri" w:hAnsi="Calibri"/>
          <w:b/>
          <w:bCs/>
          <w:color w:val="1F3864"/>
          <w:sz w:val="21"/>
          <w:szCs w:val="21"/>
        </w:rPr>
        <w:t xml:space="preserve">Action:  </w:t>
      </w:r>
      <w:r>
        <w:rPr>
          <w:rFonts w:ascii="Consolas" w:cs="Consolas" w:eastAsia="Consolas" w:hAnsi="Consolas"/>
          <w:sz w:val="19"/>
          <w:szCs w:val="19"/>
        </w:rPr>
        <w:t xml:space="preserve">grep -n "HasQueryFilter" src/Eswmp.Work/Data/WorkDbContext.cs</w:t>
      </w:r>
    </w:p>
    <w:p>
      <w:pPr>
        <w:spacing w:after="60" w:before="160"/>
      </w:pPr>
      <w:r>
        <w:rPr>
          <w:rFonts w:ascii="Calibri" w:cs="Calibri" w:eastAsia="Calibri" w:hAnsi="Calibri"/>
          <w:b/>
          <w:bCs/>
          <w:color w:val="1F3864"/>
          <w:sz w:val="23"/>
          <w:szCs w:val="23"/>
        </w:rPr>
        <w:t xml:space="preserve">R2  </w:t>
      </w:r>
      <w:r>
        <w:rPr>
          <w:rFonts w:ascii="Calibri" w:cs="Calibri" w:eastAsia="Calibri" w:hAnsi="Calibri"/>
          <w:b/>
          <w:bCs/>
          <w:color w:val="1F3864"/>
          <w:sz w:val="23"/>
          <w:szCs w:val="23"/>
        </w:rPr>
        <w:t xml:space="preserve">Enforce the parent links with explicit delete rules</w:t>
      </w:r>
      <w:r>
        <w:rPr>
          <w:rFonts w:ascii="Calibri" w:cs="Calibri" w:eastAsia="Calibri" w:hAnsi="Calibri"/>
          <w:b/>
          <w:bCs/>
          <w:color w:val="8A5A00"/>
          <w:sz w:val="18"/>
          <w:szCs w:val="18"/>
        </w:rPr>
        <w:t xml:space="preserve">    [ Medium ]</w:t>
      </w:r>
    </w:p>
    <w:p>
      <w:pPr>
        <w:spacing w:after="80" w:before="0" w:line="276"/>
      </w:pPr>
      <w:r>
        <w:rPr>
          <w:rFonts w:ascii="Calibri" w:cs="Calibri" w:eastAsia="Calibri" w:hAnsi="Calibri"/>
          <w:sz w:val="21"/>
          <w:szCs w:val="21"/>
        </w:rPr>
        <w:t xml:space="preserve">Both child tables now carry an explicit foreign key. Delete rules differ by intent: CASCADE on validation results (a removed Demand should not leave orphans) and RESTRICT on idempotency records (the create receipt should outlive casual deletes so replays stay correct). A time-window CHECK constraint mirrors the INVALID_TIME_WINDOW validation rule at the database level.</w:t>
      </w:r>
    </w:p>
    <w:p>
      <w:pPr>
        <w:spacing w:after="60" w:line="276"/>
      </w:pPr>
      <w:r>
        <w:rPr>
          <w:rFonts w:ascii="Calibri" w:cs="Calibri" w:eastAsia="Calibri" w:hAnsi="Calibri"/>
          <w:b/>
          <w:bCs/>
          <w:color w:val="1F3864"/>
          <w:sz w:val="21"/>
          <w:szCs w:val="21"/>
        </w:rPr>
        <w:t xml:space="preserve">Action:  </w:t>
      </w:r>
      <w:r>
        <w:rPr>
          <w:rFonts w:ascii="Calibri" w:cs="Calibri" w:eastAsia="Calibri" w:hAnsi="Calibri"/>
          <w:sz w:val="21"/>
          <w:szCs w:val="21"/>
        </w:rPr>
        <w:t xml:space="preserve">Confirm no code path hard-deletes a Demand in a way RESTRICT would block; revisit alongside any purge policy.</w:t>
      </w:r>
    </w:p>
    <w:p>
      <w:pPr>
        <w:spacing w:after="60" w:before="160"/>
      </w:pPr>
      <w:r>
        <w:rPr>
          <w:rFonts w:ascii="Calibri" w:cs="Calibri" w:eastAsia="Calibri" w:hAnsi="Calibri"/>
          <w:b/>
          <w:bCs/>
          <w:color w:val="1F3864"/>
          <w:sz w:val="23"/>
          <w:szCs w:val="23"/>
        </w:rPr>
        <w:t xml:space="preserve">R3  </w:t>
      </w:r>
      <w:r>
        <w:rPr>
          <w:rFonts w:ascii="Calibri" w:cs="Calibri" w:eastAsia="Calibri" w:hAnsi="Calibri"/>
          <w:b/>
          <w:bCs/>
          <w:color w:val="1F3864"/>
          <w:sz w:val="23"/>
          <w:szCs w:val="23"/>
        </w:rPr>
        <w:t xml:space="preserve">Add a covering index for the search endpoint</w:t>
      </w:r>
      <w:r>
        <w:rPr>
          <w:rFonts w:ascii="Calibri" w:cs="Calibri" w:eastAsia="Calibri" w:hAnsi="Calibri"/>
          <w:b/>
          <w:bCs/>
          <w:color w:val="8A5A00"/>
          <w:sz w:val="18"/>
          <w:szCs w:val="18"/>
        </w:rPr>
        <w:t xml:space="preserve">    [ Medium ]</w:t>
      </w:r>
    </w:p>
    <w:p>
      <w:pPr>
        <w:spacing w:after="80" w:before="0" w:line="276"/>
      </w:pPr>
      <w:r>
        <w:rPr>
          <w:rFonts w:ascii="Calibri" w:cs="Calibri" w:eastAsia="Calibri" w:hAnsi="Calibri"/>
          <w:sz w:val="21"/>
          <w:szCs w:val="21"/>
        </w:rPr>
        <w:t xml:space="preserve">POST /search filters on status, priority, demandType and a created-date range, all tenant-scoped. IX_Search on (TenantId, Status, CreatedAt) with Priority and DemandType included keeps that query flat as intake volume grows — the exact scenario the spec names as the extraction trigger.</w:t>
      </w:r>
    </w:p>
    <w:p>
      <w:pPr>
        <w:spacing w:after="60" w:line="276"/>
      </w:pPr>
      <w:r>
        <w:rPr>
          <w:rFonts w:ascii="Calibri" w:cs="Calibri" w:eastAsia="Calibri" w:hAnsi="Calibri"/>
          <w:b/>
          <w:bCs/>
          <w:color w:val="1F3864"/>
          <w:sz w:val="21"/>
          <w:szCs w:val="21"/>
        </w:rPr>
        <w:t xml:space="preserve">Action:  </w:t>
      </w:r>
      <w:r>
        <w:rPr>
          <w:rFonts w:ascii="Calibri" w:cs="Calibri" w:eastAsia="Calibri" w:hAnsi="Calibri"/>
          <w:sz w:val="21"/>
          <w:szCs w:val="21"/>
        </w:rPr>
        <w:t xml:space="preserve">Validate with EXPLAIN once representative data exists.</w:t>
      </w:r>
    </w:p>
    <w:p>
      <w:pPr>
        <w:spacing w:after="60" w:before="160"/>
      </w:pPr>
      <w:r>
        <w:rPr>
          <w:rFonts w:ascii="Calibri" w:cs="Calibri" w:eastAsia="Calibri" w:hAnsi="Calibri"/>
          <w:b/>
          <w:bCs/>
          <w:color w:val="1F3864"/>
          <w:sz w:val="23"/>
          <w:szCs w:val="23"/>
        </w:rPr>
        <w:t xml:space="preserve">R4  </w:t>
      </w:r>
      <w:r>
        <w:rPr>
          <w:rFonts w:ascii="Calibri" w:cs="Calibri" w:eastAsia="Calibri" w:hAnsi="Calibri"/>
          <w:b/>
          <w:bCs/>
          <w:color w:val="1F3864"/>
          <w:sz w:val="23"/>
          <w:szCs w:val="23"/>
        </w:rPr>
        <w:t xml:space="preserve">Confirm the enum storage strategy</w:t>
      </w:r>
      <w:r>
        <w:rPr>
          <w:rFonts w:ascii="Calibri" w:cs="Calibri" w:eastAsia="Calibri" w:hAnsi="Calibri"/>
          <w:b/>
          <w:bCs/>
          <w:color w:val="595959"/>
          <w:sz w:val="18"/>
          <w:szCs w:val="18"/>
        </w:rPr>
        <w:t xml:space="preserve">    [ Low ]</w:t>
      </w:r>
    </w:p>
    <w:p>
      <w:pPr>
        <w:spacing w:after="80" w:before="0" w:line="276"/>
      </w:pPr>
      <w:r>
        <w:rPr>
          <w:rFonts w:ascii="Calibri" w:cs="Calibri" w:eastAsia="Calibri" w:hAnsi="Calibri"/>
          <w:sz w:val="21"/>
          <w:szCs w:val="21"/>
        </w:rPr>
        <w:t xml:space="preserve">Status and Priority are modelled as native enum types for legibility and safe reordering. If the code maps them as int via HasConversion, switch the columns to smallint to match. Status drives the immutability rules, so a silent remap would be a correctness bug.</w:t>
      </w:r>
    </w:p>
    <w:p>
      <w:pPr>
        <w:spacing w:after="60" w:line="276"/>
      </w:pPr>
      <w:r>
        <w:rPr>
          <w:rFonts w:ascii="Calibri" w:cs="Calibri" w:eastAsia="Calibri" w:hAnsi="Calibri"/>
          <w:b/>
          <w:bCs/>
          <w:color w:val="1F3864"/>
          <w:sz w:val="21"/>
          <w:szCs w:val="21"/>
        </w:rPr>
        <w:t xml:space="preserve">Action:  </w:t>
      </w:r>
      <w:r>
        <w:rPr>
          <w:rFonts w:ascii="Consolas" w:cs="Consolas" w:eastAsia="Consolas" w:hAnsi="Consolas"/>
          <w:sz w:val="19"/>
          <w:szCs w:val="19"/>
        </w:rPr>
        <w:t xml:space="preserve">grep -rn "HasConversion" src/Eswmp.Work/Data/</w:t>
      </w:r>
    </w:p>
    <w:p>
      <w:pPr>
        <w:spacing w:after="60" w:before="160"/>
      </w:pPr>
      <w:r>
        <w:rPr>
          <w:rFonts w:ascii="Calibri" w:cs="Calibri" w:eastAsia="Calibri" w:hAnsi="Calibri"/>
          <w:b/>
          <w:bCs/>
          <w:color w:val="1F3864"/>
          <w:sz w:val="23"/>
          <w:szCs w:val="23"/>
        </w:rPr>
        <w:t xml:space="preserve">R5  </w:t>
      </w:r>
      <w:r>
        <w:rPr>
          <w:rFonts w:ascii="Calibri" w:cs="Calibri" w:eastAsia="Calibri" w:hAnsi="Calibri"/>
          <w:b/>
          <w:bCs/>
          <w:color w:val="1F3864"/>
          <w:sz w:val="23"/>
          <w:szCs w:val="23"/>
        </w:rPr>
        <w:t xml:space="preserve">Keep the Version check atomic</w:t>
      </w:r>
      <w:r>
        <w:rPr>
          <w:rFonts w:ascii="Calibri" w:cs="Calibri" w:eastAsia="Calibri" w:hAnsi="Calibri"/>
          <w:b/>
          <w:bCs/>
          <w:color w:val="595959"/>
          <w:sz w:val="18"/>
          <w:szCs w:val="18"/>
        </w:rPr>
        <w:t xml:space="preserve">    [ Low ]</w:t>
      </w:r>
    </w:p>
    <w:p>
      <w:pPr>
        <w:spacing w:after="80" w:before="0" w:line="276"/>
      </w:pPr>
      <w:r>
        <w:rPr>
          <w:rFonts w:ascii="Calibri" w:cs="Calibri" w:eastAsia="Calibri" w:hAnsi="Calibri"/>
          <w:sz w:val="21"/>
          <w:szCs w:val="21"/>
        </w:rPr>
        <w:t xml:space="preserve">Version is application-managed: PATCH supplies expectedVersion, a mismatch returns 412. The read-check-increment must run in one statement (UPDATE … WHERE Id = @id AND Version = @expected) so two concurrent PATCHes cannot both write n+1.</w:t>
      </w:r>
    </w:p>
    <w:p>
      <w:pPr>
        <w:spacing w:after="60" w:line="276"/>
      </w:pPr>
      <w:r>
        <w:rPr>
          <w:rFonts w:ascii="Calibri" w:cs="Calibri" w:eastAsia="Calibri" w:hAnsi="Calibri"/>
          <w:b/>
          <w:bCs/>
          <w:color w:val="1F3864"/>
          <w:sz w:val="21"/>
          <w:szCs w:val="21"/>
        </w:rPr>
        <w:t xml:space="preserve">Action:  </w:t>
      </w:r>
      <w:r>
        <w:rPr>
          <w:rFonts w:ascii="Calibri" w:cs="Calibri" w:eastAsia="Calibri" w:hAnsi="Calibri"/>
          <w:sz w:val="21"/>
          <w:szCs w:val="21"/>
        </w:rPr>
        <w:t xml:space="preserve">Verify the update path is a single guarded statement, not read-then-write.</w:t>
      </w:r>
    </w:p>
    <w:p>
      <w:pPr>
        <w:spacing w:after="60" w:before="160"/>
      </w:pPr>
      <w:r>
        <w:rPr>
          <w:rFonts w:ascii="Calibri" w:cs="Calibri" w:eastAsia="Calibri" w:hAnsi="Calibri"/>
          <w:b/>
          <w:bCs/>
          <w:color w:val="1F3864"/>
          <w:sz w:val="23"/>
          <w:szCs w:val="23"/>
        </w:rPr>
        <w:t xml:space="preserve">R6  </w:t>
      </w:r>
      <w:r>
        <w:rPr>
          <w:rFonts w:ascii="Calibri" w:cs="Calibri" w:eastAsia="Calibri" w:hAnsi="Calibri"/>
          <w:b/>
          <w:bCs/>
          <w:color w:val="1F3864"/>
          <w:sz w:val="23"/>
          <w:szCs w:val="23"/>
        </w:rPr>
        <w:t xml:space="preserve">Keep deferred entities on the backlog, not in the schema</w:t>
      </w:r>
      <w:r>
        <w:rPr>
          <w:rFonts w:ascii="Calibri" w:cs="Calibri" w:eastAsia="Calibri" w:hAnsi="Calibri"/>
          <w:b/>
          <w:bCs/>
          <w:color w:val="595959"/>
          <w:sz w:val="18"/>
          <w:szCs w:val="18"/>
        </w:rPr>
        <w:t xml:space="preserve">    [ Informational ]</w:t>
      </w:r>
    </w:p>
    <w:p>
      <w:pPr>
        <w:spacing w:after="80" w:before="0" w:line="276"/>
      </w:pPr>
      <w:r>
        <w:rPr>
          <w:rFonts w:ascii="Calibri" w:cs="Calibri" w:eastAsia="Calibri" w:hAnsi="Calibri"/>
          <w:sz w:val="21"/>
          <w:szCs w:val="21"/>
        </w:rPr>
        <w:t xml:space="preserve">Two documented simplifications should stay visible rather than becoming dead affordances: no history/audit table (GET /history returns []), and Expired is a defined status with nothing that sets it. Both are fine as staged delivery.</w:t>
      </w:r>
    </w:p>
    <w:p>
      <w:pPr>
        <w:spacing w:after="60" w:line="276"/>
      </w:pPr>
      <w:r>
        <w:rPr>
          <w:rFonts w:ascii="Calibri" w:cs="Calibri" w:eastAsia="Calibri" w:hAnsi="Calibri"/>
          <w:b/>
          <w:bCs/>
          <w:color w:val="1F3864"/>
          <w:sz w:val="21"/>
          <w:szCs w:val="21"/>
        </w:rPr>
        <w:t xml:space="preserve">Action:  </w:t>
      </w:r>
      <w:r>
        <w:rPr>
          <w:rFonts w:ascii="Calibri" w:cs="Calibri" w:eastAsia="Calibri" w:hAnsi="Calibri"/>
          <w:sz w:val="21"/>
          <w:szCs w:val="21"/>
        </w:rPr>
        <w:t xml:space="preserve">Track the audit trail and expiry sweep as backlog items.</w:t>
      </w:r>
    </w:p>
    <w:p>
      <w:pPr>
        <w:pBdr>
          <w:bottom w:val="single" w:color="D9D9D9" w:sz="6"/>
        </w:pBdr>
        <w:spacing w:after="120" w:before="60"/>
      </w:pPr>
      <w:r>
        <w:rPr>
          <w:sz w:val="2"/>
          <w:szCs w:val="2"/>
        </w:rPr>
        <w:t xml:space="preserve"/>
      </w:r>
    </w:p>
    <w:p>
      <w:pPr>
        <w:spacing w:after="120" w:before="0" w:line="276"/>
      </w:pPr>
      <w:r>
        <w:rPr>
          <w:rFonts w:ascii="Calibri" w:cs="Calibri" w:eastAsia="Calibri" w:hAnsi="Calibri"/>
          <w:i/>
          <w:iCs/>
          <w:color w:val="595959"/>
          <w:sz w:val="19"/>
          <w:szCs w:val="19"/>
        </w:rPr>
        <w:t xml:space="preserve">Confirmed from the source specification: the three tables and their fields, the (TenantId, IdempotencyKey) unique index, query filters on Demand and DemandIdempotencyRecord, and the validate-writes-on-every-call behaviour. Everything marked REC — foreign keys, indexes, the check constraint, RLS, enum storage — is a recommendation to verify against the codebase before it is stated as fact.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6753bc6336f3a7ce7878969b7938bcbe17fac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 Intake Service — Database Model</dc:title>
  <dc:creator>ESWMP</dc:creator>
  <cp:lastModifiedBy>Un-named</cp:lastModifiedBy>
  <cp:revision>1</cp:revision>
  <dcterms:created xsi:type="dcterms:W3CDTF">2026-07-11T01:46:00.986Z</dcterms:created>
  <dcterms:modified xsi:type="dcterms:W3CDTF">2026-07-11T01:46:00.996Z</dcterms:modified>
</cp:coreProperties>
</file>

<file path=docProps/custom.xml><?xml version="1.0" encoding="utf-8"?>
<Properties xmlns="http://schemas.openxmlformats.org/officeDocument/2006/custom-properties" xmlns:vt="http://schemas.openxmlformats.org/officeDocument/2006/docPropsVTypes"/>
</file>