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100"/>
        <w:jc w:val="center"/>
      </w:pPr>
      <w:r>
        <w:rPr>
          <w:b/>
          <w:bCs/>
          <w:color w:val="1F4E78"/>
          <w:sz w:val="46"/>
          <w:szCs w:val="46"/>
        </w:rPr>
        <w:t xml:space="preserve">Azure Architecture Reference</w:t>
      </w:r>
    </w:p>
    <w:p>
      <w:pPr>
        <w:spacing w:after="160"/>
        <w:jc w:val="center"/>
      </w:pPr>
      <w:r>
        <w:rPr>
          <w:color w:val="1F4E78"/>
          <w:sz w:val="28"/>
          <w:szCs w:val="28"/>
        </w:rPr>
        <w:t xml:space="preserve">Platform &amp; Gateway Considerations for Future Projects</w:t>
      </w:r>
    </w:p>
    <w:p>
      <w:pPr>
        <w:spacing w:before="80"/>
        <w:jc w:val="center"/>
      </w:pPr>
      <w:r>
        <w:rPr>
          <w:i/>
          <w:iCs/>
          <w:color w:val="595959"/>
          <w:sz w:val="22"/>
          <w:szCs w:val="22"/>
        </w:rPr>
        <w:t xml:space="preserve">A checklist of the Azure building blocks a service-gateway platform needs</w:t>
      </w:r>
    </w:p>
    <w:p>
      <w:r>
        <w:br w:type="page"/>
      </w:r>
    </w:p>
    <w:p>
      <w:pPr>
        <w:pStyle w:val="Heading1"/>
        <w:spacing w:after="150" w:before="340"/>
      </w:pPr>
      <w:r>
        <w:rPr>
          <w:b/>
          <w:bCs/>
          <w:color w:val="1F4E78"/>
          <w:sz w:val="29"/>
          <w:szCs w:val="29"/>
        </w:rPr>
        <w:t xml:space="preserve">Purpose</w:t>
      </w:r>
    </w:p>
    <w:p>
      <w:pPr>
        <w:spacing w:after="120" w:line="284"/>
      </w:pPr>
      <w:r>
        <w:rPr>
          <w:sz w:val="21"/>
          <w:szCs w:val="21"/>
        </w:rPr>
        <w:t xml:space="preserve">This document is a </w:t>
      </w:r>
      <w:r>
        <w:rPr>
          <w:b/>
          <w:bCs/>
          <w:sz w:val="21"/>
          <w:szCs w:val="21"/>
        </w:rPr>
        <w:t xml:space="preserve">forward-looking reference</w:t>
      </w:r>
      <w:r>
        <w:rPr>
          <w:sz w:val="21"/>
          <w:szCs w:val="21"/>
        </w:rPr>
        <w:t xml:space="preserve">, not a record of any one deployment. It captures the Azure components and configuration decisions that a gateway-style platform — an API edge in front of a set of containerised backend services — should account for. Use it as a checklist when standing up a similar project so that security, observability, and operational concerns are considered up front rather than discovered later.</w:t>
      </w:r>
    </w:p>
    <w:p>
      <w:pPr>
        <w:pBdr>
          <w:left w:val="single" w:color="1F4E78" w:sz="20"/>
        </w:pBdr>
        <w:shd w:fill="EEF3F9" w:val="clear"/>
        <w:spacing w:after="140" w:before="90" w:line="280"/>
        <w:ind w:left="150" w:right="90"/>
      </w:pPr>
      <w:r>
        <w:rPr>
          <w:b/>
          <w:bCs/>
          <w:sz w:val="21"/>
          <w:szCs w:val="21"/>
        </w:rPr>
        <w:t xml:space="preserve">How to read this: </w:t>
      </w:r>
      <w:r>
        <w:rPr>
          <w:sz w:val="21"/>
          <w:szCs w:val="21"/>
        </w:rPr>
        <w:t xml:space="preserve">each section names an Azure capability, what it does for the platform, and the decisions worth making deliberately. The specific SKUs, names, and sizes will differ per project — what carries over is the set of things to decide.</w:t>
      </w:r>
    </w:p>
    <w:p>
      <w:pPr>
        <w:pStyle w:val="Heading1"/>
        <w:spacing w:after="150" w:before="340"/>
      </w:pPr>
      <w:r>
        <w:rPr>
          <w:b/>
          <w:bCs/>
          <w:color w:val="1F4E78"/>
          <w:sz w:val="29"/>
          <w:szCs w:val="29"/>
        </w:rPr>
        <w:t xml:space="preserve">1. The overall shape</w:t>
      </w:r>
    </w:p>
    <w:p>
      <w:pPr>
        <w:spacing w:after="120" w:line="284"/>
      </w:pPr>
      <w:r>
        <w:rPr>
          <w:sz w:val="21"/>
          <w:szCs w:val="21"/>
        </w:rPr>
        <w:t xml:space="preserve">A gateway platform on Azure typically has four layers, each mapping to a group of Azure services:</w:t>
      </w:r>
    </w:p>
    <w:p>
      <w:pPr>
        <w:pStyle w:val="ListParagraph"/>
        <w:numPr>
          <w:ilvl w:val="0"/>
          <w:numId w:val="2"/>
        </w:numPr>
        <w:spacing w:after="70" w:line="276"/>
      </w:pPr>
      <w:r>
        <w:rPr>
          <w:b/>
          <w:bCs/>
          <w:sz w:val="21"/>
          <w:szCs w:val="21"/>
        </w:rPr>
        <w:t xml:space="preserve">The edge</w:t>
      </w:r>
      <w:r>
        <w:rPr>
          <w:sz w:val="21"/>
          <w:szCs w:val="21"/>
        </w:rPr>
        <w:t xml:space="preserve"> — a managed API gateway that authenticates, rate-limits, and routes inbound traffic (Azure API Management).</w:t>
      </w:r>
    </w:p>
    <w:p>
      <w:pPr>
        <w:pStyle w:val="ListParagraph"/>
        <w:numPr>
          <w:ilvl w:val="0"/>
          <w:numId w:val="2"/>
        </w:numPr>
        <w:spacing w:after="70" w:line="276"/>
      </w:pPr>
      <w:r>
        <w:rPr>
          <w:b/>
          <w:bCs/>
          <w:sz w:val="21"/>
          <w:szCs w:val="21"/>
        </w:rPr>
        <w:t xml:space="preserve">The compute</w:t>
      </w:r>
      <w:r>
        <w:rPr>
          <w:sz w:val="21"/>
          <w:szCs w:val="21"/>
        </w:rPr>
        <w:t xml:space="preserve"> — a container platform running the gateway and backend services (Azure Kubernetes Service).</w:t>
      </w:r>
    </w:p>
    <w:p>
      <w:pPr>
        <w:pStyle w:val="ListParagraph"/>
        <w:numPr>
          <w:ilvl w:val="0"/>
          <w:numId w:val="2"/>
        </w:numPr>
        <w:spacing w:after="70" w:line="276"/>
      </w:pPr>
      <w:r>
        <w:rPr>
          <w:b/>
          <w:bCs/>
          <w:sz w:val="21"/>
          <w:szCs w:val="21"/>
        </w:rPr>
        <w:t xml:space="preserve">The supporting services</w:t>
      </w:r>
      <w:r>
        <w:rPr>
          <w:sz w:val="21"/>
          <w:szCs w:val="21"/>
        </w:rPr>
        <w:t xml:space="preserve"> — secrets, identity, container images, and configuration (Key Vault, Entra ID, Container Registry).</w:t>
      </w:r>
    </w:p>
    <w:p>
      <w:pPr>
        <w:pStyle w:val="ListParagraph"/>
        <w:numPr>
          <w:ilvl w:val="0"/>
          <w:numId w:val="2"/>
        </w:numPr>
        <w:spacing w:after="70" w:line="276"/>
      </w:pPr>
      <w:r>
        <w:rPr>
          <w:b/>
          <w:bCs/>
          <w:sz w:val="21"/>
          <w:szCs w:val="21"/>
        </w:rPr>
        <w:t xml:space="preserve">The observability plane</w:t>
      </w:r>
      <w:r>
        <w:rPr>
          <w:sz w:val="21"/>
          <w:szCs w:val="21"/>
        </w:rPr>
        <w:t xml:space="preserve"> — logs, metrics, traces, alerts, and dashboards (Log Analytics, Application Insights, Azure Monitor).</w:t>
      </w:r>
    </w:p>
    <w:p>
      <w:pPr>
        <w:spacing w:after="120" w:line="284"/>
      </w:pPr>
      <w:r>
        <w:rPr>
          <w:sz w:val="21"/>
          <w:szCs w:val="21"/>
        </w:rPr>
        <w:t xml:space="preserve">The sections below walk each in turn, ending with the cross-cutting concerns — cost, environments, and the operational disciplines that are easy to skip and expensive to retrofit.</w:t>
      </w:r>
    </w:p>
    <w:p>
      <w:pPr>
        <w:pStyle w:val="Heading1"/>
        <w:spacing w:after="150" w:before="340"/>
      </w:pPr>
      <w:r>
        <w:rPr>
          <w:b/>
          <w:bCs/>
          <w:color w:val="1F4E78"/>
          <w:sz w:val="29"/>
          <w:szCs w:val="29"/>
        </w:rPr>
        <w:t xml:space="preserve">2. The edge — API Management</w:t>
      </w:r>
    </w:p>
    <w:p>
      <w:pPr>
        <w:spacing w:after="120" w:line="284"/>
      </w:pPr>
      <w:r>
        <w:rPr>
          <w:sz w:val="21"/>
          <w:szCs w:val="21"/>
        </w:rPr>
        <w:t xml:space="preserve">API Management (APIM) is the front door. Everything a partner or client calls goes through it before reaching any service. Decisions to make:</w:t>
      </w:r>
    </w:p>
    <w:p>
      <w:pPr>
        <w:pStyle w:val="Heading2"/>
        <w:spacing w:after="100" w:before="250"/>
      </w:pPr>
      <w:r>
        <w:rPr>
          <w:b/>
          <w:bCs/>
          <w:color w:val="1F4E78"/>
          <w:sz w:val="24"/>
          <w:szCs w:val="24"/>
        </w:rPr>
        <w:t xml:space="preserve">2.1 Tier selection</w:t>
      </w:r>
    </w:p>
    <w:p>
      <w:pPr>
        <w:spacing w:after="120" w:line="284"/>
      </w:pPr>
      <w:r>
        <w:rPr>
          <w:sz w:val="21"/>
          <w:szCs w:val="21"/>
        </w:rPr>
        <w:t xml:space="preserve">APIM tiers differ significantly in capability and cost. The </w:t>
      </w:r>
      <w:r>
        <w:rPr>
          <w:b/>
          <w:bCs/>
          <w:sz w:val="21"/>
          <w:szCs w:val="21"/>
        </w:rPr>
        <w:t xml:space="preserve">Consumption</w:t>
      </w:r>
      <w:r>
        <w:rPr>
          <w:sz w:val="21"/>
          <w:szCs w:val="21"/>
        </w:rPr>
        <w:t xml:space="preserve"> tier is serverless and inexpensive but limited (no VNet integration, reduced diagnostic categories, per-call billing). The </w:t>
      </w:r>
      <w:r>
        <w:rPr>
          <w:b/>
          <w:bCs/>
          <w:sz w:val="21"/>
          <w:szCs w:val="21"/>
        </w:rPr>
        <w:t xml:space="preserve">Developer</w:t>
      </w:r>
      <w:r>
        <w:rPr>
          <w:sz w:val="21"/>
          <w:szCs w:val="21"/>
        </w:rPr>
        <w:t xml:space="preserve"> tier is for non-production. </w:t>
      </w:r>
      <w:r>
        <w:rPr>
          <w:b/>
          <w:bCs/>
          <w:sz w:val="21"/>
          <w:szCs w:val="21"/>
        </w:rPr>
        <w:t xml:space="preserve">Standard / Premium</w:t>
      </w:r>
      <w:r>
        <w:rPr>
          <w:sz w:val="21"/>
          <w:szCs w:val="21"/>
        </w:rPr>
        <w:t xml:space="preserve"> add scale, VNet integration, multi-region, and full diagnostics. Choose based on whether you need private networking, guaranteed throughput, and per-request logging — these are tier-gated and hard to change later.</w:t>
      </w:r>
    </w:p>
    <w:p>
      <w:pPr>
        <w:pBdr>
          <w:left w:val="single" w:color="C77700" w:sz="20"/>
        </w:pBdr>
        <w:shd w:fill="FCF3E2" w:val="clear"/>
        <w:spacing w:after="140" w:before="90" w:line="280"/>
        <w:ind w:left="150" w:right="90"/>
      </w:pPr>
      <w:r>
        <w:rPr>
          <w:b/>
          <w:bCs/>
          <w:sz w:val="21"/>
          <w:szCs w:val="21"/>
        </w:rPr>
        <w:t xml:space="preserve">Learned the hard way: </w:t>
      </w:r>
      <w:r>
        <w:rPr>
          <w:sz w:val="21"/>
          <w:szCs w:val="21"/>
        </w:rPr>
        <w:t xml:space="preserve">some diagnostic and logging features are not available on lower tiers. If per-request edge logging (who called what, with which status and latency) matters for supporting partners, confirm the tier supports it before committing.</w:t>
      </w:r>
    </w:p>
    <w:p>
      <w:pPr>
        <w:pStyle w:val="Heading2"/>
        <w:spacing w:after="100" w:before="250"/>
      </w:pPr>
      <w:r>
        <w:rPr>
          <w:b/>
          <w:bCs/>
          <w:color w:val="1F4E78"/>
          <w:sz w:val="24"/>
          <w:szCs w:val="24"/>
        </w:rPr>
        <w:t xml:space="preserve">2.2 Policies to configure</w:t>
      </w:r>
    </w:p>
    <w:p>
      <w:pPr>
        <w:pStyle w:val="ListParagraph"/>
        <w:numPr>
          <w:ilvl w:val="0"/>
          <w:numId w:val="2"/>
        </w:numPr>
        <w:spacing w:after="70" w:line="276"/>
      </w:pPr>
      <w:r>
        <w:rPr>
          <w:b/>
          <w:bCs/>
          <w:sz w:val="21"/>
          <w:szCs w:val="21"/>
        </w:rPr>
        <w:t xml:space="preserve">Authentication</w:t>
      </w:r>
      <w:r>
        <w:rPr>
          <w:sz w:val="21"/>
          <w:szCs w:val="21"/>
        </w:rPr>
        <w:t xml:space="preserve"> — validate inbound tokens (JWT validation against your identity provider) and require a subscription key. Two independent gates is a sound default.</w:t>
      </w:r>
    </w:p>
    <w:p>
      <w:pPr>
        <w:pStyle w:val="ListParagraph"/>
        <w:numPr>
          <w:ilvl w:val="0"/>
          <w:numId w:val="2"/>
        </w:numPr>
        <w:spacing w:after="70" w:line="276"/>
      </w:pPr>
      <w:r>
        <w:rPr>
          <w:b/>
          <w:bCs/>
          <w:sz w:val="21"/>
          <w:szCs w:val="21"/>
        </w:rPr>
        <w:t xml:space="preserve">Rate limiting / quotas</w:t>
      </w:r>
      <w:r>
        <w:rPr>
          <w:sz w:val="21"/>
          <w:szCs w:val="21"/>
        </w:rPr>
        <w:t xml:space="preserve"> — protect the backend and enforce per-consumer budgets.</w:t>
      </w:r>
    </w:p>
    <w:p>
      <w:pPr>
        <w:pStyle w:val="ListParagraph"/>
        <w:numPr>
          <w:ilvl w:val="0"/>
          <w:numId w:val="2"/>
        </w:numPr>
        <w:spacing w:after="70" w:line="276"/>
      </w:pPr>
      <w:r>
        <w:rPr>
          <w:b/>
          <w:bCs/>
          <w:sz w:val="21"/>
          <w:szCs w:val="21"/>
        </w:rPr>
        <w:t xml:space="preserve">Header handling</w:t>
      </w:r>
      <w:r>
        <w:rPr>
          <w:sz w:val="21"/>
          <w:szCs w:val="21"/>
        </w:rPr>
        <w:t xml:space="preserve"> — decide explicitly which headers pass through to the backend and which are stripped. Do not forward sensitive headers to every service by default.</w:t>
      </w:r>
    </w:p>
    <w:p>
      <w:pPr>
        <w:pStyle w:val="ListParagraph"/>
        <w:numPr>
          <w:ilvl w:val="0"/>
          <w:numId w:val="2"/>
        </w:numPr>
        <w:spacing w:after="70" w:line="276"/>
      </w:pPr>
      <w:r>
        <w:rPr>
          <w:b/>
          <w:bCs/>
          <w:sz w:val="21"/>
          <w:szCs w:val="21"/>
        </w:rPr>
        <w:t xml:space="preserve">Diagnostics</w:t>
      </w:r>
      <w:r>
        <w:rPr>
          <w:sz w:val="21"/>
          <w:szCs w:val="21"/>
        </w:rPr>
        <w:t xml:space="preserve"> — wire the gateway's request logs and metrics to your log workspace (this often requires a logger plus a diagnostic entity, not just a single setting).</w:t>
      </w:r>
    </w:p>
    <w:p>
      <w:pPr>
        <w:pStyle w:val="Heading1"/>
        <w:spacing w:after="150" w:before="340"/>
      </w:pPr>
      <w:r>
        <w:rPr>
          <w:b/>
          <w:bCs/>
          <w:color w:val="1F4E78"/>
          <w:sz w:val="29"/>
          <w:szCs w:val="29"/>
        </w:rPr>
        <w:t xml:space="preserve">3. The compute — Kubernetes (AKS)</w:t>
      </w:r>
    </w:p>
    <w:p>
      <w:pPr>
        <w:spacing w:after="120" w:line="284"/>
      </w:pPr>
      <w:r>
        <w:rPr>
          <w:sz w:val="21"/>
          <w:szCs w:val="21"/>
        </w:rPr>
        <w:t xml:space="preserve">AKS runs the gateway and backend services as containers. Key decisions:</w:t>
      </w:r>
    </w:p>
    <w:p>
      <w:pPr>
        <w:pStyle w:val="Heading2"/>
        <w:spacing w:after="100" w:before="250"/>
      </w:pPr>
      <w:r>
        <w:rPr>
          <w:b/>
          <w:bCs/>
          <w:color w:val="1F4E78"/>
          <w:sz w:val="24"/>
          <w:szCs w:val="24"/>
        </w:rPr>
        <w:t xml:space="preserve">3.1 Cluster setup</w:t>
      </w:r>
    </w:p>
    <w:p>
      <w:pPr>
        <w:pStyle w:val="ListParagraph"/>
        <w:numPr>
          <w:ilvl w:val="0"/>
          <w:numId w:val="2"/>
        </w:numPr>
        <w:spacing w:after="70" w:line="276"/>
      </w:pPr>
      <w:r>
        <w:rPr>
          <w:b/>
          <w:bCs/>
          <w:sz w:val="21"/>
          <w:szCs w:val="21"/>
        </w:rPr>
        <w:t xml:space="preserve">Kubernetes version &amp; upgrade channel</w:t>
      </w:r>
      <w:r>
        <w:rPr>
          <w:sz w:val="21"/>
          <w:szCs w:val="21"/>
        </w:rPr>
        <w:t xml:space="preserve"> — pick a supported version and decide how upgrades happen.</w:t>
      </w:r>
    </w:p>
    <w:p>
      <w:pPr>
        <w:pStyle w:val="ListParagraph"/>
        <w:numPr>
          <w:ilvl w:val="0"/>
          <w:numId w:val="2"/>
        </w:numPr>
        <w:spacing w:after="70" w:line="276"/>
      </w:pPr>
      <w:r>
        <w:rPr>
          <w:b/>
          <w:bCs/>
          <w:sz w:val="21"/>
          <w:szCs w:val="21"/>
        </w:rPr>
        <w:t xml:space="preserve">Node pools</w:t>
      </w:r>
      <w:r>
        <w:rPr>
          <w:sz w:val="21"/>
          <w:szCs w:val="21"/>
        </w:rPr>
        <w:t xml:space="preserve"> — size and count for the workload; consider a separate system pool. Right-size early; oversizing is a silent cost drain.</w:t>
      </w:r>
    </w:p>
    <w:p>
      <w:pPr>
        <w:pStyle w:val="ListParagraph"/>
        <w:numPr>
          <w:ilvl w:val="0"/>
          <w:numId w:val="2"/>
        </w:numPr>
        <w:spacing w:after="70" w:line="276"/>
      </w:pPr>
      <w:r>
        <w:rPr>
          <w:b/>
          <w:bCs/>
          <w:sz w:val="21"/>
          <w:szCs w:val="21"/>
        </w:rPr>
        <w:t xml:space="preserve">Networking</w:t>
      </w:r>
      <w:r>
        <w:rPr>
          <w:sz w:val="21"/>
          <w:szCs w:val="21"/>
        </w:rPr>
        <w:t xml:space="preserve"> — network plugin and whether the cluster is public or integrated into a VNet. This is foundational and painful to change later.</w:t>
      </w:r>
    </w:p>
    <w:p>
      <w:pPr>
        <w:pStyle w:val="ListParagraph"/>
        <w:numPr>
          <w:ilvl w:val="0"/>
          <w:numId w:val="2"/>
        </w:numPr>
        <w:spacing w:after="70" w:line="276"/>
      </w:pPr>
      <w:r>
        <w:rPr>
          <w:b/>
          <w:bCs/>
          <w:sz w:val="21"/>
          <w:szCs w:val="21"/>
        </w:rPr>
        <w:t xml:space="preserve">RBAC &amp; identity integration</w:t>
      </w:r>
      <w:r>
        <w:rPr>
          <w:sz w:val="21"/>
          <w:szCs w:val="21"/>
        </w:rPr>
        <w:t xml:space="preserve"> — enable RBAC and integrate cluster access with your directory so access is managed centrally, not with static credentials.</w:t>
      </w:r>
    </w:p>
    <w:p>
      <w:pPr>
        <w:pBdr>
          <w:left w:val="single" w:color="C77700" w:sz="20"/>
        </w:pBdr>
        <w:shd w:fill="FCF3E2" w:val="clear"/>
        <w:spacing w:after="140" w:before="90" w:line="280"/>
        <w:ind w:left="150" w:right="90"/>
      </w:pPr>
      <w:r>
        <w:rPr>
          <w:b/>
          <w:bCs/>
          <w:sz w:val="21"/>
          <w:szCs w:val="21"/>
        </w:rPr>
        <w:t xml:space="preserve">Access gotcha: </w:t>
      </w:r>
      <w:r>
        <w:rPr>
          <w:sz w:val="21"/>
          <w:szCs w:val="21"/>
        </w:rPr>
        <w:t xml:space="preserve">if the cluster is not integrated with your directory (AAD/Entra), directory-based role assignments granting cluster access may silently have no effect. Confirm the cluster's access model matches how you intend to grant access, or roles you assign will appear granted but do nothing.</w:t>
      </w:r>
    </w:p>
    <w:p>
      <w:pPr>
        <w:pStyle w:val="Heading2"/>
        <w:spacing w:after="100" w:before="250"/>
      </w:pPr>
      <w:r>
        <w:rPr>
          <w:b/>
          <w:bCs/>
          <w:color w:val="1F4E78"/>
          <w:sz w:val="24"/>
          <w:szCs w:val="24"/>
        </w:rPr>
        <w:t xml:space="preserve">3.2 Secrets into pods</w:t>
      </w:r>
    </w:p>
    <w:p>
      <w:pPr>
        <w:spacing w:after="120" w:line="284"/>
      </w:pPr>
      <w:r>
        <w:rPr>
          <w:sz w:val="21"/>
          <w:szCs w:val="21"/>
        </w:rPr>
        <w:t xml:space="preserve">Backend services need connection strings and signing secrets. The clean pattern is to keep them in Key Vault and mount them into pods via the </w:t>
      </w:r>
      <w:r>
        <w:rPr>
          <w:b/>
          <w:bCs/>
          <w:sz w:val="21"/>
          <w:szCs w:val="21"/>
        </w:rPr>
        <w:t xml:space="preserve">Secrets Store CSI driver</w:t>
      </w:r>
      <w:r>
        <w:rPr>
          <w:sz w:val="21"/>
          <w:szCs w:val="21"/>
        </w:rPr>
        <w:t xml:space="preserve">, rather than baking them into images or committing them to manifests.</w:t>
      </w:r>
    </w:p>
    <w:p>
      <w:pPr>
        <w:pBdr>
          <w:left w:val="single" w:color="2E7D32" w:sz="20"/>
        </w:pBdr>
        <w:shd w:fill="E7F3EA" w:val="clear"/>
        <w:spacing w:after="140" w:before="90" w:line="280"/>
        <w:ind w:left="150" w:right="90"/>
      </w:pPr>
      <w:r>
        <w:rPr>
          <w:b/>
          <w:bCs/>
          <w:sz w:val="21"/>
          <w:szCs w:val="21"/>
        </w:rPr>
        <w:t xml:space="preserve">Enable secret rotation from day one: </w:t>
      </w:r>
      <w:r>
        <w:rPr>
          <w:sz w:val="21"/>
          <w:szCs w:val="21"/>
        </w:rPr>
        <w:t xml:space="preserve">without rotation enabled, the CSI driver will not add a NEW key to an existing mounted secret — forcing a disruptive delete-and-recreate every time you add a secret. Turning on rotation up front avoids a recurring operational tax. It is a no-downtime cluster setting.</w:t>
      </w:r>
    </w:p>
    <w:p>
      <w:pPr>
        <w:pStyle w:val="Heading1"/>
        <w:spacing w:after="150" w:before="340"/>
      </w:pPr>
      <w:r>
        <w:rPr>
          <w:b/>
          <w:bCs/>
          <w:color w:val="1F4E78"/>
          <w:sz w:val="29"/>
          <w:szCs w:val="29"/>
        </w:rPr>
        <w:t xml:space="preserve">4. Supporting services</w:t>
      </w:r>
    </w:p>
    <w:p>
      <w:pPr>
        <w:pStyle w:val="Heading2"/>
        <w:spacing w:after="100" w:before="250"/>
      </w:pPr>
      <w:r>
        <w:rPr>
          <w:b/>
          <w:bCs/>
          <w:color w:val="1F4E78"/>
          <w:sz w:val="24"/>
          <w:szCs w:val="24"/>
        </w:rPr>
        <w:t xml:space="preserve">4.1 Key Vault</w:t>
      </w:r>
    </w:p>
    <w:p>
      <w:pPr>
        <w:pStyle w:val="ListParagraph"/>
        <w:numPr>
          <w:ilvl w:val="0"/>
          <w:numId w:val="2"/>
        </w:numPr>
        <w:spacing w:after="70" w:line="276"/>
      </w:pPr>
      <w:r>
        <w:rPr>
          <w:sz w:val="21"/>
          <w:szCs w:val="21"/>
        </w:rPr>
        <w:t xml:space="preserve">Store all secrets, connection strings, and signing keys here — never in code, manifests, or images.</w:t>
      </w:r>
    </w:p>
    <w:p>
      <w:pPr>
        <w:pStyle w:val="ListParagraph"/>
        <w:numPr>
          <w:ilvl w:val="0"/>
          <w:numId w:val="2"/>
        </w:numPr>
        <w:spacing w:after="70" w:line="276"/>
      </w:pPr>
      <w:r>
        <w:rPr>
          <w:sz w:val="21"/>
          <w:szCs w:val="21"/>
        </w:rPr>
        <w:t xml:space="preserve">Use distinct secrets for distinct trust boundaries (e.g. do not reuse an edge secret for internal signing).</w:t>
      </w:r>
    </w:p>
    <w:p>
      <w:pPr>
        <w:pStyle w:val="ListParagraph"/>
        <w:numPr>
          <w:ilvl w:val="0"/>
          <w:numId w:val="2"/>
        </w:numPr>
        <w:spacing w:after="70" w:line="276"/>
      </w:pPr>
      <w:r>
        <w:rPr>
          <w:sz w:val="21"/>
          <w:szCs w:val="21"/>
        </w:rPr>
        <w:t xml:space="preserve">Plan rotation and access policies before go-live.</w:t>
      </w:r>
    </w:p>
    <w:p>
      <w:pPr>
        <w:pStyle w:val="Heading2"/>
        <w:spacing w:after="100" w:before="250"/>
      </w:pPr>
      <w:r>
        <w:rPr>
          <w:b/>
          <w:bCs/>
          <w:color w:val="1F4E78"/>
          <w:sz w:val="24"/>
          <w:szCs w:val="24"/>
        </w:rPr>
        <w:t xml:space="preserve">4.2 Identity — Entra ID</w:t>
      </w:r>
    </w:p>
    <w:p>
      <w:pPr>
        <w:pStyle w:val="ListParagraph"/>
        <w:numPr>
          <w:ilvl w:val="0"/>
          <w:numId w:val="2"/>
        </w:numPr>
        <w:spacing w:after="70" w:line="276"/>
      </w:pPr>
      <w:r>
        <w:rPr>
          <w:sz w:val="21"/>
          <w:szCs w:val="21"/>
        </w:rPr>
        <w:t xml:space="preserve">Register the applications (the gateway, and any consumer/partner apps) and define the token audiences and scopes.</w:t>
      </w:r>
    </w:p>
    <w:p>
      <w:pPr>
        <w:pStyle w:val="ListParagraph"/>
        <w:numPr>
          <w:ilvl w:val="0"/>
          <w:numId w:val="2"/>
        </w:numPr>
        <w:spacing w:after="70" w:line="276"/>
      </w:pPr>
      <w:r>
        <w:rPr>
          <w:sz w:val="21"/>
          <w:szCs w:val="21"/>
        </w:rPr>
        <w:t xml:space="preserve">Prefer the client-credentials grant for service-to-service partner access.</w:t>
      </w:r>
    </w:p>
    <w:p>
      <w:pPr>
        <w:pStyle w:val="ListParagraph"/>
        <w:numPr>
          <w:ilvl w:val="0"/>
          <w:numId w:val="2"/>
        </w:numPr>
        <w:spacing w:after="70" w:line="276"/>
      </w:pPr>
      <w:r>
        <w:rPr>
          <w:sz w:val="21"/>
          <w:szCs w:val="21"/>
        </w:rPr>
        <w:t xml:space="preserve">Use managed identities for Azure-to-Azure auth (e.g. AKS pulling from Key Vault) rather than stored credentials.</w:t>
      </w:r>
    </w:p>
    <w:p>
      <w:pPr>
        <w:pStyle w:val="Heading2"/>
        <w:spacing w:after="100" w:before="250"/>
      </w:pPr>
      <w:r>
        <w:rPr>
          <w:b/>
          <w:bCs/>
          <w:color w:val="1F4E78"/>
          <w:sz w:val="24"/>
          <w:szCs w:val="24"/>
        </w:rPr>
        <w:t xml:space="preserve">4.3 Container Registry</w:t>
      </w:r>
    </w:p>
    <w:p>
      <w:pPr>
        <w:pStyle w:val="ListParagraph"/>
        <w:numPr>
          <w:ilvl w:val="0"/>
          <w:numId w:val="2"/>
        </w:numPr>
        <w:spacing w:after="70" w:line="276"/>
      </w:pPr>
      <w:r>
        <w:rPr>
          <w:sz w:val="21"/>
          <w:szCs w:val="21"/>
        </w:rPr>
        <w:t xml:space="preserve">Host your service images in a private registry the cluster can pull from via managed identity.</w:t>
      </w:r>
    </w:p>
    <w:p>
      <w:pPr>
        <w:pStyle w:val="ListParagraph"/>
        <w:numPr>
          <w:ilvl w:val="0"/>
          <w:numId w:val="2"/>
        </w:numPr>
        <w:spacing w:after="70" w:line="276"/>
      </w:pPr>
      <w:r>
        <w:rPr>
          <w:sz w:val="21"/>
          <w:szCs w:val="21"/>
        </w:rPr>
        <w:t xml:space="preserve">Ensure images are built and tagged through your CI pipeline — not built and pushed manually from a workstation.</w:t>
      </w:r>
    </w:p>
    <w:p>
      <w:pPr>
        <w:pBdr>
          <w:left w:val="single" w:color="C77700" w:sz="20"/>
        </w:pBdr>
        <w:shd w:fill="FCF3E2" w:val="clear"/>
        <w:spacing w:after="140" w:before="90" w:line="280"/>
        <w:ind w:left="150" w:right="90"/>
      </w:pPr>
      <w:r>
        <w:rPr>
          <w:b/>
          <w:bCs/>
          <w:sz w:val="21"/>
          <w:szCs w:val="21"/>
        </w:rPr>
        <w:t xml:space="preserve">Discipline worth enforcing: </w:t>
      </w:r>
      <w:r>
        <w:rPr>
          <w:sz w:val="21"/>
          <w:szCs w:val="21"/>
        </w:rPr>
        <w:t xml:space="preserve">images built outside the pipeline (locally, then pushed) drift from what the pipeline produces and are hard to trace. Make the pipeline the only path to a deployable image.</w:t>
      </w:r>
    </w:p>
    <w:p>
      <w:pPr>
        <w:pStyle w:val="Heading1"/>
        <w:spacing w:after="150" w:before="340"/>
      </w:pPr>
      <w:r>
        <w:rPr>
          <w:b/>
          <w:bCs/>
          <w:color w:val="1F4E78"/>
          <w:sz w:val="29"/>
          <w:szCs w:val="29"/>
        </w:rPr>
        <w:t xml:space="preserve">5. The observability plane</w:t>
      </w:r>
    </w:p>
    <w:p>
      <w:pPr>
        <w:spacing w:after="120" w:line="284"/>
      </w:pPr>
      <w:r>
        <w:rPr>
          <w:sz w:val="21"/>
          <w:szCs w:val="21"/>
        </w:rPr>
        <w:t xml:space="preserve">This is the layer most often under-built, and the one that determines whether you can operate the platform. Treat it as a first-class requirement, not an afterthought. It has four parts.</w:t>
      </w:r>
    </w:p>
    <w:p>
      <w:pPr>
        <w:pStyle w:val="Heading2"/>
        <w:spacing w:after="100" w:before="250"/>
      </w:pPr>
      <w:r>
        <w:rPr>
          <w:b/>
          <w:bCs/>
          <w:color w:val="1F4E78"/>
          <w:sz w:val="24"/>
          <w:szCs w:val="24"/>
        </w:rPr>
        <w:t xml:space="preserve">5.1 Logs — Log Analytics</w:t>
      </w:r>
    </w:p>
    <w:p>
      <w:pPr>
        <w:pStyle w:val="ListParagraph"/>
        <w:numPr>
          <w:ilvl w:val="0"/>
          <w:numId w:val="2"/>
        </w:numPr>
        <w:spacing w:after="70" w:line="276"/>
      </w:pPr>
      <w:r>
        <w:rPr>
          <w:sz w:val="21"/>
          <w:szCs w:val="21"/>
        </w:rPr>
        <w:t xml:space="preserve">Ship container logs to a Log Analytics workspace.</w:t>
      </w:r>
    </w:p>
    <w:p>
      <w:pPr>
        <w:pStyle w:val="ListParagraph"/>
        <w:numPr>
          <w:ilvl w:val="0"/>
          <w:numId w:val="2"/>
        </w:numPr>
        <w:spacing w:after="70" w:line="276"/>
      </w:pPr>
      <w:r>
        <w:rPr>
          <w:sz w:val="21"/>
          <w:szCs w:val="21"/>
        </w:rPr>
        <w:t xml:space="preserve">Emit </w:t>
      </w:r>
      <w:r>
        <w:rPr>
          <w:b/>
          <w:bCs/>
          <w:sz w:val="21"/>
          <w:szCs w:val="21"/>
        </w:rPr>
        <w:t xml:space="preserve">structured (JSON) logs</w:t>
      </w:r>
      <w:r>
        <w:rPr>
          <w:sz w:val="21"/>
          <w:szCs w:val="21"/>
        </w:rPr>
        <w:t xml:space="preserve"> so fields — correlation id, status, operation — become queryable columns. Plain-text logs with the correlation id on a separate line are far less useful, because log collectors ship each line as its own record.</w:t>
      </w:r>
    </w:p>
    <w:p>
      <w:pPr>
        <w:pStyle w:val="ListParagraph"/>
        <w:numPr>
          <w:ilvl w:val="0"/>
          <w:numId w:val="2"/>
        </w:numPr>
        <w:spacing w:after="70" w:line="276"/>
      </w:pPr>
      <w:r>
        <w:rPr>
          <w:sz w:val="21"/>
          <w:szCs w:val="21"/>
        </w:rPr>
        <w:t xml:space="preserve">Set log retention deliberately, and avoid collecting sensitive values (e.g. exclude environment variables that contain connection strings).</w:t>
      </w:r>
    </w:p>
    <w:p>
      <w:pPr>
        <w:pStyle w:val="Heading2"/>
        <w:spacing w:after="100" w:before="250"/>
      </w:pPr>
      <w:r>
        <w:rPr>
          <w:b/>
          <w:bCs/>
          <w:color w:val="1F4E78"/>
          <w:sz w:val="24"/>
          <w:szCs w:val="24"/>
        </w:rPr>
        <w:t xml:space="preserve">5.2 Traces — Application Insights</w:t>
      </w:r>
    </w:p>
    <w:p>
      <w:pPr>
        <w:pStyle w:val="ListParagraph"/>
        <w:numPr>
          <w:ilvl w:val="0"/>
          <w:numId w:val="2"/>
        </w:numPr>
        <w:spacing w:after="70" w:line="276"/>
      </w:pPr>
      <w:r>
        <w:rPr>
          <w:sz w:val="21"/>
          <w:szCs w:val="21"/>
        </w:rPr>
        <w:t xml:space="preserve">Wire distributed tracing (OpenTelemetry) to Application Insights so you can follow one request across services as a connected waterfall.</w:t>
      </w:r>
    </w:p>
    <w:p>
      <w:pPr>
        <w:pStyle w:val="ListParagraph"/>
        <w:numPr>
          <w:ilvl w:val="0"/>
          <w:numId w:val="2"/>
        </w:numPr>
        <w:spacing w:after="70" w:line="276"/>
      </w:pPr>
      <w:r>
        <w:rPr>
          <w:sz w:val="21"/>
          <w:szCs w:val="21"/>
        </w:rPr>
        <w:t xml:space="preserve">Confirm the exporter points at a live destination — instrumentation that exports to a dead endpoint looks healthy but produces nothing.</w:t>
      </w:r>
    </w:p>
    <w:p>
      <w:pPr>
        <w:pStyle w:val="ListParagraph"/>
        <w:numPr>
          <w:ilvl w:val="0"/>
          <w:numId w:val="2"/>
        </w:numPr>
        <w:spacing w:after="70" w:line="276"/>
      </w:pPr>
      <w:r>
        <w:rPr>
          <w:sz w:val="21"/>
          <w:szCs w:val="21"/>
        </w:rPr>
        <w:t xml:space="preserve">Link App Insights to the same Log Analytics workspace so traces and logs are queryable together.</w:t>
      </w:r>
    </w:p>
    <w:p>
      <w:pPr>
        <w:pStyle w:val="Heading2"/>
        <w:spacing w:after="100" w:before="250"/>
      </w:pPr>
      <w:r>
        <w:rPr>
          <w:b/>
          <w:bCs/>
          <w:color w:val="1F4E78"/>
          <w:sz w:val="24"/>
          <w:szCs w:val="24"/>
        </w:rPr>
        <w:t xml:space="preserve">5.3 Alerts — Azure Monitor</w:t>
      </w:r>
    </w:p>
    <w:p>
      <w:pPr>
        <w:pStyle w:val="ListParagraph"/>
        <w:numPr>
          <w:ilvl w:val="0"/>
          <w:numId w:val="2"/>
        </w:numPr>
        <w:spacing w:after="70" w:line="276"/>
      </w:pPr>
      <w:r>
        <w:rPr>
          <w:sz w:val="21"/>
          <w:szCs w:val="21"/>
        </w:rPr>
        <w:t xml:space="preserve">Define an </w:t>
      </w:r>
      <w:r>
        <w:rPr>
          <w:b/>
          <w:bCs/>
          <w:sz w:val="21"/>
          <w:szCs w:val="21"/>
        </w:rPr>
        <w:t xml:space="preserve">action group with a real receiver</w:t>
      </w:r>
      <w:r>
        <w:rPr>
          <w:sz w:val="21"/>
          <w:szCs w:val="21"/>
        </w:rPr>
        <w:t xml:space="preserve"> (a distribution list or a Teams channel is better than a single person) and confirm a test alert actually arrives.</w:t>
      </w:r>
    </w:p>
    <w:p>
      <w:pPr>
        <w:pStyle w:val="ListParagraph"/>
        <w:numPr>
          <w:ilvl w:val="0"/>
          <w:numId w:val="2"/>
        </w:numPr>
        <w:spacing w:after="70" w:line="276"/>
      </w:pPr>
      <w:r>
        <w:rPr>
          <w:sz w:val="21"/>
          <w:szCs w:val="21"/>
        </w:rPr>
        <w:t xml:space="preserve">Write alert rules for the failures that matter: upstream/backend faults, internal errors, and edge auth/rate-limit spikes. Decide which page a human and which are a daily digest.</w:t>
      </w:r>
    </w:p>
    <w:p>
      <w:pPr>
        <w:pStyle w:val="ListParagraph"/>
        <w:numPr>
          <w:ilvl w:val="0"/>
          <w:numId w:val="2"/>
        </w:numPr>
        <w:spacing w:after="70" w:line="276"/>
      </w:pPr>
      <w:r>
        <w:rPr>
          <w:sz w:val="21"/>
          <w:szCs w:val="21"/>
        </w:rPr>
        <w:t xml:space="preserve">Set thresholds against real baselines — too sensitive and people mute the alerts; too loose and real outages stay quiet.</w:t>
      </w:r>
    </w:p>
    <w:p>
      <w:pPr>
        <w:pBdr>
          <w:left w:val="single" w:color="2E7D32" w:sz="20"/>
        </w:pBdr>
        <w:shd w:fill="E7F3EA" w:val="clear"/>
        <w:spacing w:after="140" w:before="90" w:line="280"/>
        <w:ind w:left="150" w:right="90"/>
      </w:pPr>
      <w:r>
        <w:rPr>
          <w:b/>
          <w:bCs/>
          <w:sz w:val="21"/>
          <w:szCs w:val="21"/>
        </w:rPr>
        <w:t xml:space="preserve">The test that matters: </w:t>
      </w:r>
      <w:r>
        <w:rPr>
          <w:sz w:val="21"/>
          <w:szCs w:val="21"/>
        </w:rPr>
        <w:t xml:space="preserve">an alert is not 'done' until a real message reaches a real inbox. 'The rule exists' and 'Azure dispatched it' are not the same as 'a human was told.' Verify the whole chain end to end once.</w:t>
      </w:r>
    </w:p>
    <w:p>
      <w:pPr>
        <w:pStyle w:val="Heading2"/>
        <w:spacing w:after="100" w:before="250"/>
      </w:pPr>
      <w:r>
        <w:rPr>
          <w:b/>
          <w:bCs/>
          <w:color w:val="1F4E78"/>
          <w:sz w:val="24"/>
          <w:szCs w:val="24"/>
        </w:rPr>
        <w:t xml:space="preserve">5.4 Dashboards</w:t>
      </w:r>
    </w:p>
    <w:p>
      <w:pPr>
        <w:pStyle w:val="ListParagraph"/>
        <w:numPr>
          <w:ilvl w:val="0"/>
          <w:numId w:val="2"/>
        </w:numPr>
        <w:spacing w:after="70" w:line="276"/>
      </w:pPr>
      <w:r>
        <w:rPr>
          <w:sz w:val="21"/>
          <w:szCs w:val="21"/>
        </w:rPr>
        <w:t xml:space="preserve">Build a single glance-able dashboard — request volume, error rate, backend faults, edge auth failures, slowest operations.</w:t>
      </w:r>
    </w:p>
    <w:p>
      <w:pPr>
        <w:pStyle w:val="ListParagraph"/>
        <w:numPr>
          <w:ilvl w:val="0"/>
          <w:numId w:val="2"/>
        </w:numPr>
        <w:spacing w:after="70" w:line="276"/>
      </w:pPr>
      <w:r>
        <w:rPr>
          <w:sz w:val="21"/>
          <w:szCs w:val="21"/>
        </w:rPr>
        <w:t xml:space="preserve">Define it as infrastructure-as-code (Bicep) in your repo so it is version-controlled and reproducible, not click-configured and lost.</w:t>
      </w:r>
    </w:p>
    <w:p>
      <w:pPr>
        <w:pStyle w:val="Heading1"/>
        <w:spacing w:after="150" w:before="340"/>
      </w:pPr>
      <w:r>
        <w:rPr>
          <w:b/>
          <w:bCs/>
          <w:color w:val="1F4E78"/>
          <w:sz w:val="29"/>
          <w:szCs w:val="29"/>
        </w:rPr>
        <w:t xml:space="preserve">6. Cross-cutting considerations</w:t>
      </w:r>
    </w:p>
    <w:p>
      <w:pPr>
        <w:pStyle w:val="Heading2"/>
        <w:spacing w:after="100" w:before="250"/>
      </w:pPr>
      <w:r>
        <w:rPr>
          <w:b/>
          <w:bCs/>
          <w:color w:val="1F4E78"/>
          <w:sz w:val="24"/>
          <w:szCs w:val="24"/>
        </w:rPr>
        <w:t xml:space="preserve">6.1 Everything as infrastructure-as-code</w:t>
      </w:r>
    </w:p>
    <w:p>
      <w:pPr>
        <w:spacing w:after="120" w:line="284"/>
      </w:pPr>
      <w:r>
        <w:rPr>
          <w:sz w:val="21"/>
          <w:szCs w:val="21"/>
        </w:rPr>
        <w:t xml:space="preserve">Define resources, alert rules, and dashboards in Bicep/ARM in the repository. Config that lives only in the portal is invisible, unreviewable, and lost when the environment is rebuilt. If it matters, it belongs in version control.</w:t>
      </w:r>
    </w:p>
    <w:p>
      <w:pPr>
        <w:pStyle w:val="Heading2"/>
        <w:spacing w:after="100" w:before="250"/>
      </w:pPr>
      <w:r>
        <w:rPr>
          <w:b/>
          <w:bCs/>
          <w:color w:val="1F4E78"/>
          <w:sz w:val="24"/>
          <w:szCs w:val="24"/>
        </w:rPr>
        <w:t xml:space="preserve">6.2 Environments</w:t>
      </w:r>
    </w:p>
    <w:p>
      <w:pPr>
        <w:spacing w:after="120" w:line="284"/>
      </w:pPr>
      <w:r>
        <w:rPr>
          <w:sz w:val="21"/>
          <w:szCs w:val="21"/>
        </w:rPr>
        <w:t xml:space="preserve">Plan dev / staging / production as separate resource groups or subscriptions from the start, with the same IaC parameterised per environment. Decide early how a change flows from dev to production, and make deployment go through a pipeline rather than manual steps.</w:t>
      </w:r>
    </w:p>
    <w:p>
      <w:pPr>
        <w:pStyle w:val="Heading2"/>
        <w:spacing w:after="100" w:before="250"/>
      </w:pPr>
      <w:r>
        <w:rPr>
          <w:b/>
          <w:bCs/>
          <w:color w:val="1F4E78"/>
          <w:sz w:val="24"/>
          <w:szCs w:val="24"/>
        </w:rPr>
        <w:t xml:space="preserve">6.3 Cost</w:t>
      </w:r>
    </w:p>
    <w:p>
      <w:pPr>
        <w:pStyle w:val="ListParagraph"/>
        <w:numPr>
          <w:ilvl w:val="0"/>
          <w:numId w:val="2"/>
        </w:numPr>
        <w:spacing w:after="70" w:line="276"/>
      </w:pPr>
      <w:r>
        <w:rPr>
          <w:sz w:val="21"/>
          <w:szCs w:val="21"/>
        </w:rPr>
        <w:t xml:space="preserve">The largest costs are usually AKS node pools, APIM tier, and log/trace ingestion.</w:t>
      </w:r>
    </w:p>
    <w:p>
      <w:pPr>
        <w:pStyle w:val="ListParagraph"/>
        <w:numPr>
          <w:ilvl w:val="0"/>
          <w:numId w:val="2"/>
        </w:numPr>
        <w:spacing w:after="70" w:line="276"/>
      </w:pPr>
      <w:r>
        <w:rPr>
          <w:sz w:val="21"/>
          <w:szCs w:val="21"/>
        </w:rPr>
        <w:t xml:space="preserve">Trace and log volume can grow quickly — set sampling sensibly (100% in dev is fine; dial down for high-traffic production) and set retention deliberately.</w:t>
      </w:r>
    </w:p>
    <w:p>
      <w:pPr>
        <w:pStyle w:val="ListParagraph"/>
        <w:numPr>
          <w:ilvl w:val="0"/>
          <w:numId w:val="2"/>
        </w:numPr>
        <w:spacing w:after="70" w:line="276"/>
      </w:pPr>
      <w:r>
        <w:rPr>
          <w:sz w:val="21"/>
          <w:szCs w:val="21"/>
        </w:rPr>
        <w:t xml:space="preserve">Right-size node pools; idle over-provisioned nodes are a steady, invisible drain.</w:t>
      </w:r>
    </w:p>
    <w:p>
      <w:pPr>
        <w:pStyle w:val="Heading2"/>
        <w:spacing w:after="100" w:before="250"/>
      </w:pPr>
      <w:r>
        <w:rPr>
          <w:b/>
          <w:bCs/>
          <w:color w:val="1F4E78"/>
          <w:sz w:val="24"/>
          <w:szCs w:val="24"/>
        </w:rPr>
        <w:t xml:space="preserve">6.4 Security posture</w:t>
      </w:r>
    </w:p>
    <w:p>
      <w:pPr>
        <w:pStyle w:val="ListParagraph"/>
        <w:numPr>
          <w:ilvl w:val="0"/>
          <w:numId w:val="2"/>
        </w:numPr>
        <w:spacing w:after="70" w:line="276"/>
      </w:pPr>
      <w:r>
        <w:rPr>
          <w:sz w:val="21"/>
          <w:szCs w:val="21"/>
        </w:rPr>
        <w:t xml:space="preserve">No secrets in code, manifests, or images — Key Vault only.</w:t>
      </w:r>
    </w:p>
    <w:p>
      <w:pPr>
        <w:pStyle w:val="ListParagraph"/>
        <w:numPr>
          <w:ilvl w:val="0"/>
          <w:numId w:val="2"/>
        </w:numPr>
        <w:spacing w:after="70" w:line="276"/>
      </w:pPr>
      <w:r>
        <w:rPr>
          <w:sz w:val="21"/>
          <w:szCs w:val="21"/>
        </w:rPr>
        <w:t xml:space="preserve">Strip sensitive headers at the edge; forward to backends only what each needs.</w:t>
      </w:r>
    </w:p>
    <w:p>
      <w:pPr>
        <w:pStyle w:val="ListParagraph"/>
        <w:numPr>
          <w:ilvl w:val="0"/>
          <w:numId w:val="2"/>
        </w:numPr>
        <w:spacing w:after="70" w:line="276"/>
      </w:pPr>
      <w:r>
        <w:rPr>
          <w:sz w:val="21"/>
          <w:szCs w:val="21"/>
        </w:rPr>
        <w:t xml:space="preserve">Sign and verify any identity context passed between the gateway and backends so it cannot be forged, and fail closed if the signing secret is absent.</w:t>
      </w:r>
    </w:p>
    <w:p>
      <w:pPr>
        <w:pStyle w:val="ListParagraph"/>
        <w:numPr>
          <w:ilvl w:val="0"/>
          <w:numId w:val="2"/>
        </w:numPr>
        <w:spacing w:after="70" w:line="276"/>
      </w:pPr>
      <w:r>
        <w:rPr>
          <w:sz w:val="21"/>
          <w:szCs w:val="21"/>
        </w:rPr>
        <w:t xml:space="preserve">Enable secret rotation, RBAC, and directory-integrated access from the outset.</w:t>
      </w:r>
    </w:p>
    <w:p>
      <w:pPr>
        <w:pStyle w:val="Heading1"/>
        <w:spacing w:after="150" w:before="340"/>
      </w:pPr>
      <w:r>
        <w:rPr>
          <w:b/>
          <w:bCs/>
          <w:color w:val="1F4E78"/>
          <w:sz w:val="29"/>
          <w:szCs w:val="29"/>
        </w:rPr>
        <w:t xml:space="preserve">7. Quick checklist</w:t>
      </w:r>
    </w:p>
    <w:p>
      <w:pPr>
        <w:spacing w:after="120" w:line="284"/>
      </w:pPr>
      <w:r>
        <w:rPr>
          <w:sz w:val="21"/>
          <w:szCs w:val="21"/>
        </w:rPr>
        <w:t xml:space="preserve">A condensed version to run through when starting a similar platform:</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rPr>
          <w:tblHeader/>
        </w:trPr>
        <w:tc>
          <w:tcPr>
            <w:tcW w:type="dxa" w:w="2200"/>
            <w:shd w:fill="1F4E78" w:val="clear"/>
            <w:tcMar>
              <w:top w:type="dxa" w:w="50"/>
              <w:left w:type="dxa" w:w="90"/>
              <w:bottom w:type="dxa" w:w="50"/>
              <w:right w:type="dxa" w:w="90"/>
            </w:tcMar>
          </w:tcPr>
          <w:p>
            <w:pPr>
              <w:spacing w:after="0" w:line="250"/>
            </w:pPr>
            <w:r>
              <w:rPr>
                <w:b/>
                <w:bCs/>
                <w:color w:val="FFFFFF"/>
                <w:sz w:val="18"/>
                <w:szCs w:val="18"/>
              </w:rPr>
              <w:t xml:space="preserve">Area</w:t>
            </w:r>
          </w:p>
        </w:tc>
        <w:tc>
          <w:tcPr>
            <w:tcW w:type="dxa" w:w="6400"/>
            <w:shd w:fill="1F4E78" w:val="clear"/>
            <w:tcMar>
              <w:top w:type="dxa" w:w="50"/>
              <w:left w:type="dxa" w:w="90"/>
              <w:bottom w:type="dxa" w:w="50"/>
              <w:right w:type="dxa" w:w="90"/>
            </w:tcMar>
          </w:tcPr>
          <w:p>
            <w:pPr>
              <w:spacing w:after="0" w:line="250"/>
            </w:pPr>
            <w:r>
              <w:rPr>
                <w:b/>
                <w:bCs/>
                <w:color w:val="FFFFFF"/>
                <w:sz w:val="18"/>
                <w:szCs w:val="18"/>
              </w:rPr>
              <w:t xml:space="preserve">Decide / confirm</w:t>
            </w:r>
          </w:p>
        </w:tc>
      </w:tr>
      <w:tr>
        <w:tc>
          <w:tcPr>
            <w:tcW w:type="dxa" w:w="2200"/>
            <w:shd w:fill="EEF3F9" w:val="clear"/>
            <w:tcMar>
              <w:top w:type="dxa" w:w="50"/>
              <w:left w:type="dxa" w:w="90"/>
              <w:bottom w:type="dxa" w:w="50"/>
              <w:right w:type="dxa" w:w="90"/>
            </w:tcMar>
          </w:tcPr>
          <w:p>
            <w:pPr>
              <w:spacing w:after="0" w:line="250"/>
            </w:pPr>
            <w:r>
              <w:rPr>
                <w:b/>
                <w:bCs/>
                <w:color w:val="000000"/>
                <w:sz w:val="19"/>
                <w:szCs w:val="19"/>
              </w:rPr>
              <w:t xml:space="preserve">API Management</w:t>
            </w:r>
          </w:p>
        </w:tc>
        <w:tc>
          <w:tcPr>
            <w:tcW w:type="dxa" w:w="6400"/>
            <w:tcMar>
              <w:top w:type="dxa" w:w="50"/>
              <w:left w:type="dxa" w:w="90"/>
              <w:bottom w:type="dxa" w:w="50"/>
              <w:right w:type="dxa" w:w="90"/>
            </w:tcMar>
          </w:tcPr>
          <w:p>
            <w:pPr>
              <w:spacing w:after="0" w:line="250"/>
            </w:pPr>
            <w:r>
              <w:rPr>
                <w:b w:val="false"/>
                <w:bCs w:val="false"/>
                <w:color w:val="000000"/>
                <w:sz w:val="19"/>
                <w:szCs w:val="19"/>
              </w:rPr>
              <w:t xml:space="preserve">Tier (does it support the diagnostics/networking you need?); auth policies; rate limits; header allow-list; diagnostics wired to logs</w:t>
            </w:r>
          </w:p>
        </w:tc>
      </w:tr>
      <w:tr>
        <w:tc>
          <w:tcPr>
            <w:tcW w:type="dxa" w:w="2200"/>
            <w:shd w:fill="EEF3F9" w:val="clear"/>
            <w:tcMar>
              <w:top w:type="dxa" w:w="50"/>
              <w:left w:type="dxa" w:w="90"/>
              <w:bottom w:type="dxa" w:w="50"/>
              <w:right w:type="dxa" w:w="90"/>
            </w:tcMar>
          </w:tcPr>
          <w:p>
            <w:pPr>
              <w:spacing w:after="0" w:line="250"/>
            </w:pPr>
            <w:r>
              <w:rPr>
                <w:b/>
                <w:bCs/>
                <w:color w:val="000000"/>
                <w:sz w:val="19"/>
                <w:szCs w:val="19"/>
              </w:rPr>
              <w:t xml:space="preserve">AKS</w:t>
            </w:r>
          </w:p>
        </w:tc>
        <w:tc>
          <w:tcPr>
            <w:tcW w:type="dxa" w:w="6400"/>
            <w:shd w:fill="F7F9FB" w:val="clear"/>
            <w:tcMar>
              <w:top w:type="dxa" w:w="50"/>
              <w:left w:type="dxa" w:w="90"/>
              <w:bottom w:type="dxa" w:w="50"/>
              <w:right w:type="dxa" w:w="90"/>
            </w:tcMar>
          </w:tcPr>
          <w:p>
            <w:pPr>
              <w:spacing w:after="0" w:line="250"/>
            </w:pPr>
            <w:r>
              <w:rPr>
                <w:b w:val="false"/>
                <w:bCs w:val="false"/>
                <w:color w:val="000000"/>
                <w:sz w:val="19"/>
                <w:szCs w:val="19"/>
              </w:rPr>
              <w:t xml:space="preserve">K8s version &amp; upgrades; node pool sizing; networking (public vs VNet); RBAC + directory-integrated access; CSI secret mount with rotation ENABLED</w:t>
            </w:r>
          </w:p>
        </w:tc>
      </w:tr>
      <w:tr>
        <w:tc>
          <w:tcPr>
            <w:tcW w:type="dxa" w:w="2200"/>
            <w:shd w:fill="EEF3F9" w:val="clear"/>
            <w:tcMar>
              <w:top w:type="dxa" w:w="50"/>
              <w:left w:type="dxa" w:w="90"/>
              <w:bottom w:type="dxa" w:w="50"/>
              <w:right w:type="dxa" w:w="90"/>
            </w:tcMar>
          </w:tcPr>
          <w:p>
            <w:pPr>
              <w:spacing w:after="0" w:line="250"/>
            </w:pPr>
            <w:r>
              <w:rPr>
                <w:b/>
                <w:bCs/>
                <w:color w:val="000000"/>
                <w:sz w:val="19"/>
                <w:szCs w:val="19"/>
              </w:rPr>
              <w:t xml:space="preserve">Key Vault</w:t>
            </w:r>
          </w:p>
        </w:tc>
        <w:tc>
          <w:tcPr>
            <w:tcW w:type="dxa" w:w="6400"/>
            <w:tcMar>
              <w:top w:type="dxa" w:w="50"/>
              <w:left w:type="dxa" w:w="90"/>
              <w:bottom w:type="dxa" w:w="50"/>
              <w:right w:type="dxa" w:w="90"/>
            </w:tcMar>
          </w:tcPr>
          <w:p>
            <w:pPr>
              <w:spacing w:after="0" w:line="250"/>
            </w:pPr>
            <w:r>
              <w:rPr>
                <w:b w:val="false"/>
                <w:bCs w:val="false"/>
                <w:color w:val="000000"/>
                <w:sz w:val="19"/>
                <w:szCs w:val="19"/>
              </w:rPr>
              <w:t xml:space="preserve">All secrets here; distinct secrets per trust boundary; rotation &amp; access policies</w:t>
            </w:r>
          </w:p>
        </w:tc>
      </w:tr>
      <w:tr>
        <w:tc>
          <w:tcPr>
            <w:tcW w:type="dxa" w:w="2200"/>
            <w:shd w:fill="EEF3F9" w:val="clear"/>
            <w:tcMar>
              <w:top w:type="dxa" w:w="50"/>
              <w:left w:type="dxa" w:w="90"/>
              <w:bottom w:type="dxa" w:w="50"/>
              <w:right w:type="dxa" w:w="90"/>
            </w:tcMar>
          </w:tcPr>
          <w:p>
            <w:pPr>
              <w:spacing w:after="0" w:line="250"/>
            </w:pPr>
            <w:r>
              <w:rPr>
                <w:b/>
                <w:bCs/>
                <w:color w:val="000000"/>
                <w:sz w:val="19"/>
                <w:szCs w:val="19"/>
              </w:rPr>
              <w:t xml:space="preserve">Identity</w:t>
            </w:r>
          </w:p>
        </w:tc>
        <w:tc>
          <w:tcPr>
            <w:tcW w:type="dxa" w:w="6400"/>
            <w:shd w:fill="F7F9FB" w:val="clear"/>
            <w:tcMar>
              <w:top w:type="dxa" w:w="50"/>
              <w:left w:type="dxa" w:w="90"/>
              <w:bottom w:type="dxa" w:w="50"/>
              <w:right w:type="dxa" w:w="90"/>
            </w:tcMar>
          </w:tcPr>
          <w:p>
            <w:pPr>
              <w:spacing w:after="0" w:line="250"/>
            </w:pPr>
            <w:r>
              <w:rPr>
                <w:b w:val="false"/>
                <w:bCs w:val="false"/>
                <w:color w:val="000000"/>
                <w:sz w:val="19"/>
                <w:szCs w:val="19"/>
              </w:rPr>
              <w:t xml:space="preserve">App registrations, audiences, scopes; client-credentials for partners; managed identities for Azure-to-Azure</w:t>
            </w:r>
          </w:p>
        </w:tc>
      </w:tr>
      <w:tr>
        <w:tc>
          <w:tcPr>
            <w:tcW w:type="dxa" w:w="2200"/>
            <w:shd w:fill="EEF3F9" w:val="clear"/>
            <w:tcMar>
              <w:top w:type="dxa" w:w="50"/>
              <w:left w:type="dxa" w:w="90"/>
              <w:bottom w:type="dxa" w:w="50"/>
              <w:right w:type="dxa" w:w="90"/>
            </w:tcMar>
          </w:tcPr>
          <w:p>
            <w:pPr>
              <w:spacing w:after="0" w:line="250"/>
            </w:pPr>
            <w:r>
              <w:rPr>
                <w:b/>
                <w:bCs/>
                <w:color w:val="000000"/>
                <w:sz w:val="19"/>
                <w:szCs w:val="19"/>
              </w:rPr>
              <w:t xml:space="preserve">Container Registry</w:t>
            </w:r>
          </w:p>
        </w:tc>
        <w:tc>
          <w:tcPr>
            <w:tcW w:type="dxa" w:w="6400"/>
            <w:tcMar>
              <w:top w:type="dxa" w:w="50"/>
              <w:left w:type="dxa" w:w="90"/>
              <w:bottom w:type="dxa" w:w="50"/>
              <w:right w:type="dxa" w:w="90"/>
            </w:tcMar>
          </w:tcPr>
          <w:p>
            <w:pPr>
              <w:spacing w:after="0" w:line="250"/>
            </w:pPr>
            <w:r>
              <w:rPr>
                <w:b w:val="false"/>
                <w:bCs w:val="false"/>
                <w:color w:val="000000"/>
                <w:sz w:val="19"/>
                <w:szCs w:val="19"/>
              </w:rPr>
              <w:t xml:space="preserve">Private registry; images built via pipeline only</w:t>
            </w:r>
          </w:p>
        </w:tc>
      </w:tr>
      <w:tr>
        <w:tc>
          <w:tcPr>
            <w:tcW w:type="dxa" w:w="2200"/>
            <w:shd w:fill="EEF3F9" w:val="clear"/>
            <w:tcMar>
              <w:top w:type="dxa" w:w="50"/>
              <w:left w:type="dxa" w:w="90"/>
              <w:bottom w:type="dxa" w:w="50"/>
              <w:right w:type="dxa" w:w="90"/>
            </w:tcMar>
          </w:tcPr>
          <w:p>
            <w:pPr>
              <w:spacing w:after="0" w:line="250"/>
            </w:pPr>
            <w:r>
              <w:rPr>
                <w:b/>
                <w:bCs/>
                <w:color w:val="000000"/>
                <w:sz w:val="19"/>
                <w:szCs w:val="19"/>
              </w:rPr>
              <w:t xml:space="preserve">Log Analytics</w:t>
            </w:r>
          </w:p>
        </w:tc>
        <w:tc>
          <w:tcPr>
            <w:tcW w:type="dxa" w:w="6400"/>
            <w:shd w:fill="F7F9FB" w:val="clear"/>
            <w:tcMar>
              <w:top w:type="dxa" w:w="50"/>
              <w:left w:type="dxa" w:w="90"/>
              <w:bottom w:type="dxa" w:w="50"/>
              <w:right w:type="dxa" w:w="90"/>
            </w:tcMar>
          </w:tcPr>
          <w:p>
            <w:pPr>
              <w:spacing w:after="0" w:line="250"/>
            </w:pPr>
            <w:r>
              <w:rPr>
                <w:b w:val="false"/>
                <w:bCs w:val="false"/>
                <w:color w:val="000000"/>
                <w:sz w:val="19"/>
                <w:szCs w:val="19"/>
              </w:rPr>
              <w:t xml:space="preserve">Structured JSON logs; correlation id in-row; retention set; no secret capture</w:t>
            </w:r>
          </w:p>
        </w:tc>
      </w:tr>
      <w:tr>
        <w:tc>
          <w:tcPr>
            <w:tcW w:type="dxa" w:w="2200"/>
            <w:shd w:fill="EEF3F9" w:val="clear"/>
            <w:tcMar>
              <w:top w:type="dxa" w:w="50"/>
              <w:left w:type="dxa" w:w="90"/>
              <w:bottom w:type="dxa" w:w="50"/>
              <w:right w:type="dxa" w:w="90"/>
            </w:tcMar>
          </w:tcPr>
          <w:p>
            <w:pPr>
              <w:spacing w:after="0" w:line="250"/>
            </w:pPr>
            <w:r>
              <w:rPr>
                <w:b/>
                <w:bCs/>
                <w:color w:val="000000"/>
                <w:sz w:val="19"/>
                <w:szCs w:val="19"/>
              </w:rPr>
              <w:t xml:space="preserve">App Insights</w:t>
            </w:r>
          </w:p>
        </w:tc>
        <w:tc>
          <w:tcPr>
            <w:tcW w:type="dxa" w:w="6400"/>
            <w:tcMar>
              <w:top w:type="dxa" w:w="50"/>
              <w:left w:type="dxa" w:w="90"/>
              <w:bottom w:type="dxa" w:w="50"/>
              <w:right w:type="dxa" w:w="90"/>
            </w:tcMar>
          </w:tcPr>
          <w:p>
            <w:pPr>
              <w:spacing w:after="0" w:line="250"/>
            </w:pPr>
            <w:r>
              <w:rPr>
                <w:b w:val="false"/>
                <w:bCs w:val="false"/>
                <w:color w:val="000000"/>
                <w:sz w:val="19"/>
                <w:szCs w:val="19"/>
              </w:rPr>
              <w:t xml:space="preserve">Distributed tracing to a LIVE endpoint; linked to the log workspace</w:t>
            </w:r>
          </w:p>
        </w:tc>
      </w:tr>
      <w:tr>
        <w:tc>
          <w:tcPr>
            <w:tcW w:type="dxa" w:w="2200"/>
            <w:shd w:fill="EEF3F9" w:val="clear"/>
            <w:tcMar>
              <w:top w:type="dxa" w:w="50"/>
              <w:left w:type="dxa" w:w="90"/>
              <w:bottom w:type="dxa" w:w="50"/>
              <w:right w:type="dxa" w:w="90"/>
            </w:tcMar>
          </w:tcPr>
          <w:p>
            <w:pPr>
              <w:spacing w:after="0" w:line="250"/>
            </w:pPr>
            <w:r>
              <w:rPr>
                <w:b/>
                <w:bCs/>
                <w:color w:val="000000"/>
                <w:sz w:val="19"/>
                <w:szCs w:val="19"/>
              </w:rPr>
              <w:t xml:space="preserve">Alerts</w:t>
            </w:r>
          </w:p>
        </w:tc>
        <w:tc>
          <w:tcPr>
            <w:tcW w:type="dxa" w:w="6400"/>
            <w:shd w:fill="F7F9FB" w:val="clear"/>
            <w:tcMar>
              <w:top w:type="dxa" w:w="50"/>
              <w:left w:type="dxa" w:w="90"/>
              <w:bottom w:type="dxa" w:w="50"/>
              <w:right w:type="dxa" w:w="90"/>
            </w:tcMar>
          </w:tcPr>
          <w:p>
            <w:pPr>
              <w:spacing w:after="0" w:line="250"/>
            </w:pPr>
            <w:r>
              <w:rPr>
                <w:b w:val="false"/>
                <w:bCs w:val="false"/>
                <w:color w:val="000000"/>
                <w:sz w:val="19"/>
                <w:szCs w:val="19"/>
              </w:rPr>
              <w:t xml:space="preserve">Action group with a real, verified receiver; page-vs-digest rules; thresholds on real baselines</w:t>
            </w:r>
          </w:p>
        </w:tc>
      </w:tr>
      <w:tr>
        <w:tc>
          <w:tcPr>
            <w:tcW w:type="dxa" w:w="2200"/>
            <w:shd w:fill="EEF3F9" w:val="clear"/>
            <w:tcMar>
              <w:top w:type="dxa" w:w="50"/>
              <w:left w:type="dxa" w:w="90"/>
              <w:bottom w:type="dxa" w:w="50"/>
              <w:right w:type="dxa" w:w="90"/>
            </w:tcMar>
          </w:tcPr>
          <w:p>
            <w:pPr>
              <w:spacing w:after="0" w:line="250"/>
            </w:pPr>
            <w:r>
              <w:rPr>
                <w:b/>
                <w:bCs/>
                <w:color w:val="000000"/>
                <w:sz w:val="19"/>
                <w:szCs w:val="19"/>
              </w:rPr>
              <w:t xml:space="preserve">Dashboard</w:t>
            </w:r>
          </w:p>
        </w:tc>
        <w:tc>
          <w:tcPr>
            <w:tcW w:type="dxa" w:w="6400"/>
            <w:tcMar>
              <w:top w:type="dxa" w:w="50"/>
              <w:left w:type="dxa" w:w="90"/>
              <w:bottom w:type="dxa" w:w="50"/>
              <w:right w:type="dxa" w:w="90"/>
            </w:tcMar>
          </w:tcPr>
          <w:p>
            <w:pPr>
              <w:spacing w:after="0" w:line="250"/>
            </w:pPr>
            <w:r>
              <w:rPr>
                <w:b w:val="false"/>
                <w:bCs w:val="false"/>
                <w:color w:val="000000"/>
                <w:sz w:val="19"/>
                <w:szCs w:val="19"/>
              </w:rPr>
              <w:t xml:space="preserve">One glance-able board, defined as IaC in the repo</w:t>
            </w:r>
          </w:p>
        </w:tc>
      </w:tr>
      <w:tr>
        <w:tc>
          <w:tcPr>
            <w:tcW w:type="dxa" w:w="2200"/>
            <w:shd w:fill="EEF3F9" w:val="clear"/>
            <w:tcMar>
              <w:top w:type="dxa" w:w="50"/>
              <w:left w:type="dxa" w:w="90"/>
              <w:bottom w:type="dxa" w:w="50"/>
              <w:right w:type="dxa" w:w="90"/>
            </w:tcMar>
          </w:tcPr>
          <w:p>
            <w:pPr>
              <w:spacing w:after="0" w:line="250"/>
            </w:pPr>
            <w:r>
              <w:rPr>
                <w:b/>
                <w:bCs/>
                <w:color w:val="000000"/>
                <w:sz w:val="19"/>
                <w:szCs w:val="19"/>
              </w:rPr>
              <w:t xml:space="preserve">Cross-cutting</w:t>
            </w:r>
          </w:p>
        </w:tc>
        <w:tc>
          <w:tcPr>
            <w:tcW w:type="dxa" w:w="6400"/>
            <w:shd w:fill="F7F9FB" w:val="clear"/>
            <w:tcMar>
              <w:top w:type="dxa" w:w="50"/>
              <w:left w:type="dxa" w:w="90"/>
              <w:bottom w:type="dxa" w:w="50"/>
              <w:right w:type="dxa" w:w="90"/>
            </w:tcMar>
          </w:tcPr>
          <w:p>
            <w:pPr>
              <w:spacing w:after="0" w:line="250"/>
            </w:pPr>
            <w:r>
              <w:rPr>
                <w:b w:val="false"/>
                <w:bCs w:val="false"/>
                <w:color w:val="000000"/>
                <w:sz w:val="19"/>
                <w:szCs w:val="19"/>
              </w:rPr>
              <w:t xml:space="preserve">Everything as IaC; separate environments; cost/sampling/retention set; security posture confirmed</w:t>
            </w:r>
          </w:p>
        </w:tc>
      </w:tr>
    </w:tbl>
    <w:p>
      <w:pPr>
        <w:spacing w:before="300"/>
        <w:jc w:val="center"/>
      </w:pPr>
      <w:r>
        <w:rPr>
          <w:i/>
          <w:iCs/>
          <w:color w:val="595959"/>
          <w:sz w:val="20"/>
          <w:szCs w:val="20"/>
        </w:rPr>
        <w:t xml:space="preserve">— End of reference —</w:t>
      </w:r>
    </w:p>
    <w:sectPr>
      <w:headerReference w:type="default" r:id="rId7"/>
      <w:footerReference w:type="default" r:id="rId8"/>
      <w:pgSz w:w="12240" w:h="15840"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Azure Architecture Reference — Platform &amp; Gateway Considerations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2026-07-17T07:14:17.064Z</dcterms:created>
  <dcterms:modified xsi:type="dcterms:W3CDTF">2026-07-17T07:14:17.081Z</dcterms:modified>
</cp:coreProperties>
</file>

<file path=docProps/custom.xml><?xml version="1.0" encoding="utf-8"?>
<Properties xmlns="http://schemas.openxmlformats.org/officeDocument/2006/custom-properties" xmlns:vt="http://schemas.openxmlformats.org/officeDocument/2006/docPropsVTypes"/>
</file>