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9.png" ContentType="image/png"/>
  <Override PartName="/word/media/rId12.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Supplementary Table S1:</w:t>
      </w:r>
      <w:r>
        <w:t xml:space="preserve"> </w:t>
      </w:r>
      <w:r>
        <w:t xml:space="preserve">The pre-registration of the literature comparison (NA12) and its amendments, with the date of each and when it was made relative to the data, as the entries of</w:t>
      </w:r>
      <w:r>
        <w:t xml:space="preserve"> </w:t>
      </w:r>
      <w:r>
        <w:rPr>
          <w:rStyle w:val="VerbatimChar"/>
        </w:rPr>
        <w:t xml:space="preserve">docs/decisions.md</w:t>
      </w:r>
      <w:r>
        <w:t xml:space="preserve"> </w:t>
      </w:r>
      <w:r>
        <w:t xml:space="preserve">state. Every entry was written before the comparison was run and before any out-of-fold prediction for these compounds was looked at; entries marked as made after a test run or after the digitising of a figure were made after the digitised values of that figure had been seen. A disclosure states what came into view that was not meant to be read (values of a source while it was inventoried, or the reason an amendment was prompted). The full rules are in</w:t>
      </w:r>
      <w:r>
        <w:t xml:space="preserve"> </w:t>
      </w:r>
      <w:r>
        <w:rPr>
          <w:rStyle w:val="VerbatimChar"/>
        </w:rPr>
        <w:t xml:space="preserve">docs/decisions.md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No.</w:t>
            </w:r>
          </w:p>
        </w:tc>
        <w:tc>
          <w:tcPr/>
          <w:p>
            <w:pPr>
              <w:pStyle w:val="Compact"/>
            </w:pPr>
            <w:r>
              <w:rPr>
                <w:b/>
                <w:bCs/>
              </w:rPr>
              <w:t xml:space="preserve">Date</w:t>
            </w:r>
          </w:p>
        </w:tc>
        <w:tc>
          <w:tcPr/>
          <w:p>
            <w:pPr>
              <w:pStyle w:val="Compact"/>
            </w:pPr>
            <w:r>
              <w:rPr>
                <w:b/>
                <w:bCs/>
              </w:rPr>
              <w:t xml:space="preserve">Subject</w:t>
            </w:r>
          </w:p>
        </w:tc>
        <w:tc>
          <w:tcPr/>
          <w:p>
            <w:pPr>
              <w:pStyle w:val="Compact"/>
            </w:pPr>
            <w:r>
              <w:rPr>
                <w:b/>
                <w:bCs/>
              </w:rPr>
              <w:t xml:space="preserve">Timing, as stated in the entry</w:t>
            </w:r>
          </w:p>
        </w:tc>
        <w:tc>
          <w:tcPr/>
          <w:p>
            <w:pPr>
              <w:pStyle w:val="Compact"/>
            </w:pPr>
            <w:r>
              <w:rPr>
                <w:b/>
                <w:bCs/>
              </w:rPr>
              <w:t xml:space="preserve">Entry contains a disclosure</w:t>
            </w:r>
          </w:p>
        </w:tc>
      </w:tr>
      <w:tr>
        <w:tc>
          <w:tcPr/>
          <w:p>
            <w:pPr>
              <w:pStyle w:val="Compact"/>
            </w:pPr>
            <w:r>
              <w:t xml:space="preserve">pre-registration</w:t>
            </w:r>
          </w:p>
        </w:tc>
        <w:tc>
          <w:tcPr/>
          <w:p>
            <w:pPr>
              <w:pStyle w:val="Compact"/>
            </w:pPr>
            <w:r>
              <w:t xml:space="preserve">2026-10-05</w:t>
            </w:r>
          </w:p>
        </w:tc>
        <w:tc>
          <w:tcPr/>
          <w:p>
            <w:pPr>
              <w:pStyle w:val="Compact"/>
            </w:pPr>
            <w:r>
              <w:t xml:space="preserve">Design: compounds, predictions compared (out-of-fold, exact and cluster level), per-value facts, error measure and band, values from the PDFs only</w:t>
            </w:r>
          </w:p>
        </w:tc>
        <w:tc>
          <w:tcPr/>
          <w:p>
            <w:pPr>
              <w:pStyle w:val="Compact"/>
            </w:pPr>
            <w:r>
              <w:t xml:space="preserve">done before the values are read and before any prediction is looked at</w:t>
            </w:r>
          </w:p>
        </w:tc>
        <w:tc>
          <w:tcPr/>
          <w:p>
            <w:pPr>
              <w:pStyle w:val="Compact"/>
            </w:pPr>
          </w:p>
        </w:tc>
      </w:tr>
      <w:tr>
        <w:tc>
          <w:tcPr/>
          <w:p>
            <w:pPr>
              <w:pStyle w:val="Compact"/>
            </w:pPr>
            <w:r>
              <w:t xml:space="preserve">1</w:t>
            </w:r>
          </w:p>
        </w:tc>
        <w:tc>
          <w:tcPr/>
          <w:p>
            <w:pPr>
              <w:pStyle w:val="Compact"/>
            </w:pPr>
            <w:r>
              <w:t xml:space="preserve">2026-10-13</w:t>
            </w:r>
          </w:p>
        </w:tc>
        <w:tc>
          <w:tcPr/>
          <w:p>
            <w:pPr>
              <w:pStyle w:val="Compact"/>
            </w:pPr>
            <w:r>
              <w:t xml:space="preserve">how discrete measurements are read</w:t>
            </w:r>
          </w:p>
        </w:tc>
        <w:tc>
          <w:tcPr/>
          <w:p>
            <w:pPr>
              <w:pStyle w:val="Compact"/>
            </w:pPr>
            <w:r>
              <w:t xml:space="preserve">Made before any NA12 value is written to `docs/na12_literature_values</w:t>
            </w:r>
          </w:p>
        </w:tc>
        <w:tc>
          <w:tcPr/>
          <w:p>
            <w:pPr>
              <w:pStyle w:val="Compact"/>
            </w:pPr>
          </w:p>
        </w:tc>
      </w:tr>
      <w:tr>
        <w:tc>
          <w:tcPr/>
          <w:p>
            <w:pPr>
              <w:pStyle w:val="Compact"/>
            </w:pPr>
            <w:r>
              <w:t xml:space="preserve">2</w:t>
            </w:r>
          </w:p>
        </w:tc>
        <w:tc>
          <w:tcPr/>
          <w:p>
            <w:pPr>
              <w:pStyle w:val="Compact"/>
            </w:pPr>
            <w:r>
              <w:t xml:space="preserve">2026-10-14</w:t>
            </w:r>
          </w:p>
        </w:tc>
        <w:tc>
          <w:tcPr/>
          <w:p>
            <w:pPr>
              <w:pStyle w:val="Compact"/>
            </w:pPr>
            <w:r>
              <w:t xml:space="preserve">aggregation and reporting</w:t>
            </w:r>
          </w:p>
        </w:tc>
        <w:tc>
          <w:tcPr/>
          <w:p>
            <w:pPr>
              <w:pStyle w:val="Compact"/>
            </w:pPr>
            <w:r>
              <w:t xml:space="preserve">Made before the comparison has been run for any NA12 value and with no out-of-fold prediction for an NA12 compound looked at</w:t>
            </w:r>
          </w:p>
        </w:tc>
        <w:tc>
          <w:tcPr/>
          <w:p>
            <w:pPr>
              <w:pStyle w:val="Compact"/>
            </w:pPr>
          </w:p>
        </w:tc>
      </w:tr>
      <w:tr>
        <w:tc>
          <w:tcPr/>
          <w:p>
            <w:pPr>
              <w:pStyle w:val="Compact"/>
            </w:pPr>
            <w:r>
              <w:t xml:space="preserve">3</w:t>
            </w:r>
          </w:p>
        </w:tc>
        <w:tc>
          <w:tcPr/>
          <w:p>
            <w:pPr>
              <w:pStyle w:val="Compact"/>
            </w:pPr>
            <w:r>
              <w:t xml:space="preserve">2026-10-14</w:t>
            </w:r>
          </w:p>
        </w:tc>
        <w:tc>
          <w:tcPr/>
          <w:p>
            <w:pPr>
              <w:pStyle w:val="Compact"/>
            </w:pPr>
            <w:r>
              <w:t xml:space="preserve">Ohta 2005 and Ohtaki 1995</w:t>
            </w:r>
          </w:p>
        </w:tc>
        <w:tc>
          <w:tcPr/>
          <w:p>
            <w:pPr>
              <w:pStyle w:val="Compact"/>
            </w:pPr>
            <w:r>
              <w:t xml:space="preserve">made before any of their values is digitised</w:t>
            </w:r>
          </w:p>
        </w:tc>
        <w:tc>
          <w:tcPr/>
          <w:p>
            <w:pPr>
              <w:pStyle w:val="Compact"/>
            </w:pPr>
          </w:p>
        </w:tc>
      </w:tr>
      <w:tr>
        <w:tc>
          <w:tcPr/>
          <w:p>
            <w:pPr>
              <w:pStyle w:val="Compact"/>
            </w:pPr>
            <w:r>
              <w:t xml:space="preserve">4</w:t>
            </w:r>
          </w:p>
        </w:tc>
        <w:tc>
          <w:tcPr/>
          <w:p>
            <w:pPr>
              <w:pStyle w:val="Compact"/>
            </w:pPr>
            <w:r>
              <w:t xml:space="preserve">2026-10-14</w:t>
            </w:r>
          </w:p>
        </w:tc>
        <w:tc>
          <w:tcPr/>
          <w:p>
            <w:pPr>
              <w:pStyle w:val="Compact"/>
            </w:pPr>
            <w:r>
              <w:t xml:space="preserve">marker temperatures of figures with several series: column consensus</w:t>
            </w:r>
          </w:p>
        </w:tc>
        <w:tc>
          <w:tcPr/>
          <w:p>
            <w:pPr>
              <w:pStyle w:val="Compact"/>
            </w:pPr>
            <w:r>
              <w:t xml:space="preserve">made before any comparison, with no out-of-fold prediction for an NA12 compound looked at</w:t>
            </w:r>
          </w:p>
        </w:tc>
        <w:tc>
          <w:tcPr/>
          <w:p>
            <w:pPr>
              <w:pStyle w:val="Compact"/>
            </w:pPr>
          </w:p>
        </w:tc>
      </w:tr>
      <w:tr>
        <w:tc>
          <w:tcPr/>
          <w:p>
            <w:pPr>
              <w:pStyle w:val="Compact"/>
            </w:pPr>
            <w:r>
              <w:t xml:space="preserve">5</w:t>
            </w:r>
          </w:p>
        </w:tc>
        <w:tc>
          <w:tcPr/>
          <w:p>
            <w:pPr>
              <w:pStyle w:val="Compact"/>
            </w:pPr>
            <w:r>
              <w:t xml:space="preserve">2026-10-16</w:t>
            </w:r>
          </w:p>
        </w:tc>
        <w:tc>
          <w:tcPr/>
          <w:p>
            <w:pPr>
              <w:pStyle w:val="Compact"/>
            </w:pPr>
            <w:r>
              <w:t xml:space="preserve">one temperature per measurement column across the figures of one run; one marker-centre method</w:t>
            </w:r>
          </w:p>
        </w:tc>
        <w:tc>
          <w:tcPr/>
          <w:p>
            <w:pPr>
              <w:pStyle w:val="Compact"/>
            </w:pPr>
            <w:r>
              <w:t xml:space="preserve">made before any comparison, with no out-of-fold prediction for an NA12 compound looked at</w:t>
            </w:r>
          </w:p>
        </w:tc>
        <w:tc>
          <w:tcPr/>
          <w:p>
            <w:pPr>
              <w:pStyle w:val="Compact"/>
            </w:pPr>
          </w:p>
        </w:tc>
      </w:tr>
      <w:tr>
        <w:tc>
          <w:tcPr/>
          <w:p>
            <w:pPr>
              <w:pStyle w:val="Compact"/>
            </w:pPr>
            <w:r>
              <w:t xml:space="preserve">6</w:t>
            </w:r>
          </w:p>
        </w:tc>
        <w:tc>
          <w:tcPr/>
          <w:p>
            <w:pPr>
              <w:pStyle w:val="Compact"/>
            </w:pPr>
            <w:r>
              <w:t xml:space="preserve">2026-10-16</w:t>
            </w:r>
          </w:p>
        </w:tc>
        <w:tc>
          <w:tcPr/>
          <w:p>
            <w:pPr>
              <w:pStyle w:val="Compact"/>
            </w:pPr>
            <w:r>
              <w:t xml:space="preserve">edge-flag tolerance 2u</w:t>
            </w:r>
          </w:p>
        </w:tc>
        <w:tc>
          <w:tcPr/>
          <w:p>
            <w:pPr>
              <w:pStyle w:val="Compact"/>
            </w:pPr>
            <w:r>
              <w:t xml:space="preserve">made before any comparison, with no out-of-fold prediction for an NA12 compound looked at</w:t>
            </w:r>
          </w:p>
        </w:tc>
        <w:tc>
          <w:tcPr/>
          <w:p>
            <w:pPr>
              <w:pStyle w:val="Compact"/>
            </w:pPr>
          </w:p>
        </w:tc>
      </w:tr>
      <w:tr>
        <w:tc>
          <w:tcPr/>
          <w:p>
            <w:pPr>
              <w:pStyle w:val="Compact"/>
            </w:pPr>
            <w:r>
              <w:t xml:space="preserve">7</w:t>
            </w:r>
          </w:p>
        </w:tc>
        <w:tc>
          <w:tcPr/>
          <w:p>
            <w:pPr>
              <w:pStyle w:val="Compact"/>
            </w:pPr>
            <w:r>
              <w:t xml:space="preserve">2026-10-16</w:t>
            </w:r>
          </w:p>
        </w:tc>
        <w:tc>
          <w:tcPr/>
          <w:p>
            <w:pPr>
              <w:pStyle w:val="Compact"/>
            </w:pPr>
            <w:r>
              <w:t xml:space="preserve">Ohta et al. Fig. 3, thermal conductivity: only legible markers</w:t>
            </w:r>
          </w:p>
        </w:tc>
        <w:tc>
          <w:tcPr/>
          <w:p>
            <w:pPr>
              <w:pStyle w:val="Compact"/>
            </w:pPr>
            <w:r>
              <w:t xml:space="preserve">made before any comparison, with no out-of-fold prediction looked at</w:t>
            </w:r>
          </w:p>
        </w:tc>
        <w:tc>
          <w:tcPr/>
          <w:p>
            <w:pPr>
              <w:pStyle w:val="Compact"/>
            </w:pPr>
          </w:p>
        </w:tc>
      </w:tr>
      <w:tr>
        <w:tc>
          <w:tcPr/>
          <w:p>
            <w:pPr>
              <w:pStyle w:val="Compact"/>
            </w:pPr>
            <w:r>
              <w:t xml:space="preserve">8</w:t>
            </w:r>
          </w:p>
        </w:tc>
        <w:tc>
          <w:tcPr/>
          <w:p>
            <w:pPr>
              <w:pStyle w:val="Compact"/>
            </w:pPr>
            <w:r>
              <w:t xml:space="preserve">2026-10-17</w:t>
            </w:r>
          </w:p>
        </w:tc>
        <w:tc>
          <w:tcPr/>
          <w:p>
            <w:pPr>
              <w:pStyle w:val="Compact"/>
            </w:pPr>
            <w:r>
              <w:t xml:space="preserve">approximate zT consistency check for Ohta et al.</w:t>
            </w:r>
          </w:p>
        </w:tc>
        <w:tc>
          <w:tcPr/>
          <w:p>
            <w:pPr>
              <w:pStyle w:val="Compact"/>
            </w:pPr>
            <w:r>
              <w:t xml:space="preserve">made before any comparison, with no out-of-fold prediction looked at</w:t>
            </w:r>
          </w:p>
        </w:tc>
        <w:tc>
          <w:tcPr/>
          <w:p>
            <w:pPr>
              <w:pStyle w:val="Compact"/>
            </w:pPr>
          </w:p>
        </w:tc>
      </w:tr>
      <w:tr>
        <w:tc>
          <w:tcPr/>
          <w:p>
            <w:pPr>
              <w:pStyle w:val="Compact"/>
            </w:pPr>
            <w:r>
              <w:t xml:space="preserve">9</w:t>
            </w:r>
          </w:p>
        </w:tc>
        <w:tc>
          <w:tcPr/>
          <w:p>
            <w:pPr>
              <w:pStyle w:val="Compact"/>
            </w:pPr>
            <w:r>
              <w:t xml:space="preserve">2026-10-17</w:t>
            </w:r>
          </w:p>
        </w:tc>
        <w:tc>
          <w:tcPr/>
          <w:p>
            <w:pPr>
              <w:pStyle w:val="Compact"/>
            </w:pPr>
            <w:r>
              <w:t xml:space="preserve">Ohtaki et al. 1995: legible markers only, extending amendment 7</w:t>
            </w:r>
          </w:p>
        </w:tc>
        <w:tc>
          <w:tcPr/>
          <w:p>
            <w:pPr>
              <w:pStyle w:val="Compact"/>
            </w:pPr>
            <w:r>
              <w:t xml:space="preserve">made before any Ohtaki marker is digitised, with no out-of-fold prediction looked at</w:t>
            </w:r>
          </w:p>
        </w:tc>
        <w:tc>
          <w:tcPr/>
          <w:p>
            <w:pPr>
              <w:pStyle w:val="Compact"/>
            </w:pPr>
          </w:p>
        </w:tc>
      </w:tr>
      <w:tr>
        <w:tc>
          <w:tcPr/>
          <w:p>
            <w:pPr>
              <w:pStyle w:val="Compact"/>
            </w:pPr>
            <w:r>
              <w:t xml:space="preserve">10</w:t>
            </w:r>
          </w:p>
        </w:tc>
        <w:tc>
          <w:tcPr/>
          <w:p>
            <w:pPr>
              <w:pStyle w:val="Compact"/>
            </w:pPr>
            <w:r>
              <w:t xml:space="preserve">2026-10-17</w:t>
            </w:r>
          </w:p>
        </w:tc>
        <w:tc>
          <w:tcPr/>
          <w:p>
            <w:pPr>
              <w:pStyle w:val="Compact"/>
            </w:pPr>
            <w:r>
              <w:t xml:space="preserve">Ohtaki et al. Fig. 7: column-grouping gate 6 deg C</w:t>
            </w:r>
          </w:p>
        </w:tc>
        <w:tc>
          <w:tcPr/>
          <w:p>
            <w:pPr>
              <w:pStyle w:val="Compact"/>
            </w:pPr>
            <w:r>
              <w:t xml:space="preserve">made after the Fig. 7 digitising, before any comparison, with no out-of-fold prediction looked at</w:t>
            </w:r>
          </w:p>
        </w:tc>
        <w:tc>
          <w:tcPr/>
          <w:p>
            <w:pPr>
              <w:pStyle w:val="Compact"/>
            </w:pPr>
          </w:p>
        </w:tc>
      </w:tr>
      <w:tr>
        <w:tc>
          <w:tcPr/>
          <w:p>
            <w:pPr>
              <w:pStyle w:val="Compact"/>
            </w:pPr>
            <w:r>
              <w:t xml:space="preserve">11</w:t>
            </w:r>
          </w:p>
        </w:tc>
        <w:tc>
          <w:tcPr/>
          <w:p>
            <w:pPr>
              <w:pStyle w:val="Compact"/>
            </w:pPr>
            <w:r>
              <w:t xml:space="preserve">2026-10-17</w:t>
            </w:r>
          </w:p>
        </w:tc>
        <w:tc>
          <w:tcPr/>
          <w:p>
            <w:pPr>
              <w:pStyle w:val="Compact"/>
            </w:pPr>
            <w:r>
              <w:t xml:space="preserve">Ohtaki et al. Fig. 4: unplaceable clicks, columns of the not-legible list, estimator settings</w:t>
            </w:r>
          </w:p>
        </w:tc>
        <w:tc>
          <w:tcPr/>
          <w:p>
            <w:pPr>
              <w:pStyle w:val="Compact"/>
            </w:pPr>
            <w:r>
              <w:t xml:space="preserve">made after a test run of the Fig. 4 files, before the official run and any comparison, with no out-of-fold prediction looked at</w:t>
            </w:r>
          </w:p>
        </w:tc>
        <w:tc>
          <w:tcPr/>
          <w:p>
            <w:pPr>
              <w:pStyle w:val="Compact"/>
            </w:pPr>
          </w:p>
        </w:tc>
      </w:tr>
      <w:tr>
        <w:tc>
          <w:tcPr/>
          <w:p>
            <w:pPr>
              <w:pStyle w:val="Compact"/>
            </w:pPr>
            <w:r>
              <w:t xml:space="preserve">12</w:t>
            </w:r>
          </w:p>
        </w:tc>
        <w:tc>
          <w:tcPr/>
          <w:p>
            <w:pPr>
              <w:pStyle w:val="Compact"/>
            </w:pPr>
            <w:r>
              <w:t xml:space="preserve">2026-10-17</w:t>
            </w:r>
          </w:p>
        </w:tc>
        <w:tc>
          <w:tcPr/>
          <w:p>
            <w:pPr>
              <w:pStyle w:val="Compact"/>
            </w:pPr>
            <w:r>
              <w:t xml:space="preserve">Ohtaki et al. Fig. 1: the 1000/T axis, tilt, units, room temperature</w:t>
            </w:r>
          </w:p>
        </w:tc>
        <w:tc>
          <w:tcPr/>
          <w:p>
            <w:pPr>
              <w:pStyle w:val="Compact"/>
            </w:pPr>
            <w:r>
              <w:t xml:space="preserve">made after a test run of the Fig. 1 files, before the official run and any comparison, with no out-of-fold prediction looked at</w:t>
            </w:r>
          </w:p>
        </w:tc>
        <w:tc>
          <w:tcPr/>
          <w:p>
            <w:pPr>
              <w:pStyle w:val="Compact"/>
            </w:pPr>
          </w:p>
        </w:tc>
      </w:tr>
      <w:tr>
        <w:tc>
          <w:tcPr/>
          <w:p>
            <w:pPr>
              <w:pStyle w:val="Compact"/>
            </w:pPr>
            <w:r>
              <w:t xml:space="preserve">13</w:t>
            </w:r>
          </w:p>
        </w:tc>
        <w:tc>
          <w:tcPr/>
          <w:p>
            <w:pPr>
              <w:pStyle w:val="Compact"/>
            </w:pPr>
            <w:r>
              <w:t xml:space="preserve">2026-10-17</w:t>
            </w:r>
          </w:p>
        </w:tc>
        <w:tc>
          <w:tcPr/>
          <w:p>
            <w:pPr>
              <w:pStyle w:val="Compact"/>
            </w:pPr>
            <w:r>
              <w:t xml:space="preserve">the legibility gates of amendment 12 apply to every digitised scanned figure</w:t>
            </w:r>
          </w:p>
        </w:tc>
        <w:tc>
          <w:tcPr/>
          <w:p>
            <w:pPr>
              <w:pStyle w:val="Compact"/>
            </w:pPr>
            <w:r>
              <w:t xml:space="preserve">made before the comparison, with no out-of-fold prediction looked at</w:t>
            </w:r>
          </w:p>
        </w:tc>
        <w:tc>
          <w:tcPr/>
          <w:p>
            <w:pPr>
              <w:pStyle w:val="Compact"/>
            </w:pPr>
          </w:p>
        </w:tc>
      </w:tr>
      <w:tr>
        <w:tc>
          <w:tcPr/>
          <w:p>
            <w:pPr>
              <w:pStyle w:val="Compact"/>
            </w:pPr>
            <w:r>
              <w:t xml:space="preserve">14</w:t>
            </w:r>
          </w:p>
        </w:tc>
        <w:tc>
          <w:tcPr/>
          <w:p>
            <w:pPr>
              <w:pStyle w:val="Compact"/>
            </w:pPr>
            <w:r>
              <w:t xml:space="preserve">2026-10-19</w:t>
            </w:r>
          </w:p>
        </w:tc>
        <w:tc>
          <w:tcPr/>
          <w:p>
            <w:pPr>
              <w:pStyle w:val="Compact"/>
            </w:pPr>
            <w:r>
              <w:t xml:space="preserve">Shibasaki et al. 2009 and Rajasekaran et al. 2020: which values are rows</w:t>
            </w:r>
          </w:p>
        </w:tc>
        <w:tc>
          <w:tcPr/>
          <w:p>
            <w:pPr>
              <w:pStyle w:val="Compact"/>
            </w:pPr>
            <w:r>
              <w:t xml:space="preserve">made before any value of the two papers is read into the values file and before the comparison, with no out-of-fold prediction looked at</w:t>
            </w:r>
          </w:p>
        </w:tc>
        <w:tc>
          <w:tcPr/>
          <w:p>
            <w:pPr>
              <w:pStyle w:val="Compact"/>
            </w:pPr>
            <w:r>
              <w:t xml:space="preserve">yes</w:t>
            </w:r>
          </w:p>
        </w:tc>
      </w:tr>
      <w:tr>
        <w:tc>
          <w:tcPr/>
          <w:p>
            <w:pPr>
              <w:pStyle w:val="Compact"/>
            </w:pPr>
            <w:r>
              <w:t xml:space="preserve">15</w:t>
            </w:r>
          </w:p>
        </w:tc>
        <w:tc>
          <w:tcPr/>
          <w:p>
            <w:pPr>
              <w:pStyle w:val="Compact"/>
            </w:pPr>
            <w:r>
              <w:t xml:space="preserve">2026-10-19</w:t>
            </w:r>
          </w:p>
        </w:tc>
        <w:tc>
          <w:tcPr/>
          <w:p>
            <w:pPr>
              <w:pStyle w:val="Compact"/>
            </w:pPr>
            <w:r>
              <w:t xml:space="preserve">a value the stated-temperature figure cannot resolve is taken from the figure that does</w:t>
            </w:r>
          </w:p>
        </w:tc>
        <w:tc>
          <w:tcPr/>
          <w:p>
            <w:pPr>
              <w:pStyle w:val="Compact"/>
            </w:pPr>
            <w:r>
              <w:t xml:space="preserve">made before the comparison, with no out-of-fold prediction looked at</w:t>
            </w:r>
          </w:p>
        </w:tc>
        <w:tc>
          <w:tcPr/>
          <w:p>
            <w:pPr>
              <w:pStyle w:val="Compact"/>
            </w:pPr>
          </w:p>
        </w:tc>
      </w:tr>
      <w:tr>
        <w:tc>
          <w:tcPr/>
          <w:p>
            <w:pPr>
              <w:pStyle w:val="Compact"/>
            </w:pPr>
            <w:r>
              <w:t xml:space="preserve">16</w:t>
            </w:r>
          </w:p>
        </w:tc>
        <w:tc>
          <w:tcPr/>
          <w:p>
            <w:pPr>
              <w:pStyle w:val="Compact"/>
            </w:pPr>
            <w:r>
              <w:t xml:space="preserve">2026-10-19</w:t>
            </w:r>
          </w:p>
        </w:tc>
        <w:tc>
          <w:tcPr/>
          <w:p>
            <w:pPr>
              <w:pStyle w:val="Compact"/>
            </w:pPr>
            <w:r>
              <w:t xml:space="preserve">Rajasekaran et al. Fig. 10: values from the printed ticks, marker opening radius, the abstract as a check</w:t>
            </w:r>
          </w:p>
        </w:tc>
        <w:tc>
          <w:tcPr/>
          <w:p>
            <w:pPr>
              <w:pStyle w:val="Compact"/>
            </w:pPr>
            <w:r>
              <w:t xml:space="preserve">made after the test run of the digitised files, before the official run and the comparison, with no out-of-fold prediction looked at</w:t>
            </w:r>
          </w:p>
        </w:tc>
        <w:tc>
          <w:tcPr/>
          <w:p>
            <w:pPr>
              <w:pStyle w:val="Compact"/>
            </w:pPr>
            <w:r>
              <w:t xml:space="preserve">yes</w:t>
            </w:r>
          </w:p>
        </w:tc>
      </w:tr>
      <w:tr>
        <w:tc>
          <w:tcPr/>
          <w:p>
            <w:pPr>
              <w:pStyle w:val="Compact"/>
            </w:pPr>
            <w:r>
              <w:t xml:space="preserve">17</w:t>
            </w:r>
          </w:p>
        </w:tc>
        <w:tc>
          <w:tcPr/>
          <w:p>
            <w:pPr>
              <w:pStyle w:val="Compact"/>
            </w:pPr>
            <w:r>
              <w:t xml:space="preserve">2026-10-19</w:t>
            </w:r>
          </w:p>
        </w:tc>
        <w:tc>
          <w:tcPr/>
          <w:p>
            <w:pPr>
              <w:pStyle w:val="Compact"/>
            </w:pPr>
            <w:r>
              <w:t xml:space="preserve">the symmetry cross-check on the opened body, and a window centred on the click; every scanned figure</w:t>
            </w:r>
          </w:p>
        </w:tc>
        <w:tc>
          <w:tcPr/>
          <w:p>
            <w:pPr>
              <w:pStyle w:val="Compact"/>
            </w:pPr>
            <w:r>
              <w:t xml:space="preserve">made before the comparison, with no out-of-fold prediction looked at</w:t>
            </w:r>
          </w:p>
        </w:tc>
        <w:tc>
          <w:tcPr/>
          <w:p>
            <w:pPr>
              <w:pStyle w:val="Compact"/>
            </w:pPr>
            <w:r>
              <w:t xml:space="preserve">yes</w:t>
            </w:r>
          </w:p>
        </w:tc>
      </w:tr>
    </w:tbl>
    <w:p>
      <w:pPr>
        <w:pStyle w:val="BodyText"/>
      </w:pPr>
      <w:r>
        <w:t xml:space="preserve">Generated from</w:t>
      </w:r>
      <w:r>
        <w:t xml:space="preserve"> </w:t>
      </w:r>
      <w:r>
        <w:rPr>
          <w:rStyle w:val="VerbatimChar"/>
        </w:rPr>
        <w:t xml:space="preserve">docs/decisions.md</w:t>
      </w:r>
      <w:r>
        <w:t xml:space="preserve"> </w:t>
      </w:r>
      <w:r>
        <w:t xml:space="preserve">(SHA256</w:t>
      </w:r>
      <w:r>
        <w:t xml:space="preserve"> </w:t>
      </w:r>
      <w:r>
        <w:rPr>
          <w:rStyle w:val="VerbatimChar"/>
        </w:rPr>
        <w:t xml:space="preserve">c961c9c5d8f0cd4cd7502ea556c2c7b306a7b7c7d161bcdd76d0b69cbf4067be</w:t>
      </w:r>
      <w:r>
        <w:t xml:space="preserve">) at commit</w:t>
      </w:r>
      <w:r>
        <w:t xml:space="preserve"> </w:t>
      </w:r>
      <w:r>
        <w:rPr>
          <w:rStyle w:val="VerbatimChar"/>
        </w:rPr>
        <w:t xml:space="preserve">6dc4ba44bd71a5f2393925cf8bd49c02985acb32</w:t>
      </w:r>
      <w:r>
        <w:t xml:space="preserve">.</w:t>
      </w:r>
    </w:p>
    <w:p>
      <w:pPr>
        <w:pStyle w:val="BodyText"/>
      </w:pPr>
      <w:r>
        <w:rPr>
          <w:b/>
          <w:bCs/>
        </w:rPr>
        <w:t xml:space="preserve">Supplementary Table S2:</w:t>
      </w:r>
      <w:r>
        <w:t xml:space="preserve"> </w:t>
      </w:r>
      <w:r>
        <w:t xml:space="preserve">Hyperparameters of the comparison models of Section 3.1.2. Part A: LightGBM, tuned once per target on all rows of the target by a 20-trial Optuna search scored with 3-fold chemistry-cluster cross-validation (the XGBoost protocol), then frozen; the search ranges are those of the code. Part B: the random forest, which is not tuned: one setting, fixed in advance, is used for all four targets (Section 2.3). The target scale is log</w:t>
      </w:r>
      <w:r>
        <w:rPr>
          <w:vertAlign w:val="subscript"/>
        </w:rPr>
        <w:t xml:space="preserve">10</w:t>
      </w:r>
      <w:r>
        <w:t xml:space="preserve"> </w:t>
      </w:r>
      <w:r>
        <w:t xml:space="preserve">for</w:t>
      </w:r>
      <w:r>
        <w:t xml:space="preserve"> </w:t>
      </w:r>
      <w:r>
        <w:rPr>
          <w:i/>
          <w:iCs/>
        </w:rPr>
        <w:t xml:space="preserve">σ</w:t>
      </w:r>
      <w:r>
        <w:t xml:space="preserve"> </w:t>
      </w:r>
      <w:r>
        <w:t xml:space="preserve">and</w:t>
      </w:r>
      <w:r>
        <w:t xml:space="preserve"> </w:t>
      </w:r>
      <w:r>
        <w:rPr>
          <w:i/>
          <w:iCs/>
        </w:rPr>
        <w:t xml:space="preserve">κ</w:t>
      </w:r>
      <w:r>
        <w:t xml:space="preserve"> </w:t>
      </w:r>
      <w:r>
        <w:t xml:space="preserve">and linear for S and zT.</w:t>
      </w:r>
    </w:p>
    <w:p>
      <w:pPr>
        <w:pStyle w:val="BodyText"/>
      </w:pPr>
      <w:r>
        <w:rPr>
          <w:i/>
          <w:iCs/>
        </w:rPr>
        <w:t xml:space="preserve">Part A: LightGBM (tuned, frozen).</w:t>
      </w:r>
    </w:p>
    <w:tbl>
      <w:tblPr>
        <w:tblStyle w:val="Table"/>
        <w:tblW w:type="pct" w:w="5000"/>
        <w:tblLayout w:type="fixed"/>
        <w:tblLook w:firstRow="1" w:lastRow="0" w:firstColumn="0" w:lastColumn="0" w:noHBand="0" w:noVBand="0" w:val="0020"/>
      </w:tblPr>
      <w:tblGrid>
        <w:gridCol w:w="2003"/>
        <w:gridCol w:w="1049"/>
        <w:gridCol w:w="1049"/>
        <w:gridCol w:w="1049"/>
        <w:gridCol w:w="1049"/>
        <w:gridCol w:w="1717"/>
      </w:tblGrid>
      <w:tr>
        <w:trPr>
          <w:tblHeader w:val="on"/>
        </w:trPr>
        <w:tc>
          <w:tcPr/>
          <w:p>
            <w:pPr>
              <w:pStyle w:val="Compact"/>
            </w:pPr>
            <w:r>
              <w:rPr>
                <w:b/>
                <w:bCs/>
              </w:rPr>
              <w:t xml:space="preserve">Parameter</w:t>
            </w:r>
          </w:p>
        </w:tc>
        <w:tc>
          <w:tcPr/>
          <w:p>
            <w:pPr>
              <w:pStyle w:val="Compact"/>
            </w:pPr>
            <w:r>
              <w:rPr>
                <w:b/>
                <w:bCs/>
              </w:rPr>
              <w:t xml:space="preserve">S</w:t>
            </w:r>
          </w:p>
        </w:tc>
        <w:tc>
          <w:tcPr/>
          <w:p>
            <w:pPr>
              <w:pStyle w:val="Compact"/>
            </w:pPr>
            <w:r>
              <w:rPr>
                <w:b/>
                <w:bCs/>
                <w:i/>
                <w:iCs/>
              </w:rPr>
              <w:t xml:space="preserve">σ</w:t>
            </w:r>
          </w:p>
        </w:tc>
        <w:tc>
          <w:tcPr/>
          <w:p>
            <w:pPr>
              <w:pStyle w:val="Compact"/>
            </w:pPr>
            <w:r>
              <w:rPr>
                <w:b/>
                <w:bCs/>
                <w:i/>
                <w:iCs/>
              </w:rPr>
              <w:t xml:space="preserve">κ</w:t>
            </w:r>
          </w:p>
        </w:tc>
        <w:tc>
          <w:tcPr/>
          <w:p>
            <w:pPr>
              <w:pStyle w:val="Compact"/>
            </w:pPr>
            <w:r>
              <w:rPr>
                <w:b/>
                <w:bCs/>
              </w:rPr>
              <w:t xml:space="preserve">zT</w:t>
            </w:r>
          </w:p>
        </w:tc>
        <w:tc>
          <w:tcPr/>
          <w:p>
            <w:pPr>
              <w:pStyle w:val="Compact"/>
            </w:pPr>
            <w:r>
              <w:rPr>
                <w:b/>
                <w:bCs/>
              </w:rPr>
              <w:t xml:space="preserve">Search range</w:t>
            </w:r>
          </w:p>
        </w:tc>
      </w:tr>
      <w:tr>
        <w:tc>
          <w:tcPr/>
          <w:p>
            <w:pPr>
              <w:pStyle w:val="Compact"/>
            </w:pPr>
            <w:r>
              <w:t xml:space="preserve">n_estimators</w:t>
            </w:r>
          </w:p>
        </w:tc>
        <w:tc>
          <w:tcPr/>
          <w:p>
            <w:pPr>
              <w:pStyle w:val="Compact"/>
            </w:pPr>
            <w:r>
              <w:t xml:space="preserve">400</w:t>
            </w:r>
          </w:p>
        </w:tc>
        <w:tc>
          <w:tcPr/>
          <w:p>
            <w:pPr>
              <w:pStyle w:val="Compact"/>
            </w:pPr>
            <w:r>
              <w:t xml:space="preserve">550</w:t>
            </w:r>
          </w:p>
        </w:tc>
        <w:tc>
          <w:tcPr/>
          <w:p>
            <w:pPr>
              <w:pStyle w:val="Compact"/>
            </w:pPr>
            <w:r>
              <w:t xml:space="preserve">400</w:t>
            </w:r>
          </w:p>
        </w:tc>
        <w:tc>
          <w:tcPr/>
          <w:p>
            <w:pPr>
              <w:pStyle w:val="Compact"/>
            </w:pPr>
            <w:r>
              <w:t xml:space="preserve">500</w:t>
            </w:r>
          </w:p>
        </w:tc>
        <w:tc>
          <w:tcPr/>
          <w:p>
            <w:pPr>
              <w:pStyle w:val="Compact"/>
            </w:pPr>
            <w:r>
              <w:t xml:space="preserve">100 to 600 (step 50)</w:t>
            </w:r>
          </w:p>
        </w:tc>
      </w:tr>
      <w:tr>
        <w:tc>
          <w:tcPr/>
          <w:p>
            <w:pPr>
              <w:pStyle w:val="Compact"/>
            </w:pPr>
            <w:r>
              <w:t xml:space="preserve">max_depth</w:t>
            </w:r>
          </w:p>
        </w:tc>
        <w:tc>
          <w:tcPr/>
          <w:p>
            <w:pPr>
              <w:pStyle w:val="Compact"/>
            </w:pPr>
            <w:r>
              <w:t xml:space="preserve">10</w:t>
            </w:r>
          </w:p>
        </w:tc>
        <w:tc>
          <w:tcPr/>
          <w:p>
            <w:pPr>
              <w:pStyle w:val="Compact"/>
            </w:pPr>
            <w:r>
              <w:t xml:space="preserve">9</w:t>
            </w:r>
          </w:p>
        </w:tc>
        <w:tc>
          <w:tcPr/>
          <w:p>
            <w:pPr>
              <w:pStyle w:val="Compact"/>
            </w:pPr>
            <w:r>
              <w:t xml:space="preserve">7</w:t>
            </w:r>
          </w:p>
        </w:tc>
        <w:tc>
          <w:tcPr/>
          <w:p>
            <w:pPr>
              <w:pStyle w:val="Compact"/>
            </w:pPr>
            <w:r>
              <w:t xml:space="preserve">12</w:t>
            </w:r>
          </w:p>
        </w:tc>
        <w:tc>
          <w:tcPr/>
          <w:p>
            <w:pPr>
              <w:pStyle w:val="Compact"/>
            </w:pPr>
            <w:r>
              <w:t xml:space="preserve">3 to 12</w:t>
            </w:r>
          </w:p>
        </w:tc>
      </w:tr>
      <w:tr>
        <w:tc>
          <w:tcPr/>
          <w:p>
            <w:pPr>
              <w:pStyle w:val="Compact"/>
            </w:pPr>
            <w:r>
              <w:t xml:space="preserve">num_leaves</w:t>
            </w:r>
          </w:p>
        </w:tc>
        <w:tc>
          <w:tcPr/>
          <w:p>
            <w:pPr>
              <w:pStyle w:val="Compact"/>
            </w:pPr>
            <w:r>
              <w:t xml:space="preserve">82</w:t>
            </w:r>
          </w:p>
        </w:tc>
        <w:tc>
          <w:tcPr/>
          <w:p>
            <w:pPr>
              <w:pStyle w:val="Compact"/>
            </w:pPr>
            <w:r>
              <w:t xml:space="preserve">126</w:t>
            </w:r>
          </w:p>
        </w:tc>
        <w:tc>
          <w:tcPr/>
          <w:p>
            <w:pPr>
              <w:pStyle w:val="Compact"/>
            </w:pPr>
            <w:r>
              <w:t xml:space="preserve">241</w:t>
            </w:r>
          </w:p>
        </w:tc>
        <w:tc>
          <w:tcPr/>
          <w:p>
            <w:pPr>
              <w:pStyle w:val="Compact"/>
            </w:pPr>
            <w:r>
              <w:t xml:space="preserve">75</w:t>
            </w:r>
          </w:p>
        </w:tc>
        <w:tc>
          <w:tcPr/>
          <w:p>
            <w:pPr>
              <w:pStyle w:val="Compact"/>
            </w:pPr>
            <w:r>
              <w:t xml:space="preserve">15 to 255 (log scale)</w:t>
            </w:r>
          </w:p>
        </w:tc>
      </w:tr>
      <w:tr>
        <w:tc>
          <w:tcPr/>
          <w:p>
            <w:pPr>
              <w:pStyle w:val="Compact"/>
            </w:pPr>
            <w:r>
              <w:t xml:space="preserve">learning_rate</w:t>
            </w:r>
          </w:p>
        </w:tc>
        <w:tc>
          <w:tcPr/>
          <w:p>
            <w:pPr>
              <w:pStyle w:val="Compact"/>
            </w:pPr>
            <w:r>
              <w:t xml:space="preserve">0.0638</w:t>
            </w:r>
          </w:p>
        </w:tc>
        <w:tc>
          <w:tcPr/>
          <w:p>
            <w:pPr>
              <w:pStyle w:val="Compact"/>
            </w:pPr>
            <w:r>
              <w:t xml:space="preserve">0.0568</w:t>
            </w:r>
          </w:p>
        </w:tc>
        <w:tc>
          <w:tcPr/>
          <w:p>
            <w:pPr>
              <w:pStyle w:val="Compact"/>
            </w:pPr>
            <w:r>
              <w:t xml:space="preserve">0.0877</w:t>
            </w:r>
          </w:p>
        </w:tc>
        <w:tc>
          <w:tcPr/>
          <w:p>
            <w:pPr>
              <w:pStyle w:val="Compact"/>
            </w:pPr>
            <w:r>
              <w:t xml:space="preserve">0.0447</w:t>
            </w:r>
          </w:p>
        </w:tc>
        <w:tc>
          <w:tcPr/>
          <w:p>
            <w:pPr>
              <w:pStyle w:val="Compact"/>
            </w:pPr>
            <w:r>
              <w:t xml:space="preserve">0.01 to 0.3 (log scale)</w:t>
            </w:r>
          </w:p>
        </w:tc>
      </w:tr>
      <w:tr>
        <w:tc>
          <w:tcPr/>
          <w:p>
            <w:pPr>
              <w:pStyle w:val="Compact"/>
            </w:pPr>
            <w:r>
              <w:t xml:space="preserve">subsample</w:t>
            </w:r>
          </w:p>
        </w:tc>
        <w:tc>
          <w:tcPr/>
          <w:p>
            <w:pPr>
              <w:pStyle w:val="Compact"/>
            </w:pPr>
            <w:r>
              <w:t xml:space="preserve">0.712</w:t>
            </w:r>
          </w:p>
        </w:tc>
        <w:tc>
          <w:tcPr/>
          <w:p>
            <w:pPr>
              <w:pStyle w:val="Compact"/>
            </w:pPr>
            <w:r>
              <w:t xml:space="preserve">0.592</w:t>
            </w:r>
          </w:p>
        </w:tc>
        <w:tc>
          <w:tcPr/>
          <w:p>
            <w:pPr>
              <w:pStyle w:val="Compact"/>
            </w:pPr>
            <w:r>
              <w:t xml:space="preserve">0.552</w:t>
            </w:r>
          </w:p>
        </w:tc>
        <w:tc>
          <w:tcPr/>
          <w:p>
            <w:pPr>
              <w:pStyle w:val="Compact"/>
            </w:pPr>
            <w:r>
              <w:t xml:space="preserve">0.51</w:t>
            </w:r>
          </w:p>
        </w:tc>
        <w:tc>
          <w:tcPr/>
          <w:p>
            <w:pPr>
              <w:pStyle w:val="Compact"/>
            </w:pPr>
            <w:r>
              <w:t xml:space="preserve">0.5 to 1</w:t>
            </w:r>
          </w:p>
        </w:tc>
      </w:tr>
      <w:tr>
        <w:tc>
          <w:tcPr/>
          <w:p>
            <w:pPr>
              <w:pStyle w:val="Compact"/>
            </w:pPr>
            <w:r>
              <w:t xml:space="preserve">colsample_bytree</w:t>
            </w:r>
          </w:p>
        </w:tc>
        <w:tc>
          <w:tcPr/>
          <w:p>
            <w:pPr>
              <w:pStyle w:val="Compact"/>
            </w:pPr>
            <w:r>
              <w:t xml:space="preserve">0.823</w:t>
            </w:r>
          </w:p>
        </w:tc>
        <w:tc>
          <w:tcPr/>
          <w:p>
            <w:pPr>
              <w:pStyle w:val="Compact"/>
            </w:pPr>
            <w:r>
              <w:t xml:space="preserve">0.638</w:t>
            </w:r>
          </w:p>
        </w:tc>
        <w:tc>
          <w:tcPr/>
          <w:p>
            <w:pPr>
              <w:pStyle w:val="Compact"/>
            </w:pPr>
            <w:r>
              <w:t xml:space="preserve">0.677</w:t>
            </w:r>
          </w:p>
        </w:tc>
        <w:tc>
          <w:tcPr/>
          <w:p>
            <w:pPr>
              <w:pStyle w:val="Compact"/>
            </w:pPr>
            <w:r>
              <w:t xml:space="preserve">0.626</w:t>
            </w:r>
          </w:p>
        </w:tc>
        <w:tc>
          <w:tcPr/>
          <w:p>
            <w:pPr>
              <w:pStyle w:val="Compact"/>
            </w:pPr>
            <w:r>
              <w:t xml:space="preserve">0.5 to 1</w:t>
            </w:r>
          </w:p>
        </w:tc>
      </w:tr>
      <w:tr>
        <w:tc>
          <w:tcPr/>
          <w:p>
            <w:pPr>
              <w:pStyle w:val="Compact"/>
            </w:pPr>
            <w:r>
              <w:t xml:space="preserve">min_child_samples</w:t>
            </w:r>
          </w:p>
        </w:tc>
        <w:tc>
          <w:tcPr/>
          <w:p>
            <w:pPr>
              <w:pStyle w:val="Compact"/>
            </w:pPr>
            <w:r>
              <w:t xml:space="preserve">25</w:t>
            </w:r>
          </w:p>
        </w:tc>
        <w:tc>
          <w:tcPr/>
          <w:p>
            <w:pPr>
              <w:pStyle w:val="Compact"/>
            </w:pPr>
            <w:r>
              <w:t xml:space="preserve">35</w:t>
            </w:r>
          </w:p>
        </w:tc>
        <w:tc>
          <w:tcPr/>
          <w:p>
            <w:pPr>
              <w:pStyle w:val="Compact"/>
            </w:pPr>
            <w:r>
              <w:t xml:space="preserve">38</w:t>
            </w:r>
          </w:p>
        </w:tc>
        <w:tc>
          <w:tcPr/>
          <w:p>
            <w:pPr>
              <w:pStyle w:val="Compact"/>
            </w:pPr>
            <w:r>
              <w:t xml:space="preserve">40</w:t>
            </w:r>
          </w:p>
        </w:tc>
        <w:tc>
          <w:tcPr/>
          <w:p>
            <w:pPr>
              <w:pStyle w:val="Compact"/>
            </w:pPr>
            <w:r>
              <w:t xml:space="preserve">5 to 50</w:t>
            </w:r>
          </w:p>
        </w:tc>
      </w:tr>
      <w:tr>
        <w:tc>
          <w:tcPr/>
          <w:p>
            <w:pPr>
              <w:pStyle w:val="Compact"/>
            </w:pPr>
            <w:r>
              <w:t xml:space="preserve">reg_lambda</w:t>
            </w:r>
          </w:p>
        </w:tc>
        <w:tc>
          <w:tcPr/>
          <w:p>
            <w:pPr>
              <w:pStyle w:val="Compact"/>
            </w:pPr>
            <w:r>
              <w:t xml:space="preserve">3.69</w:t>
            </w:r>
          </w:p>
        </w:tc>
        <w:tc>
          <w:tcPr/>
          <w:p>
            <w:pPr>
              <w:pStyle w:val="Compact"/>
            </w:pPr>
            <w:r>
              <w:t xml:space="preserve">3.27</w:t>
            </w:r>
          </w:p>
        </w:tc>
        <w:tc>
          <w:tcPr/>
          <w:p>
            <w:pPr>
              <w:pStyle w:val="Compact"/>
            </w:pPr>
            <w:r>
              <w:t xml:space="preserve">0.0269</w:t>
            </w:r>
          </w:p>
        </w:tc>
        <w:tc>
          <w:tcPr/>
          <w:p>
            <w:pPr>
              <w:pStyle w:val="Compact"/>
            </w:pPr>
            <w:r>
              <w:t xml:space="preserve">2.34</w:t>
            </w:r>
          </w:p>
        </w:tc>
        <w:tc>
          <w:tcPr/>
          <w:p>
            <w:pPr>
              <w:pStyle w:val="Compact"/>
            </w:pPr>
            <w:r>
              <w:t xml:space="preserve">0.001 to 10 (log scale)</w:t>
            </w:r>
          </w:p>
        </w:tc>
      </w:tr>
      <w:tr>
        <w:tc>
          <w:tcPr/>
          <w:p>
            <w:pPr>
              <w:pStyle w:val="Compact"/>
            </w:pPr>
            <w:r>
              <w:t xml:space="preserve">reg_alpha</w:t>
            </w:r>
          </w:p>
        </w:tc>
        <w:tc>
          <w:tcPr/>
          <w:p>
            <w:pPr>
              <w:pStyle w:val="Compact"/>
            </w:pPr>
            <w:r>
              <w:t xml:space="preserve">7.16</w:t>
            </w:r>
          </w:p>
        </w:tc>
        <w:tc>
          <w:tcPr/>
          <w:p>
            <w:pPr>
              <w:pStyle w:val="Compact"/>
            </w:pPr>
            <w:r>
              <w:t xml:space="preserve">9.84</w:t>
            </w:r>
          </w:p>
        </w:tc>
        <w:tc>
          <w:tcPr/>
          <w:p>
            <w:pPr>
              <w:pStyle w:val="Compact"/>
            </w:pPr>
            <w:r>
              <w:t xml:space="preserve">1.24</w:t>
            </w:r>
          </w:p>
        </w:tc>
        <w:tc>
          <w:tcPr/>
          <w:p>
            <w:pPr>
              <w:pStyle w:val="Compact"/>
            </w:pPr>
            <w:r>
              <w:t xml:space="preserve">3.9</w:t>
            </w:r>
          </w:p>
        </w:tc>
        <w:tc>
          <w:tcPr/>
          <w:p>
            <w:pPr>
              <w:pStyle w:val="Compact"/>
            </w:pPr>
            <w:r>
              <w:t xml:space="preserve">0.001 to 10 (log scale)</w:t>
            </w:r>
          </w:p>
        </w:tc>
      </w:tr>
      <w:tr>
        <w:tc>
          <w:tcPr/>
          <w:p>
            <w:pPr>
              <w:pStyle w:val="Compact"/>
            </w:pPr>
            <w:r>
              <w:t xml:space="preserve">inner-CV R</w:t>
            </w:r>
            <w:r>
              <w:rPr>
                <w:vertAlign w:val="superscript"/>
              </w:rPr>
              <w:t xml:space="preserve">2</w:t>
            </w:r>
            <w:r>
              <w:t xml:space="preserve"> </w:t>
            </w:r>
            <w:r>
              <w:t xml:space="preserve">of the chosen set</w:t>
            </w:r>
          </w:p>
        </w:tc>
        <w:tc>
          <w:tcPr/>
          <w:p>
            <w:pPr>
              <w:pStyle w:val="Compact"/>
            </w:pPr>
            <w:r>
              <w:t xml:space="preserve">0.735</w:t>
            </w:r>
          </w:p>
        </w:tc>
        <w:tc>
          <w:tcPr/>
          <w:p>
            <w:pPr>
              <w:pStyle w:val="Compact"/>
            </w:pPr>
            <w:r>
              <w:t xml:space="preserve">0.685</w:t>
            </w:r>
          </w:p>
        </w:tc>
        <w:tc>
          <w:tcPr/>
          <w:p>
            <w:pPr>
              <w:pStyle w:val="Compact"/>
            </w:pPr>
            <w:r>
              <w:t xml:space="preserve">0.794</w:t>
            </w:r>
          </w:p>
        </w:tc>
        <w:tc>
          <w:tcPr/>
          <w:p>
            <w:pPr>
              <w:pStyle w:val="Compact"/>
            </w:pPr>
            <w:r>
              <w:t xml:space="preserve">0.739</w:t>
            </w:r>
          </w:p>
        </w:tc>
        <w:tc>
          <w:tcPr/>
          <w:p>
            <w:pPr>
              <w:pStyle w:val="Compact"/>
            </w:pPr>
          </w:p>
        </w:tc>
      </w:tr>
      <w:tr>
        <w:tc>
          <w:tcPr/>
          <w:p>
            <w:pPr>
              <w:pStyle w:val="Compact"/>
            </w:pPr>
            <w:r>
              <w:t xml:space="preserve">rows of the target</w:t>
            </w:r>
          </w:p>
        </w:tc>
        <w:tc>
          <w:tcPr/>
          <w:p>
            <w:pPr>
              <w:pStyle w:val="Compact"/>
            </w:pPr>
            <w:r>
              <w:t xml:space="preserve">185,064</w:t>
            </w:r>
          </w:p>
        </w:tc>
        <w:tc>
          <w:tcPr/>
          <w:p>
            <w:pPr>
              <w:pStyle w:val="Compact"/>
            </w:pPr>
            <w:r>
              <w:t xml:space="preserve">182,755</w:t>
            </w:r>
          </w:p>
        </w:tc>
        <w:tc>
          <w:tcPr/>
          <w:p>
            <w:pPr>
              <w:pStyle w:val="Compact"/>
            </w:pPr>
            <w:r>
              <w:t xml:space="preserve">121,110</w:t>
            </w:r>
          </w:p>
        </w:tc>
        <w:tc>
          <w:tcPr/>
          <w:p>
            <w:pPr>
              <w:pStyle w:val="Compact"/>
            </w:pPr>
            <w:r>
              <w:t xml:space="preserve">129,419</w:t>
            </w:r>
          </w:p>
        </w:tc>
        <w:tc>
          <w:tcPr/>
          <w:p>
            <w:pPr>
              <w:pStyle w:val="Compact"/>
            </w:pPr>
          </w:p>
        </w:tc>
      </w:tr>
    </w:tbl>
    <w:p>
      <w:pPr>
        <w:pStyle w:val="BodyText"/>
      </w:pPr>
      <w:r>
        <w:rPr>
          <w:i/>
          <w:iCs/>
        </w:rPr>
        <w:t xml:space="preserve">Part B: random forest (fixed setting, not tuned; the same for S, σ, κ and zT).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Parameter</w:t>
            </w:r>
          </w:p>
        </w:tc>
        <w:tc>
          <w:tcPr/>
          <w:p>
            <w:pPr>
              <w:pStyle w:val="Compact"/>
            </w:pPr>
            <w:r>
              <w:rPr>
                <w:b/>
                <w:bCs/>
              </w:rPr>
              <w:t xml:space="preserve">Value</w:t>
            </w:r>
          </w:p>
        </w:tc>
      </w:tr>
      <w:tr>
        <w:tc>
          <w:tcPr/>
          <w:p>
            <w:pPr>
              <w:pStyle w:val="Compact"/>
            </w:pPr>
            <w:r>
              <w:t xml:space="preserve">n_estimators</w:t>
            </w:r>
          </w:p>
        </w:tc>
        <w:tc>
          <w:tcPr/>
          <w:p>
            <w:pPr>
              <w:pStyle w:val="Compact"/>
            </w:pPr>
            <w:r>
              <w:t xml:space="preserve">500</w:t>
            </w:r>
          </w:p>
        </w:tc>
      </w:tr>
      <w:tr>
        <w:tc>
          <w:tcPr/>
          <w:p>
            <w:pPr>
              <w:pStyle w:val="Compact"/>
            </w:pPr>
            <w:r>
              <w:t xml:space="preserve">max_features</w:t>
            </w:r>
          </w:p>
        </w:tc>
        <w:tc>
          <w:tcPr/>
          <w:p>
            <w:pPr>
              <w:pStyle w:val="Compact"/>
            </w:pPr>
            <w:r>
              <w:t xml:space="preserve">0.333</w:t>
            </w:r>
          </w:p>
        </w:tc>
      </w:tr>
      <w:tr>
        <w:tc>
          <w:tcPr/>
          <w:p>
            <w:pPr>
              <w:pStyle w:val="Compact"/>
            </w:pPr>
            <w:r>
              <w:t xml:space="preserve">min_samples_leaf</w:t>
            </w:r>
          </w:p>
        </w:tc>
        <w:tc>
          <w:tcPr/>
          <w:p>
            <w:pPr>
              <w:pStyle w:val="Compact"/>
            </w:pPr>
            <w:r>
              <w:t xml:space="preserve">5</w:t>
            </w:r>
          </w:p>
        </w:tc>
      </w:tr>
      <w:tr>
        <w:tc>
          <w:tcPr/>
          <w:p>
            <w:pPr>
              <w:pStyle w:val="Compact"/>
            </w:pPr>
            <w:r>
              <w:t xml:space="preserve">max_depth</w:t>
            </w:r>
          </w:p>
        </w:tc>
        <w:tc>
          <w:tcPr/>
          <w:p>
            <w:pPr>
              <w:pStyle w:val="Compact"/>
            </w:pPr>
            <w:r>
              <w:t xml:space="preserve">none (no limit)</w:t>
            </w:r>
          </w:p>
        </w:tc>
      </w:tr>
      <w:tr>
        <w:tc>
          <w:tcPr/>
          <w:p>
            <w:pPr>
              <w:pStyle w:val="Compact"/>
            </w:pPr>
            <w:r>
              <w:t xml:space="preserve">min_samples_split</w:t>
            </w:r>
          </w:p>
        </w:tc>
        <w:tc>
          <w:tcPr/>
          <w:p>
            <w:pPr>
              <w:pStyle w:val="Compact"/>
            </w:pPr>
            <w:r>
              <w:t xml:space="preserve">2</w:t>
            </w:r>
          </w:p>
        </w:tc>
      </w:tr>
      <w:tr>
        <w:tc>
          <w:tcPr/>
          <w:p>
            <w:pPr>
              <w:pStyle w:val="Compact"/>
            </w:pPr>
            <w:r>
              <w:t xml:space="preserve">bootstrap</w:t>
            </w:r>
          </w:p>
        </w:tc>
        <w:tc>
          <w:tcPr/>
          <w:p>
            <w:pPr>
              <w:pStyle w:val="Compact"/>
            </w:pPr>
            <w:r>
              <w:t xml:space="preserve">yes</w:t>
            </w:r>
          </w:p>
        </w:tc>
      </w:tr>
    </w:tbl>
    <w:p>
      <w:pPr>
        <w:pStyle w:val="BodyText"/>
      </w:pPr>
      <w:r>
        <w:t xml:space="preserve">Generated by</w:t>
      </w:r>
      <w:r>
        <w:t xml:space="preserve"> </w:t>
      </w:r>
      <w:r>
        <w:rPr>
          <w:rStyle w:val="VerbatimChar"/>
        </w:rPr>
        <w:t xml:space="preserve">scripts/make_supplement_hyperparameters.py</w:t>
      </w:r>
      <w:r>
        <w:t xml:space="preserve"> </w:t>
      </w:r>
      <w:r>
        <w:t xml:space="preserve">from the frozen files of</w:t>
      </w:r>
      <w:r>
        <w:t xml:space="preserve"> </w:t>
      </w:r>
      <w:r>
        <w:rPr>
          <w:rStyle w:val="VerbatimChar"/>
        </w:rPr>
        <w:t xml:space="preserve">results/na2_lightgbm</w:t>
      </w:r>
      <w:r>
        <w:t xml:space="preserve"> </w:t>
      </w:r>
      <w:r>
        <w:t xml:space="preserve">and</w:t>
      </w:r>
      <w:r>
        <w:t xml:space="preserve"> </w:t>
      </w:r>
      <w:r>
        <w:rPr>
          <w:rStyle w:val="VerbatimChar"/>
        </w:rPr>
        <w:t xml:space="preserve">results/na2_rf_*</w:t>
      </w:r>
      <w:r>
        <w:t xml:space="preserve"> </w:t>
      </w:r>
      <w:r>
        <w:t xml:space="preserve">and from</w:t>
      </w:r>
      <w:r>
        <w:t xml:space="preserve"> </w:t>
      </w:r>
      <w:r>
        <w:rPr>
          <w:rStyle w:val="VerbatimChar"/>
        </w:rPr>
        <w:t xml:space="preserve">src/nested_cv.py</w:t>
      </w:r>
      <w:r>
        <w:t xml:space="preserve"> </w:t>
      </w:r>
      <w:r>
        <w:t xml:space="preserve">(the SHA256 of every input is in</w:t>
      </w:r>
      <w:r>
        <w:t xml:space="preserve"> </w:t>
      </w:r>
      <w:r>
        <w:rPr>
          <w:rStyle w:val="VerbatimChar"/>
        </w:rPr>
        <w:t xml:space="preserve">reports/supplement_hyperparameters/run_config.json</w:t>
      </w:r>
      <w:r>
        <w:t xml:space="preserve">).</w:t>
      </w:r>
    </w:p>
    <w:bookmarkStart w:id="148" w:name="supplement"/>
    <w:p>
      <w:pPr>
        <w:pStyle w:val="Heading1"/>
      </w:pPr>
      <w:r>
        <w:t xml:space="preserve">Supplement</w:t>
      </w:r>
    </w:p>
    <w:bookmarkStart w:id="21" w:name="Xdc9502ba8777f63c6395a712492dfaaa3a2d4bf"/>
    <w:p>
      <w:pPr>
        <w:pStyle w:val="Heading2"/>
      </w:pPr>
      <w:r>
        <w:t xml:space="preserve">Supplementary Note S1: Extended background (supplement to Section 1)</w:t>
      </w:r>
    </w:p>
    <w:bookmarkStart w:id="15" w:name="thermoelectric-fundamentals"/>
    <w:p>
      <w:pPr>
        <w:pStyle w:val="Heading3"/>
      </w:pPr>
      <w:r>
        <w:t xml:space="preserve">Thermoelectric fundamentals</w:t>
      </w:r>
    </w:p>
    <w:p>
      <w:pPr>
        <w:pStyle w:val="FirstParagraph"/>
      </w:pPr>
      <w:r>
        <w:t xml:space="preserve">The Seebeck effect, named after Thomas Johann Seebeck, is the creation of an electric voltage by a temperature difference across a junction of two dissimilar conductors. The magnitude of this voltage per unit temperature difference is the Seebeck coefficient (S,</w:t>
      </w:r>
      <w:r>
        <w:t xml:space="preserve"> </w:t>
      </w:r>
      <w:r>
        <w:rPr>
          <w:i/>
          <w:iCs/>
        </w:rPr>
        <w:t xml:space="preserve">µ</w:t>
      </w:r>
      <w:r>
        <w:t xml:space="preserve">V K</w:t>
      </w:r>
      <w:r>
        <w:rPr>
          <w:vertAlign w:val="superscript"/>
        </w:rPr>
        <w:t xml:space="preserve">−1</w:t>
      </w:r>
      <w:r>
        <w:t xml:space="preserve">). A thermoelectric generator directly converts a temperature gradient into electrical power, without moving parts, using an array of p-type and n-type semiconductor legs connected electrically in series and thermally in parallel (Supplementary Figure S1)</w:t>
      </w:r>
      <w:r>
        <w:rPr>
          <w:vertAlign w:val="superscript"/>
        </w:rPr>
        <w:t xml:space="preserve">1</w:t>
      </w:r>
      <w:r>
        <w:t xml:space="preserve">. The reverse phenomenon, the Peltier effect, uses an electric current to transfer heat across a junction, enabling solid-state cooling, and the Thomson effect is the heating or cooling of a current-carrying conductor in a temperature gradient. Together, these three effects form the basis of thermoelectric energy conversion</w:t>
      </w:r>
      <w:r>
        <w:rPr>
          <w:vertAlign w:val="superscript"/>
        </w:rPr>
        <w:t xml:space="preserve">2</w:t>
      </w:r>
      <w:r>
        <w:t xml:space="preserve">.</w:t>
      </w:r>
    </w:p>
    <w:p>
      <w:pPr>
        <w:pStyle w:val="CaptionedFigure"/>
      </w:pPr>
      <w:r>
        <w:drawing>
          <wp:inline>
            <wp:extent cx="5334000" cy="3532469"/>
            <wp:effectExtent b="0" l="0" r="0" t="0"/>
            <wp:docPr descr="Supplementary Figure S1" title="" id="10" name="Picture"/>
            <a:graphic>
              <a:graphicData uri="http://schemas.openxmlformats.org/drawingml/2006/picture">
                <pic:pic>
                  <pic:nvPicPr>
                    <pic:cNvPr descr="../figures/fig1_thermocouple.png" id="11" name="Picture"/>
                    <pic:cNvPicPr>
                      <a:picLocks noChangeArrowheads="1" noChangeAspect="1"/>
                    </pic:cNvPicPr>
                  </pic:nvPicPr>
                  <pic:blipFill>
                    <a:blip r:embed="rId9"/>
                    <a:stretch>
                      <a:fillRect/>
                    </a:stretch>
                  </pic:blipFill>
                  <pic:spPr bwMode="auto">
                    <a:xfrm>
                      <a:off x="0" y="0"/>
                      <a:ext cx="5334000" cy="3532469"/>
                    </a:xfrm>
                    <a:prstGeom prst="rect">
                      <a:avLst/>
                    </a:prstGeom>
                    <a:noFill/>
                    <a:ln w="9525">
                      <a:noFill/>
                      <a:headEnd/>
                      <a:tailEnd/>
                    </a:ln>
                  </pic:spPr>
                </pic:pic>
              </a:graphicData>
            </a:graphic>
          </wp:inline>
        </w:drawing>
      </w:r>
    </w:p>
    <w:p>
      <w:pPr>
        <w:pStyle w:val="ImageCaption"/>
      </w:pPr>
      <w:r>
        <w:t xml:space="preserve">Supplementary Figure S1</w:t>
      </w:r>
    </w:p>
    <w:p>
      <w:pPr>
        <w:pStyle w:val="BodyText"/>
      </w:pPr>
      <w:r>
        <w:rPr>
          <w:b/>
          <w:bCs/>
        </w:rPr>
        <w:t xml:space="preserve">Supplementary Figure S1:</w:t>
      </w:r>
      <w:r>
        <w:t xml:space="preserve"> </w:t>
      </w:r>
      <w:r>
        <w:t xml:space="preserve">Schematic (drawn by the authors, not to scale) of a thermoelectric p–n couple. Heat flows from the hot to the cold side; the majority carriers of each leg (holes in the p-type leg, electrons in the n-type leg) diffuse from the hot to the cold end, which gives rise to an open-circuit Seebeck voltage</w:t>
      </w:r>
      <w:r>
        <w:t xml:space="preserve"> </w:t>
      </w:r>
      <w:r>
        <w:rPr>
          <w:i/>
          <w:iCs/>
        </w:rPr>
        <w:t xml:space="preserve">V</w:t>
      </w:r>
      <w:r>
        <w:rPr>
          <w:vertAlign w:val="subscript"/>
        </w:rPr>
        <w:t xml:space="preserve">oc</w:t>
      </w:r>
      <w:r>
        <w:t xml:space="preserve">. The two legs are joined in series by electrodes and drive a current</w:t>
      </w:r>
      <w:r>
        <w:t xml:space="preserve"> </w:t>
      </w:r>
      <w:r>
        <w:rPr>
          <w:i/>
          <w:iCs/>
        </w:rPr>
        <w:t xml:space="preserve">I</w:t>
      </w:r>
      <w:r>
        <w:t xml:space="preserve"> </w:t>
      </w:r>
      <w:r>
        <w:t xml:space="preserve">(conventional direction) through the load</w:t>
      </w:r>
      <w:r>
        <w:t xml:space="preserve"> </w:t>
      </w:r>
      <w:r>
        <w:rPr>
          <w:i/>
          <w:iCs/>
        </w:rPr>
        <w:t xml:space="preserve">R</w:t>
      </w:r>
      <w:r>
        <w:rPr>
          <w:vertAlign w:val="subscript"/>
        </w:rPr>
        <w:t xml:space="preserve">L</w:t>
      </w:r>
      <w:r>
        <w:t xml:space="preserve">.</w:t>
      </w:r>
    </w:p>
    <w:p>
      <w:pPr>
        <w:pStyle w:val="BodyText"/>
      </w:pPr>
      <w:r>
        <w:t xml:space="preserve">In Eq. (1), the numerator S</w:t>
      </w:r>
      <w:r>
        <w:rPr>
          <w:vertAlign w:val="superscript"/>
        </w:rPr>
        <w:t xml:space="preserve">2</w:t>
      </w:r>
      <w:r>
        <w:rPr>
          <w:i/>
          <w:iCs/>
        </w:rPr>
        <w:t xml:space="preserve">σ</w:t>
      </w:r>
      <w:r>
        <w:t xml:space="preserve"> </w:t>
      </w:r>
      <w:r>
        <w:t xml:space="preserve">is the power factor (PF), a measure of electrical power output, whereas</w:t>
      </w:r>
      <w:r>
        <w:t xml:space="preserve"> </w:t>
      </w:r>
      <w:r>
        <w:rPr>
          <w:i/>
          <w:iCs/>
        </w:rPr>
        <w:t xml:space="preserve">κ</w:t>
      </w:r>
      <w:r>
        <w:t xml:space="preserve"> </w:t>
      </w:r>
      <w:r>
        <w:t xml:space="preserve">comprises an electronic part (</w:t>
      </w:r>
      <w:r>
        <w:rPr>
          <w:i/>
          <w:iCs/>
        </w:rPr>
        <w:t xml:space="preserve">κ</w:t>
      </w:r>
      <w:r>
        <w:rPr>
          <w:vertAlign w:val="subscript"/>
        </w:rPr>
        <w:t xml:space="preserve">e</w:t>
      </w:r>
      <w:r>
        <w:t xml:space="preserve">) controlled by charge carriers and a lattice part (</w:t>
      </w:r>
      <w:r>
        <w:rPr>
          <w:i/>
          <w:iCs/>
        </w:rPr>
        <w:t xml:space="preserve">κ</w:t>
      </w:r>
      <w:r>
        <w:rPr>
          <w:vertAlign w:val="subscript"/>
        </w:rPr>
        <w:t xml:space="preserve">l</w:t>
      </w:r>
      <w:r>
        <w:t xml:space="preserve">) controlled by phonons. High zT requires S</w:t>
      </w:r>
      <w:r>
        <w:rPr>
          <w:vertAlign w:val="superscript"/>
        </w:rPr>
        <w:t xml:space="preserve">2</w:t>
      </w:r>
      <w:r>
        <w:rPr>
          <w:i/>
          <w:iCs/>
        </w:rPr>
        <w:t xml:space="preserve">σ</w:t>
      </w:r>
      <w:r>
        <w:t xml:space="preserve"> </w:t>
      </w:r>
      <w:r>
        <w:t xml:space="preserve">to be maximized and</w:t>
      </w:r>
      <w:r>
        <w:t xml:space="preserve"> </w:t>
      </w:r>
      <w:r>
        <w:rPr>
          <w:i/>
          <w:iCs/>
        </w:rPr>
        <w:t xml:space="preserve">κ</w:t>
      </w:r>
      <w:r>
        <w:t xml:space="preserve"> </w:t>
      </w:r>
      <w:r>
        <w:t xml:space="preserve">minimized simultaneously, which is inherently difficult because these quantities are interrelated through the carrier concentration (Supplementary Figure S2)</w:t>
      </w:r>
      <w:r>
        <w:rPr>
          <w:vertAlign w:val="superscript"/>
        </w:rPr>
        <w:t xml:space="preserve">3</w:t>
      </w:r>
      <w:r>
        <w:t xml:space="preserve">. As carrier concentration increases,</w:t>
      </w:r>
      <w:r>
        <w:t xml:space="preserve"> </w:t>
      </w:r>
      <w:r>
        <w:rPr>
          <w:i/>
          <w:iCs/>
        </w:rPr>
        <w:t xml:space="preserve">σ</w:t>
      </w:r>
      <w:r>
        <w:t xml:space="preserve"> </w:t>
      </w:r>
      <w:r>
        <w:t xml:space="preserve">increases while S decreases, because the average entropy per carrier decreases. In addition, the Wiedemann–Franz law links</w:t>
      </w:r>
      <w:r>
        <w:t xml:space="preserve"> </w:t>
      </w:r>
      <w:r>
        <w:rPr>
          <w:i/>
          <w:iCs/>
        </w:rPr>
        <w:t xml:space="preserve">κ</w:t>
      </w:r>
      <w:r>
        <w:rPr>
          <w:vertAlign w:val="subscript"/>
        </w:rPr>
        <w:t xml:space="preserve">e</w:t>
      </w:r>
      <w:r>
        <w:t xml:space="preserve"> </w:t>
      </w:r>
      <w:r>
        <w:t xml:space="preserve">to</w:t>
      </w:r>
      <w:r>
        <w:t xml:space="preserve"> </w:t>
      </w:r>
      <w:r>
        <w:rPr>
          <w:i/>
          <w:iCs/>
        </w:rPr>
        <w:t xml:space="preserve">σ</w:t>
      </w:r>
      <w:r>
        <w:t xml:space="preserve">:</w:t>
      </w:r>
    </w:p>
    <w:p>
      <w:pPr>
        <w:pStyle w:val="BodyText"/>
      </w:pPr>
      <m:oMath>
        <m:sSub>
          <m:e>
            <m:r>
              <m:t>κ</m:t>
            </m:r>
          </m:e>
          <m:sub>
            <m:r>
              <m:t>e</m:t>
            </m:r>
          </m:sub>
        </m:sSub>
        <m:r>
          <m:rPr>
            <m:sty m:val="p"/>
          </m:rPr>
          <m:t>=</m:t>
        </m:r>
        <m:r>
          <m:t>L</m:t>
        </m:r>
        <m:r>
          <m:t>σ</m:t>
        </m:r>
        <m:r>
          <m:t>T</m:t>
        </m:r>
      </m:oMath>
      <w:r>
        <w:t xml:space="preserve"> </w:t>
      </w:r>
      <w:r>
        <w:t xml:space="preserve">(S1)</w:t>
      </w:r>
    </w:p>
    <w:p>
      <w:pPr>
        <w:pStyle w:val="BodyText"/>
      </w:pPr>
      <w:r>
        <w:t xml:space="preserve">where L is the Lorenz number. The only transport parameter that can be reduced relatively independently is</w:t>
      </w:r>
      <w:r>
        <w:t xml:space="preserve"> </w:t>
      </w:r>
      <w:r>
        <w:rPr>
          <w:i/>
          <w:iCs/>
        </w:rPr>
        <w:t xml:space="preserve">κ</w:t>
      </w:r>
      <w:r>
        <w:rPr>
          <w:vertAlign w:val="subscript"/>
        </w:rPr>
        <w:t xml:space="preserve">l</w:t>
      </w:r>
      <w:r>
        <w:t xml:space="preserve">, which has driven research toward materials with complex crystal structures, heavy atoms and large unit cells that scatter phonons efficiently.</w:t>
      </w:r>
    </w:p>
    <w:p>
      <w:pPr>
        <w:pStyle w:val="CaptionedFigure"/>
      </w:pPr>
      <w:r>
        <w:drawing>
          <wp:inline>
            <wp:extent cx="5334000" cy="4334404"/>
            <wp:effectExtent b="0" l="0" r="0" t="0"/>
            <wp:docPr descr="Supplementary Figure S2" title="" id="13" name="Picture"/>
            <a:graphic>
              <a:graphicData uri="http://schemas.openxmlformats.org/drawingml/2006/picture">
                <pic:pic>
                  <pic:nvPicPr>
                    <pic:cNvPr descr="../figures/fig2_carrier_concentration.png" id="14" name="Picture"/>
                    <pic:cNvPicPr>
                      <a:picLocks noChangeArrowheads="1" noChangeAspect="1"/>
                    </pic:cNvPicPr>
                  </pic:nvPicPr>
                  <pic:blipFill>
                    <a:blip r:embed="rId12"/>
                    <a:stretch>
                      <a:fillRect/>
                    </a:stretch>
                  </pic:blipFill>
                  <pic:spPr bwMode="auto">
                    <a:xfrm>
                      <a:off x="0" y="0"/>
                      <a:ext cx="5334000" cy="4334404"/>
                    </a:xfrm>
                    <a:prstGeom prst="rect">
                      <a:avLst/>
                    </a:prstGeom>
                    <a:noFill/>
                    <a:ln w="9525">
                      <a:noFill/>
                      <a:headEnd/>
                      <a:tailEnd/>
                    </a:ln>
                  </pic:spPr>
                </pic:pic>
              </a:graphicData>
            </a:graphic>
          </wp:inline>
        </w:drawing>
      </w:r>
    </w:p>
    <w:p>
      <w:pPr>
        <w:pStyle w:val="ImageCaption"/>
      </w:pPr>
      <w:r>
        <w:t xml:space="preserve">Supplementary Figure S2</w:t>
      </w:r>
    </w:p>
    <w:p>
      <w:pPr>
        <w:pStyle w:val="BodyText"/>
      </w:pPr>
      <w:r>
        <w:rPr>
          <w:b/>
          <w:bCs/>
        </w:rPr>
        <w:t xml:space="preserve">Supplementary Figure S2:</w:t>
      </w:r>
      <w:r>
        <w:t xml:space="preserve"> </w:t>
      </w:r>
      <w:r>
        <w:t xml:space="preserve">Schematic (drawn by the authors, arbitrary units) of the dependence of the Seebeck coefficient S, the electrical conductivity</w:t>
      </w:r>
      <w:r>
        <w:t xml:space="preserve"> </w:t>
      </w:r>
      <w:r>
        <w:rPr>
          <w:i/>
          <w:iCs/>
        </w:rPr>
        <w:t xml:space="preserve">σ</w:t>
      </w:r>
      <w:r>
        <w:t xml:space="preserve">, the thermal conductivity</w:t>
      </w:r>
      <w:r>
        <w:t xml:space="preserve"> </w:t>
      </w:r>
      <w:r>
        <w:rPr>
          <w:i/>
          <w:iCs/>
        </w:rPr>
        <w:t xml:space="preserve">κ</w:t>
      </w:r>
      <w:r>
        <w:t xml:space="preserve"> </w:t>
      </w:r>
      <w:r>
        <w:t xml:space="preserve">(electronic</w:t>
      </w:r>
      <w:r>
        <w:t xml:space="preserve"> </w:t>
      </w:r>
      <w:r>
        <w:rPr>
          <w:i/>
          <w:iCs/>
        </w:rPr>
        <w:t xml:space="preserve">κ</w:t>
      </w:r>
      <w:r>
        <w:rPr>
          <w:vertAlign w:val="subscript"/>
        </w:rPr>
        <w:t xml:space="preserve">e</w:t>
      </w:r>
      <w:r>
        <w:t xml:space="preserve"> </w:t>
      </w:r>
      <w:r>
        <w:t xml:space="preserve">and lattice</w:t>
      </w:r>
      <w:r>
        <w:t xml:space="preserve"> </w:t>
      </w:r>
      <w:r>
        <w:rPr>
          <w:i/>
          <w:iCs/>
        </w:rPr>
        <w:t xml:space="preserve">κ</w:t>
      </w:r>
      <w:r>
        <w:rPr>
          <w:vertAlign w:val="subscript"/>
        </w:rPr>
        <w:t xml:space="preserve">l</w:t>
      </w:r>
      <w:r>
        <w:t xml:space="preserve">) and the figure of merit zT on the carrier concentration</w:t>
      </w:r>
      <w:r>
        <w:t xml:space="preserve"> </w:t>
      </w:r>
      <w:r>
        <w:rPr>
          <w:i/>
          <w:iCs/>
        </w:rPr>
        <w:t xml:space="preserve">n</w:t>
      </w:r>
      <w:r>
        <w:t xml:space="preserve"> </w:t>
      </w:r>
      <w:r>
        <w:t xml:space="preserve">(logarithmic axis), drawn from a simple model of the dependence described by Snyder and Toberer</w:t>
      </w:r>
      <w:r>
        <w:rPr>
          <w:vertAlign w:val="superscript"/>
        </w:rPr>
        <w:t xml:space="preserve">3</w:t>
      </w:r>
      <w:r>
        <w:t xml:space="preserve"> </w:t>
      </w:r>
      <w:r>
        <w:t xml:space="preserve">(S falls with</w:t>
      </w:r>
      <w:r>
        <w:t xml:space="preserve"> </w:t>
      </w:r>
      <w:r>
        <w:rPr>
          <w:i/>
          <w:iCs/>
        </w:rPr>
        <w:t xml:space="preserve">n</w:t>
      </w:r>
      <w:r>
        <w:t xml:space="preserve">,</w:t>
      </w:r>
      <w:r>
        <w:t xml:space="preserve"> </w:t>
      </w:r>
      <w:r>
        <w:rPr>
          <w:i/>
          <w:iCs/>
        </w:rPr>
        <w:t xml:space="preserve">σ</w:t>
      </w:r>
      <w:r>
        <w:t xml:space="preserve"> </w:t>
      </w:r>
      <w:r>
        <w:t xml:space="preserve">is proportional to</w:t>
      </w:r>
      <w:r>
        <w:t xml:space="preserve"> </w:t>
      </w:r>
      <w:r>
        <w:rPr>
          <w:i/>
          <w:iCs/>
        </w:rPr>
        <w:t xml:space="preserve">n</w:t>
      </w:r>
      <w:r>
        <w:t xml:space="preserve">,</w:t>
      </w:r>
      <w:r>
        <w:t xml:space="preserve"> </w:t>
      </w:r>
      <w:r>
        <w:rPr>
          <w:i/>
          <w:iCs/>
        </w:rPr>
        <w:t xml:space="preserve">κ</w:t>
      </w:r>
      <w:r>
        <w:rPr>
          <w:vertAlign w:val="subscript"/>
        </w:rPr>
        <w:t xml:space="preserve">e</w:t>
      </w:r>
      <w:r>
        <w:t xml:space="preserve"> </w:t>
      </w:r>
      <w:r>
        <w:t xml:space="preserve">follows</w:t>
      </w:r>
      <w:r>
        <w:t xml:space="preserve"> </w:t>
      </w:r>
      <w:r>
        <w:rPr>
          <w:i/>
          <w:iCs/>
        </w:rPr>
        <w:t xml:space="preserve">σ</w:t>
      </w:r>
      <w:r>
        <w:t xml:space="preserve"> </w:t>
      </w:r>
      <w:r>
        <w:t xml:space="preserve">by the Wiedemann–Franz law,</w:t>
      </w:r>
      <w:r>
        <w:t xml:space="preserve"> </w:t>
      </w:r>
      <w:r>
        <w:rPr>
          <w:i/>
          <w:iCs/>
        </w:rPr>
        <w:t xml:space="preserve">κ</w:t>
      </w:r>
      <w:r>
        <w:rPr>
          <w:vertAlign w:val="subscript"/>
        </w:rPr>
        <w:t xml:space="preserve">l</w:t>
      </w:r>
      <w:r>
        <w:t xml:space="preserve"> </w:t>
      </w:r>
      <w:r>
        <w:t xml:space="preserve">is constant), not from data. The optimum range,</w:t>
      </w:r>
      <w:r>
        <w:t xml:space="preserve"> </w:t>
      </w:r>
      <w:r>
        <w:t xml:space="preserve">10</w:t>
      </w:r>
      <w:r>
        <w:rPr>
          <w:vertAlign w:val="superscript"/>
        </w:rPr>
        <w:t xml:space="preserve">19</w:t>
      </w:r>
      <w:r>
        <w:t xml:space="preserve"> </w:t>
      </w:r>
      <w:r>
        <w:t xml:space="preserve">to</w:t>
      </w:r>
      <w:r>
        <w:t xml:space="preserve"> </w:t>
      </w:r>
      <w:r>
        <w:t xml:space="preserve">10</w:t>
      </w:r>
      <w:r>
        <w:rPr>
          <w:vertAlign w:val="superscript"/>
        </w:rPr>
        <w:t xml:space="preserve">21</w:t>
      </w:r>
      <w:r>
        <w:t xml:space="preserve"> </w:t>
      </w:r>
      <w:r>
        <w:t xml:space="preserve">cm</w:t>
      </w:r>
      <w:r>
        <w:rPr>
          <w:vertAlign w:val="superscript"/>
        </w:rPr>
        <w:t xml:space="preserve">−3</w:t>
      </w:r>
      <w:r>
        <w:t xml:space="preserve">, is taken from that paper (page</w:t>
      </w:r>
      <w:r>
        <w:t xml:space="preserve"> </w:t>
      </w:r>
      <w:r>
        <w:t xml:space="preserve">105</w:t>
      </w:r>
      <w:r>
        <w:t xml:space="preserve">); the boundaries between insulator, semiconductor and metal are schematic.</w:t>
      </w:r>
    </w:p>
    <w:p>
      <w:pPr>
        <w:pStyle w:val="BodyText"/>
      </w:pPr>
      <w:r>
        <w:t xml:space="preserve">Several strategies approach the PGEC ideal</w:t>
      </w:r>
      <w:r>
        <w:rPr>
          <w:vertAlign w:val="superscript"/>
        </w:rPr>
        <w:t xml:space="preserve">4</w:t>
      </w:r>
      <w:r>
        <w:t xml:space="preserve">. Band convergence aligns multiple band extrema to enhance the density-of-states effective mass and hence S without reducing mobility</w:t>
      </w:r>
      <w:r>
        <w:rPr>
          <w:vertAlign w:val="superscript"/>
        </w:rPr>
        <w:t xml:space="preserve">5</w:t>
      </w:r>
      <w:r>
        <w:t xml:space="preserve">. Nanostructuring introduces grain boundaries that scatter long-wavelength phonons more effectively than charge carriers, reducing</w:t>
      </w:r>
      <w:r>
        <w:t xml:space="preserve"> </w:t>
      </w:r>
      <w:r>
        <w:rPr>
          <w:i/>
          <w:iCs/>
        </w:rPr>
        <w:t xml:space="preserve">κ</w:t>
      </w:r>
      <w:r>
        <w:rPr>
          <w:vertAlign w:val="subscript"/>
        </w:rPr>
        <w:t xml:space="preserve">l</w:t>
      </w:r>
      <w:r>
        <w:t xml:space="preserve"> </w:t>
      </w:r>
      <w:r>
        <w:t xml:space="preserve">while preserving</w:t>
      </w:r>
      <w:r>
        <w:t xml:space="preserve"> </w:t>
      </w:r>
      <w:r>
        <w:rPr>
          <w:i/>
          <w:iCs/>
        </w:rPr>
        <w:t xml:space="preserve">σ</w:t>
      </w:r>
      <w:r>
        <w:rPr>
          <w:vertAlign w:val="superscript"/>
        </w:rPr>
        <w:t xml:space="preserve">6</w:t>
      </w:r>
      <w:r>
        <w:t xml:space="preserve">. Doping or alloying introduces mass and strain fluctuations that scatter phonons over a range of frequencies. Interest has also grown in materials with intrinsic bond anharmonicity: lone-pair electrons (SnSe, BiCuSeO), rattling cations in oversized cages (skutterudites, clathrates) and soft lattice modes (halide perovskites) produce strong anharmonic phonon–phonon interactions and intrinsically low</w:t>
      </w:r>
      <w:r>
        <w:t xml:space="preserve"> </w:t>
      </w:r>
      <w:r>
        <w:rPr>
          <w:i/>
          <w:iCs/>
        </w:rPr>
        <w:t xml:space="preserve">κ</w:t>
      </w:r>
      <w:r>
        <w:rPr>
          <w:vertAlign w:val="subscript"/>
        </w:rPr>
        <w:t xml:space="preserve">l</w:t>
      </w:r>
      <w:r>
        <w:t xml:space="preserve"> </w:t>
      </w:r>
      <w:r>
        <w:t xml:space="preserve">without complex processing</w:t>
      </w:r>
      <w:r>
        <w:rPr>
          <w:vertAlign w:val="superscript"/>
        </w:rPr>
        <w:t xml:space="preserve">7</w:t>
      </w:r>
      <w:r>
        <w:t xml:space="preserve">.</w:t>
      </w:r>
    </w:p>
    <w:bookmarkEnd w:id="15"/>
    <w:bookmarkStart w:id="16" w:name="perovskite-thermoelectric-materials"/>
    <w:p>
      <w:pPr>
        <w:pStyle w:val="Heading3"/>
      </w:pPr>
      <w:r>
        <w:t xml:space="preserve">Perovskite thermoelectric materials</w:t>
      </w:r>
    </w:p>
    <w:p>
      <w:pPr>
        <w:pStyle w:val="FirstParagraph"/>
      </w:pPr>
      <w:r>
        <w:t xml:space="preserve">In ABX</w:t>
      </w:r>
      <w:r>
        <w:rPr>
          <w:vertAlign w:val="subscript"/>
        </w:rPr>
        <w:t xml:space="preserve">3</w:t>
      </w:r>
      <w:r>
        <w:t xml:space="preserve"> </w:t>
      </w:r>
      <w:r>
        <w:t xml:space="preserve">perovskites, A is a larger cation (e.g. Sr, Ca, Ba, Cs), B a smaller cation (e.g. Ti, Mn, Co, Sn) and X an anion (O, Cl, Br, I, S, Se, Te). The ideal cubic structure (space group</w:t>
      </w:r>
      <w:r>
        <w:t xml:space="preserve"> </w:t>
      </w:r>
      <w:r>
        <w:rPr>
          <w:i/>
          <w:iCs/>
        </w:rPr>
        <w:t xml:space="preserve">Pm</w:t>
      </w:r>
      <w:r>
        <w:t xml:space="preserve">3̄</w:t>
      </w:r>
      <w:r>
        <w:rPr>
          <w:i/>
          <w:iCs/>
        </w:rPr>
        <w:t xml:space="preserve">m</w:t>
      </w:r>
      <w:r>
        <w:t xml:space="preserve">) consists of corner-sharing BX</w:t>
      </w:r>
      <w:r>
        <w:rPr>
          <w:vertAlign w:val="subscript"/>
        </w:rPr>
        <w:t xml:space="preserve">6</w:t>
      </w:r>
      <w:r>
        <w:t xml:space="preserve"> </w:t>
      </w:r>
      <w:r>
        <w:t xml:space="preserve">octahedra with the A cation in the cuboctahedral void (Fig. 1). Structural stability is conventionally assessed by the Goldschmidt tolerance factor t and the octahedral factor</w:t>
      </w:r>
      <w:r>
        <w:t xml:space="preserve"> </w:t>
      </w:r>
      <w:r>
        <w:rPr>
          <w:i/>
          <w:iCs/>
        </w:rPr>
        <w:t xml:space="preserve">µ</w:t>
      </w:r>
      <w:r>
        <w:rPr>
          <w:vertAlign w:val="superscript"/>
        </w:rPr>
        <w:t xml:space="preserve">8</w:t>
      </w:r>
      <w:r>
        <w:t xml:space="preserve">:</w:t>
      </w:r>
    </w:p>
    <w:p>
      <w:pPr>
        <w:pStyle w:val="BodyText"/>
      </w:pPr>
      <m:oMath>
        <m:r>
          <m:t>t</m:t>
        </m:r>
        <m:r>
          <m:rPr>
            <m:sty m:val="p"/>
          </m:rPr>
          <m:t>=</m:t>
        </m:r>
        <m:f>
          <m:fPr>
            <m:type m:val="bar"/>
          </m:fPr>
          <m:num>
            <m:sSub>
              <m:e>
                <m:r>
                  <m:t>r</m:t>
                </m:r>
              </m:e>
              <m:sub>
                <m:r>
                  <m:t>A</m:t>
                </m:r>
              </m:sub>
            </m:sSub>
            <m:r>
              <m:rPr>
                <m:sty m:val="p"/>
              </m:rPr>
              <m:t>+</m:t>
            </m:r>
            <m:sSub>
              <m:e>
                <m:r>
                  <m:t>r</m:t>
                </m:r>
              </m:e>
              <m:sub>
                <m:r>
                  <m:t>X</m:t>
                </m:r>
              </m:sub>
            </m:sSub>
          </m:num>
          <m:den>
            <m:rad>
              <m:radPr>
                <m:degHide m:val="on"/>
              </m:radPr>
              <m:deg/>
              <m:e>
                <m:r>
                  <m:t>2</m:t>
                </m:r>
              </m:e>
            </m:rad>
            <m:d>
              <m:dPr>
                <m:begChr m:val="("/>
                <m:sepChr m:val=""/>
                <m:endChr m:val=")"/>
                <m:grow/>
              </m:dPr>
              <m:e>
                <m:sSub>
                  <m:e>
                    <m:r>
                      <m:t>r</m:t>
                    </m:r>
                  </m:e>
                  <m:sub>
                    <m:r>
                      <m:t>B</m:t>
                    </m:r>
                  </m:sub>
                </m:sSub>
                <m:r>
                  <m:rPr>
                    <m:sty m:val="p"/>
                  </m:rPr>
                  <m:t>+</m:t>
                </m:r>
                <m:sSub>
                  <m:e>
                    <m:r>
                      <m:t>r</m:t>
                    </m:r>
                  </m:e>
                  <m:sub>
                    <m:r>
                      <m:t>X</m:t>
                    </m:r>
                  </m:sub>
                </m:sSub>
              </m:e>
            </m:d>
          </m:den>
        </m:f>
        <m:r>
          <m:rPr>
            <m:sty m:val="p"/>
          </m:rPr>
          <m:t>,</m:t>
        </m:r>
        <m:r>
          <m:t> </m:t>
        </m:r>
        <m:r>
          <m:t> </m:t>
        </m:r>
        <m:r>
          <m:t>µ</m:t>
        </m:r>
        <m:r>
          <m:rPr>
            <m:sty m:val="p"/>
          </m:rPr>
          <m:t>=</m:t>
        </m:r>
        <m:f>
          <m:fPr>
            <m:type m:val="bar"/>
          </m:fPr>
          <m:num>
            <m:sSub>
              <m:e>
                <m:r>
                  <m:t>r</m:t>
                </m:r>
              </m:e>
              <m:sub>
                <m:r>
                  <m:t>B</m:t>
                </m:r>
              </m:sub>
            </m:sSub>
          </m:num>
          <m:den>
            <m:sSub>
              <m:e>
                <m:r>
                  <m:t>r</m:t>
                </m:r>
              </m:e>
              <m:sub>
                <m:r>
                  <m:t>X</m:t>
                </m:r>
              </m:sub>
            </m:sSub>
          </m:den>
        </m:f>
      </m:oMath>
      <w:r>
        <w:t xml:space="preserve"> </w:t>
      </w:r>
      <w:r>
        <w:t xml:space="preserve">(S2)</w:t>
      </w:r>
    </w:p>
    <w:p>
      <w:pPr>
        <w:pStyle w:val="BodyText"/>
      </w:pPr>
      <w:r>
        <w:t xml:space="preserve">where r</w:t>
      </w:r>
      <w:r>
        <w:rPr>
          <w:vertAlign w:val="subscript"/>
        </w:rPr>
        <w:t xml:space="preserve">A</w:t>
      </w:r>
      <w:r>
        <w:t xml:space="preserve">, r</w:t>
      </w:r>
      <w:r>
        <w:rPr>
          <w:vertAlign w:val="subscript"/>
        </w:rPr>
        <w:t xml:space="preserve">B</w:t>
      </w:r>
      <w:r>
        <w:t xml:space="preserve"> </w:t>
      </w:r>
      <w:r>
        <w:t xml:space="preserve">and r</w:t>
      </w:r>
      <w:r>
        <w:rPr>
          <w:vertAlign w:val="subscript"/>
        </w:rPr>
        <w:t xml:space="preserve">X</w:t>
      </w:r>
      <w:r>
        <w:t xml:space="preserve"> </w:t>
      </w:r>
      <w:r>
        <w:t xml:space="preserve">are the ionic radii of the A-, B- and X-site ions. The tolerance factor is an imperfect classifier of perovskite formation: Bartel et al.</w:t>
      </w:r>
      <w:r>
        <w:rPr>
          <w:vertAlign w:val="superscript"/>
        </w:rPr>
        <w:t xml:space="preserve">9</w:t>
      </w:r>
      <w:r>
        <w:t xml:space="preserve"> </w:t>
      </w:r>
      <w:r>
        <w:t xml:space="preserve">proposed a revised tolerance factor</w:t>
      </w:r>
      <w:r>
        <w:t xml:space="preserve"> </w:t>
      </w:r>
      <w:r>
        <w:rPr>
          <w:i/>
          <w:iCs/>
        </w:rPr>
        <w:t xml:space="preserve">τ</w:t>
      </w:r>
      <w:r>
        <w:t xml:space="preserve"> </w:t>
      </w:r>
      <w:r>
        <w:t xml:space="preserve">that accounts for oxidation state and classifies both oxides and halides more accurately than t. While tolerance factors provide useful first-pass estimates, the Materials Project already provides DFT-computed formation energies and energies above the convex hull, which are more reliable stability indicators; this study therefore uses Materials Project stability data directly rather than geometric criteria.</w:t>
      </w:r>
    </w:p>
    <w:p>
      <w:pPr>
        <w:pStyle w:val="BodyText"/>
      </w:pPr>
      <w:r>
        <w:rPr>
          <w:i/>
          <w:iCs/>
        </w:rPr>
        <w:t xml:space="preserve">Oxide perovskites.</w:t>
      </w:r>
      <w:r>
        <w:t xml:space="preserve"> </w:t>
      </w:r>
      <w:r>
        <w:t xml:space="preserve">Oxide perovskites have been studied as thermoelectrics owing to their chemical stability at high temperature and the abundance of their constituent elements. Heavily La- or Nb-doped SrTiO</w:t>
      </w:r>
      <w:r>
        <w:rPr>
          <w:vertAlign w:val="subscript"/>
        </w:rPr>
        <w:t xml:space="preserve">3</w:t>
      </w:r>
      <w:r>
        <w:t xml:space="preserve"> </w:t>
      </w:r>
      <w:r>
        <w:t xml:space="preserve">single crystals are n-type, with Seebeck coefficients of</w:t>
      </w:r>
      <w:r>
        <w:t xml:space="preserve"> </w:t>
      </w:r>
      <w:r>
        <w:t xml:space="preserve">−420</w:t>
      </w:r>
      <w:r>
        <w:t xml:space="preserve"> </w:t>
      </w:r>
      <w:r>
        <w:t xml:space="preserve">to</w:t>
      </w:r>
      <w:r>
        <w:t xml:space="preserve"> </w:t>
      </w:r>
      <w:r>
        <w:t xml:space="preserve">−150</w:t>
      </w:r>
      <w:r>
        <w:t xml:space="preserve"> </w:t>
      </w:r>
      <w:r>
        <w:rPr>
          <w:i/>
          <w:iCs/>
        </w:rPr>
        <w:t xml:space="preserve">µ</w:t>
      </w:r>
      <w:r>
        <w:t xml:space="preserve">V K</w:t>
      </w:r>
      <w:r>
        <w:rPr>
          <w:vertAlign w:val="superscript"/>
        </w:rPr>
        <w:t xml:space="preserve">−1</w:t>
      </w:r>
      <w:r>
        <w:t xml:space="preserve"> </w:t>
      </w:r>
      <w:r>
        <w:t xml:space="preserve">and a thermal conductivity of</w:t>
      </w:r>
      <w:r>
        <w:t xml:space="preserve"> </w:t>
      </w:r>
      <w:r>
        <w:t xml:space="preserve">9.1</w:t>
      </w:r>
      <w:r>
        <w:t xml:space="preserve"> </w:t>
      </w:r>
      <w:r>
        <w:t xml:space="preserve">to</w:t>
      </w:r>
      <w:r>
        <w:t xml:space="preserve"> </w:t>
      </w:r>
      <w:r>
        <w:t xml:space="preserve">12</w:t>
      </w:r>
      <w:r>
        <w:t xml:space="preserve"> </w:t>
      </w:r>
      <w:r>
        <w:t xml:space="preserve">W m</w:t>
      </w:r>
      <w:r>
        <w:rPr>
          <w:vertAlign w:val="superscript"/>
        </w:rPr>
        <w:t xml:space="preserve">−1</w:t>
      </w:r>
      <w:r>
        <w:t xml:space="preserve"> </w:t>
      </w:r>
      <w:r>
        <w:t xml:space="preserve">K</w:t>
      </w:r>
      <w:r>
        <w:rPr>
          <w:vertAlign w:val="superscript"/>
        </w:rPr>
        <w:t xml:space="preserve">−1</w:t>
      </w:r>
      <w:r>
        <w:t xml:space="preserve"> </w:t>
      </w:r>
      <w:r>
        <w:t xml:space="preserve">at room temperature, similar to that of undoped SrTiO</w:t>
      </w:r>
      <w:r>
        <w:rPr>
          <w:vertAlign w:val="subscript"/>
        </w:rPr>
        <w:t xml:space="preserve">3</w:t>
      </w:r>
      <w:r>
        <w:t xml:space="preserve"> </w:t>
      </w:r>
      <w:r>
        <w:t xml:space="preserve">and falling as</w:t>
      </w:r>
      <w:r>
        <w:t xml:space="preserve"> </w:t>
      </w:r>
      <w:r>
        <w:rPr>
          <w:i/>
          <w:iCs/>
        </w:rPr>
        <w:t xml:space="preserve">T</w:t>
      </w:r>
      <w:r>
        <w:rPr>
          <w:vertAlign w:val="superscript"/>
        </w:rPr>
        <w:t xml:space="preserve">−1</w:t>
      </w:r>
      <w:r>
        <w:t xml:space="preserve"> </w:t>
      </w:r>
      <w:r>
        <w:t xml:space="preserve">(phonon conduction); their zT is</w:t>
      </w:r>
      <w:r>
        <w:t xml:space="preserve"> </w:t>
      </w:r>
      <w:r>
        <w:t xml:space="preserve">0.02</w:t>
      </w:r>
      <w:r>
        <w:t xml:space="preserve"> </w:t>
      </w:r>
      <w:r>
        <w:t xml:space="preserve">to</w:t>
      </w:r>
      <w:r>
        <w:t xml:space="preserve"> </w:t>
      </w:r>
      <w:r>
        <w:t xml:space="preserve">0.08</w:t>
      </w:r>
      <w:r>
        <w:t xml:space="preserve"> </w:t>
      </w:r>
      <w:r>
        <w:t xml:space="preserve">at room temperature and reaches</w:t>
      </w:r>
      <w:r>
        <w:t xml:space="preserve"> </w:t>
      </w:r>
      <w:r>
        <w:t xml:space="preserve">0.27</w:t>
      </w:r>
      <w:r>
        <w:t xml:space="preserve"> </w:t>
      </w:r>
      <w:r>
        <w:t xml:space="preserve">at</w:t>
      </w:r>
      <w:r>
        <w:t xml:space="preserve"> </w:t>
      </w:r>
      <w:r>
        <w:t xml:space="preserve">1073</w:t>
      </w:r>
      <w:r>
        <w:t xml:space="preserve"> </w:t>
      </w:r>
      <w:r>
        <w:t xml:space="preserve">K</w:t>
      </w:r>
      <w:r>
        <w:rPr>
          <w:vertAlign w:val="superscript"/>
        </w:rPr>
        <w:t xml:space="preserve">10</w:t>
      </w:r>
      <w:r>
        <w:t xml:space="preserve">. CaMnO</w:t>
      </w:r>
      <w:r>
        <w:rPr>
          <w:vertAlign w:val="subscript"/>
        </w:rPr>
        <w:t xml:space="preserve">3</w:t>
      </w:r>
      <w:r>
        <w:t xml:space="preserve"> </w:t>
      </w:r>
      <w:r>
        <w:t xml:space="preserve">has a Seebeck coefficient of about</w:t>
      </w:r>
      <w:r>
        <w:t xml:space="preserve"> </w:t>
      </w:r>
      <w:r>
        <w:t xml:space="preserve">−350</w:t>
      </w:r>
      <w:r>
        <w:t xml:space="preserve"> </w:t>
      </w:r>
      <w:r>
        <w:rPr>
          <w:i/>
          <w:iCs/>
        </w:rPr>
        <w:t xml:space="preserve">µ</w:t>
      </w:r>
      <w:r>
        <w:t xml:space="preserve">V K</w:t>
      </w:r>
      <w:r>
        <w:rPr>
          <w:vertAlign w:val="superscript"/>
        </w:rPr>
        <w:t xml:space="preserve">−1</w:t>
      </w:r>
      <w:r>
        <w:t xml:space="preserve"> </w:t>
      </w:r>
      <w:r>
        <w:t xml:space="preserve">but its resistivity is too high; substituting Yb for part of the Ca (Ca</w:t>
      </w:r>
      <w:r>
        <w:rPr>
          <w:vertAlign w:val="subscript"/>
        </w:rPr>
        <w:t xml:space="preserve">0.95</w:t>
      </w:r>
      <w:r>
        <w:t xml:space="preserve">Yb</w:t>
      </w:r>
      <w:r>
        <w:rPr>
          <w:vertAlign w:val="subscript"/>
        </w:rPr>
        <w:t xml:space="preserve">0.05</w:t>
      </w:r>
      <w:r>
        <w:t xml:space="preserve">MnO</w:t>
      </w:r>
      <w:r>
        <w:rPr>
          <w:vertAlign w:val="subscript"/>
        </w:rPr>
        <w:t xml:space="preserve">3</w:t>
      </w:r>
      <w:r>
        <w:t xml:space="preserve">) raised zT at</w:t>
      </w:r>
      <w:r>
        <w:t xml:space="preserve"> </w:t>
      </w:r>
      <w:r>
        <w:t xml:space="preserve">1000</w:t>
      </w:r>
      <w:r>
        <w:t xml:space="preserve"> </w:t>
      </w:r>
      <w:r>
        <w:t xml:space="preserve">K by a factor of</w:t>
      </w:r>
      <w:r>
        <w:t xml:space="preserve"> </w:t>
      </w:r>
      <w:r>
        <w:t xml:space="preserve">4</w:t>
      </w:r>
      <w:r>
        <w:t xml:space="preserve"> </w:t>
      </w:r>
      <w:r>
        <w:t xml:space="preserve">to</w:t>
      </w:r>
      <w:r>
        <w:t xml:space="preserve"> </w:t>
      </w:r>
      <w:r>
        <w:t xml:space="preserve">0.2</w:t>
      </w:r>
      <w:r>
        <w:rPr>
          <w:vertAlign w:val="superscript"/>
        </w:rPr>
        <w:t xml:space="preserve">11</w:t>
      </w:r>
      <w:r>
        <w:t xml:space="preserve">. LaCoO</w:t>
      </w:r>
      <w:r>
        <w:rPr>
          <w:vertAlign w:val="subscript"/>
        </w:rPr>
        <w:t xml:space="preserve">3</w:t>
      </w:r>
      <w:r>
        <w:t xml:space="preserve"> </w:t>
      </w:r>
      <w:r>
        <w:t xml:space="preserve">and its Sr-doped derivatives are p-type, with large Seebeck coefficients but modest zT</w:t>
      </w:r>
      <w:r>
        <w:rPr>
          <w:vertAlign w:val="superscript"/>
        </w:rPr>
        <w:t xml:space="preserve">12</w:t>
      </w:r>
      <w:r>
        <w:t xml:space="preserve">.</w:t>
      </w:r>
    </w:p>
    <w:p>
      <w:pPr>
        <w:pStyle w:val="BodyText"/>
      </w:pPr>
      <w:r>
        <w:rPr>
          <w:i/>
          <w:iCs/>
        </w:rPr>
        <w:t xml:space="preserve">Halide perovskites.</w:t>
      </w:r>
      <w:r>
        <w:t xml:space="preserve"> </w:t>
      </w:r>
      <w:r>
        <w:t xml:space="preserve">Following their success in photovoltaics, halide perovskites have entered the thermoelectric field. CsSnI</w:t>
      </w:r>
      <w:r>
        <w:rPr>
          <w:vertAlign w:val="subscript"/>
        </w:rPr>
        <w:t xml:space="preserve">3</w:t>
      </w:r>
      <w:r>
        <w:t xml:space="preserve"> </w:t>
      </w:r>
      <w:r>
        <w:t xml:space="preserve">and related all-inorganic halides exhibit lattice thermal conductivity below</w:t>
      </w:r>
      <w:r>
        <w:t xml:space="preserve"> </w:t>
      </w:r>
      <w:r>
        <w:t xml:space="preserve">0.5</w:t>
      </w:r>
      <w:r>
        <w:t xml:space="preserve"> </w:t>
      </w:r>
      <w:r>
        <w:t xml:space="preserve">W m</w:t>
      </w:r>
      <w:r>
        <w:rPr>
          <w:vertAlign w:val="superscript"/>
        </w:rPr>
        <w:t xml:space="preserve">−1</w:t>
      </w:r>
      <w:r>
        <w:t xml:space="preserve"> </w:t>
      </w:r>
      <w:r>
        <w:t xml:space="preserve">K</w:t>
      </w:r>
      <w:r>
        <w:rPr>
          <w:vertAlign w:val="superscript"/>
        </w:rPr>
        <w:t xml:space="preserve">−1</w:t>
      </w:r>
      <w:r>
        <w:t xml:space="preserve"> </w:t>
      </w:r>
      <w:r>
        <w:t xml:space="preserve">arising from soft, anharmonic vibrations and cation rattling in the halide cage</w:t>
      </w:r>
      <w:r>
        <w:rPr>
          <w:vertAlign w:val="superscript"/>
        </w:rPr>
        <w:t xml:space="preserve">13,14</w:t>
      </w:r>
      <w:r>
        <w:t xml:space="preserve">, but experimental validation of high zT has been limited by the instability of tin-based compounds under ambient conditions</w:t>
      </w:r>
      <w:r>
        <w:rPr>
          <w:vertAlign w:val="superscript"/>
        </w:rPr>
        <w:t xml:space="preserve">15</w:t>
      </w:r>
      <w:r>
        <w:t xml:space="preserve">. In hybrid organic–inorganic perovskites such as MASnI</w:t>
      </w:r>
      <w:r>
        <w:rPr>
          <w:vertAlign w:val="subscript"/>
        </w:rPr>
        <w:t xml:space="preserve">3</w:t>
      </w:r>
      <w:r>
        <w:t xml:space="preserve">, the rotational freedom of the organic cation further complicates transport and is difficult to encode in compositional feature vectors.</w:t>
      </w:r>
    </w:p>
    <w:p>
      <w:pPr>
        <w:pStyle w:val="BodyText"/>
      </w:pPr>
      <w:r>
        <w:rPr>
          <w:i/>
          <w:iCs/>
        </w:rPr>
        <w:t xml:space="preserve">Chalcogenides.</w:t>
      </w:r>
      <w:r>
        <w:t xml:space="preserve"> </w:t>
      </w:r>
      <w:r>
        <w:t xml:space="preserve">Chalcogenide perovskites (e.g. BaZrS</w:t>
      </w:r>
      <w:r>
        <w:rPr>
          <w:vertAlign w:val="subscript"/>
        </w:rPr>
        <w:t xml:space="preserve">3</w:t>
      </w:r>
      <w:r>
        <w:t xml:space="preserve">, BaZrSe</w:t>
      </w:r>
      <w:r>
        <w:rPr>
          <w:vertAlign w:val="subscript"/>
        </w:rPr>
        <w:t xml:space="preserve">3</w:t>
      </w:r>
      <w:r>
        <w:t xml:space="preserve">) and related ternary chalcogenides are attractive lead-free targets because they combine earth-abundant elements with heavy anions and low thermal conductivity</w:t>
      </w:r>
      <w:r>
        <w:rPr>
          <w:vertAlign w:val="superscript"/>
        </w:rPr>
        <w:t xml:space="preserve">16</w:t>
      </w:r>
      <w:r>
        <w:t xml:space="preserve">.</w:t>
      </w:r>
    </w:p>
    <w:bookmarkEnd w:id="16"/>
    <w:bookmarkStart w:id="17" w:name="X0664f7007db97bc05ec7e61e6e33819ed746b38"/>
    <w:p>
      <w:pPr>
        <w:pStyle w:val="Heading3"/>
      </w:pPr>
      <w:r>
        <w:t xml:space="preserve">Computational methods and materials databases</w:t>
      </w:r>
    </w:p>
    <w:p>
      <w:pPr>
        <w:pStyle w:val="FirstParagraph"/>
      </w:pPr>
      <w:r>
        <w:t xml:space="preserve">The conventional computational route to thermoelectric properties begins with a DFT band structure from codes such as VASP</w:t>
      </w:r>
      <w:r>
        <w:rPr>
          <w:vertAlign w:val="superscript"/>
        </w:rPr>
        <w:t xml:space="preserve">17</w:t>
      </w:r>
      <w:r>
        <w:t xml:space="preserve"> </w:t>
      </w:r>
      <w:r>
        <w:t xml:space="preserve">or Quantum ESPRESSO</w:t>
      </w:r>
      <w:r>
        <w:rPr>
          <w:vertAlign w:val="superscript"/>
        </w:rPr>
        <w:t xml:space="preserve">18</w:t>
      </w:r>
      <w:r>
        <w:t xml:space="preserve">. Electronic transport coefficients (S,</w:t>
      </w:r>
      <w:r>
        <w:t xml:space="preserve"> </w:t>
      </w:r>
      <w:r>
        <w:rPr>
          <w:i/>
          <w:iCs/>
        </w:rPr>
        <w:t xml:space="preserve">σ</w:t>
      </w:r>
      <w:r>
        <w:t xml:space="preserve">/</w:t>
      </w:r>
      <w:r>
        <w:rPr>
          <w:i/>
          <w:iCs/>
        </w:rPr>
        <w:t xml:space="preserve">τ</w:t>
      </w:r>
      <w:r>
        <w:t xml:space="preserve">,</w:t>
      </w:r>
      <w:r>
        <w:t xml:space="preserve"> </w:t>
      </w:r>
      <w:r>
        <w:rPr>
          <w:i/>
          <w:iCs/>
        </w:rPr>
        <w:t xml:space="preserve">κ</w:t>
      </w:r>
      <w:r>
        <w:rPr>
          <w:vertAlign w:val="subscript"/>
        </w:rPr>
        <w:t xml:space="preserve">e</w:t>
      </w:r>
      <w:r>
        <w:t xml:space="preserve">/</w:t>
      </w:r>
      <w:r>
        <w:rPr>
          <w:i/>
          <w:iCs/>
        </w:rPr>
        <w:t xml:space="preserve">τ</w:t>
      </w:r>
      <w:r>
        <w:t xml:space="preserve">) are then obtained by solving the BTE within the constant relaxation-time approximation, commonly with BoltzTraP</w:t>
      </w:r>
      <w:r>
        <w:rPr>
          <w:vertAlign w:val="superscript"/>
        </w:rPr>
        <w:t xml:space="preserve">19</w:t>
      </w:r>
      <w:r>
        <w:t xml:space="preserve">; because</w:t>
      </w:r>
      <w:r>
        <w:t xml:space="preserve"> </w:t>
      </w:r>
      <w:r>
        <w:rPr>
          <w:i/>
          <w:iCs/>
        </w:rPr>
        <w:t xml:space="preserve">τ</w:t>
      </w:r>
      <w:r>
        <w:t xml:space="preserve"> </w:t>
      </w:r>
      <w:r>
        <w:t xml:space="preserve">is assumed constant, absolute</w:t>
      </w:r>
      <w:r>
        <w:t xml:space="preserve"> </w:t>
      </w:r>
      <w:r>
        <w:rPr>
          <w:i/>
          <w:iCs/>
        </w:rPr>
        <w:t xml:space="preserve">σ</w:t>
      </w:r>
      <w:r>
        <w:t xml:space="preserve"> </w:t>
      </w:r>
      <w:r>
        <w:t xml:space="preserve">and</w:t>
      </w:r>
      <w:r>
        <w:t xml:space="preserve"> </w:t>
      </w:r>
      <w:r>
        <w:rPr>
          <w:i/>
          <w:iCs/>
        </w:rPr>
        <w:t xml:space="preserve">κ</w:t>
      </w:r>
      <w:r>
        <w:rPr>
          <w:vertAlign w:val="subscript"/>
        </w:rPr>
        <w:t xml:space="preserve">e</w:t>
      </w:r>
      <w:r>
        <w:t xml:space="preserve"> </w:t>
      </w:r>
      <w:r>
        <w:t xml:space="preserve">require additional experimental input or separate calculations. Lattice thermal conductivity requires interatomic force constants from supercell calculations and solution of the phonon BTE, e.g. with ShengBTE</w:t>
      </w:r>
      <w:r>
        <w:rPr>
          <w:vertAlign w:val="superscript"/>
        </w:rPr>
        <w:t xml:space="preserve">20</w:t>
      </w:r>
      <w:r>
        <w:t xml:space="preserve">. A complete characterization (S,</w:t>
      </w:r>
      <w:r>
        <w:t xml:space="preserve"> </w:t>
      </w:r>
      <w:r>
        <w:rPr>
          <w:i/>
          <w:iCs/>
        </w:rPr>
        <w:t xml:space="preserve">σ</w:t>
      </w:r>
      <w:r>
        <w:t xml:space="preserve">,</w:t>
      </w:r>
      <w:r>
        <w:t xml:space="preserve"> </w:t>
      </w:r>
      <w:r>
        <w:rPr>
          <w:i/>
          <w:iCs/>
        </w:rPr>
        <w:t xml:space="preserve">κ</w:t>
      </w:r>
      <w:r>
        <w:rPr>
          <w:vertAlign w:val="subscript"/>
        </w:rPr>
        <w:t xml:space="preserve">e</w:t>
      </w:r>
      <w:r>
        <w:t xml:space="preserve">,</w:t>
      </w:r>
      <w:r>
        <w:t xml:space="preserve"> </w:t>
      </w:r>
      <w:r>
        <w:rPr>
          <w:i/>
          <w:iCs/>
        </w:rPr>
        <w:t xml:space="preserve">κ</w:t>
      </w:r>
      <w:r>
        <w:rPr>
          <w:vertAlign w:val="subscript"/>
        </w:rPr>
        <w:t xml:space="preserve">l</w:t>
      </w:r>
      <w:r>
        <w:t xml:space="preserve"> </w:t>
      </w:r>
      <w:r>
        <w:t xml:space="preserve">at several temperatures) of one compound can take days to weeks, motivating ML surrogate models.</w:t>
      </w:r>
    </w:p>
    <w:p>
      <w:pPr>
        <w:pStyle w:val="BodyText"/>
      </w:pPr>
      <w:r>
        <w:rPr>
          <w:i/>
          <w:iCs/>
        </w:rPr>
        <w:t xml:space="preserve">Starrydata2</w:t>
      </w:r>
      <w:r>
        <w:t xml:space="preserve"> </w:t>
      </w:r>
      <w:r>
        <w:t xml:space="preserve">is the largest publicly available database of experimental thermoelectric measurements, assembled by systematic digitization of published figures; each data point is linked to a paper DOI and sample ID</w:t>
      </w:r>
      <w:r>
        <w:rPr>
          <w:vertAlign w:val="superscript"/>
        </w:rPr>
        <w:t xml:space="preserve">21,22</w:t>
      </w:r>
      <w:r>
        <w:t xml:space="preserve">. Known limitations include digitization uncertainty (a precision of</w:t>
      </w:r>
      <w:r>
        <w:t xml:space="preserve"> </w:t>
      </w:r>
      <w:r>
        <w:t xml:space="preserve">0.3</w:t>
      </w:r>
      <w:r>
        <w:t xml:space="preserve">% of the graph width for semi-automatic extraction, with occasional errors above</w:t>
      </w:r>
      <w:r>
        <w:t xml:space="preserve"> </w:t>
      </w:r>
      <w:r>
        <w:t xml:space="preserve">10</w:t>
      </w:r>
      <w:r>
        <w:t xml:space="preserve">% of the original value for points near zero on linear axes</w:t>
      </w:r>
      <w:r>
        <w:rPr>
          <w:vertAlign w:val="superscript"/>
        </w:rPr>
        <w:t xml:space="preserve">22</w:t>
      </w:r>
      <w:r>
        <w:t xml:space="preserve">), inter-laboratory variability for the same nominal composition and occasional unlabeled computational data. The</w:t>
      </w:r>
      <w:r>
        <w:t xml:space="preserve"> </w:t>
      </w:r>
      <w:r>
        <w:rPr>
          <w:i/>
          <w:iCs/>
        </w:rPr>
        <w:t xml:space="preserve">Materials Project</w:t>
      </w:r>
      <w:r>
        <w:t xml:space="preserve"> </w:t>
      </w:r>
      <w:r>
        <w:t xml:space="preserve">provides DFT-computed crystal structures, formation energies, energies above the convex hull and band gaps for inorganic compounds via a REST API</w:t>
      </w:r>
      <w:r>
        <w:rPr>
          <w:vertAlign w:val="superscript"/>
        </w:rPr>
        <w:t xml:space="preserve">23</w:t>
      </w:r>
      <w:r>
        <w:t xml:space="preserve">, but transport coefficients are not available for most entries. The ESTM (Experimentally Synthesized Thermoelectric Materials) database curated at the Korea Research Institute of Chemical Technology contains</w:t>
      </w:r>
      <w:r>
        <w:t xml:space="preserve"> </w:t>
      </w:r>
      <w:r>
        <w:t xml:space="preserve">5,205</w:t>
      </w:r>
      <w:r>
        <w:t xml:space="preserve"> </w:t>
      </w:r>
      <w:r>
        <w:t xml:space="preserve">experimental observations for</w:t>
      </w:r>
      <w:r>
        <w:t xml:space="preserve"> </w:t>
      </w:r>
      <w:r>
        <w:t xml:space="preserve">880</w:t>
      </w:r>
      <w:r>
        <w:t xml:space="preserve"> </w:t>
      </w:r>
      <w:r>
        <w:t xml:space="preserve">unique materials</w:t>
      </w:r>
      <w:r>
        <w:rPr>
          <w:vertAlign w:val="superscript"/>
        </w:rPr>
        <w:t xml:space="preserve">24</w:t>
      </w:r>
      <w:r>
        <w:t xml:space="preserve">. ESTM was curated independently of Starrydata2, making it a valuable external validation resource. JARVIS, maintained by NIST, contains BoltzTraP-computed transport properties for thousands of compounds</w:t>
      </w:r>
      <w:r>
        <w:rPr>
          <w:vertAlign w:val="superscript"/>
        </w:rPr>
        <w:t xml:space="preserve">25</w:t>
      </w:r>
      <w:r>
        <w:t xml:space="preserve">; these differ systematically from experiment because of the constant relaxation-time approximation and ideal-crystal assumptions.</w:t>
      </w:r>
    </w:p>
    <w:bookmarkEnd w:id="17"/>
    <w:bookmarkStart w:id="18" w:name="X52e153c057fbfec537c75d1d9f150896ac96552"/>
    <w:p>
      <w:pPr>
        <w:pStyle w:val="Heading3"/>
      </w:pPr>
      <w:r>
        <w:t xml:space="preserve">Machine learning for thermoelectric property prediction</w:t>
      </w:r>
    </w:p>
    <w:p>
      <w:pPr>
        <w:pStyle w:val="FirstParagraph"/>
      </w:pPr>
      <w:r>
        <w:t xml:space="preserve">ML approaches are divided by input representation. Structure-based approaches use atomic coordinates, lattice vectors and site symmetry, e.g. crystal graph neural networks (CGCNN)</w:t>
      </w:r>
      <w:r>
        <w:rPr>
          <w:vertAlign w:val="superscript"/>
        </w:rPr>
        <w:t xml:space="preserve">26</w:t>
      </w:r>
      <w:r>
        <w:t xml:space="preserve">. Composition-based methods use only the chemical formula, from which statistical summaries of elemental properties are computed; they are more broadly applicable because they do not require the crystal structure, which is often unknown for hypothetical materials. Tree ensembles (XGBoost, LightGBM, gradient-boosted decision trees) dominate composition-based thermoelectric prediction because they handle tabular features, are robust to missing values and are compatible with SHAP; deep neural networks and transformer-based models (TabPFN) have been used with mixed results. Table 1 summarizes recent studies.</w:t>
      </w:r>
    </w:p>
    <w:p>
      <w:pPr>
        <w:pStyle w:val="BodyText"/>
      </w:pPr>
      <w:r>
        <w:t xml:space="preserve">Parse et al.</w:t>
      </w:r>
      <w:r>
        <w:rPr>
          <w:vertAlign w:val="superscript"/>
        </w:rPr>
        <w:t xml:space="preserve">27</w:t>
      </w:r>
      <w:r>
        <w:t xml:space="preserve"> </w:t>
      </w:r>
      <w:r>
        <w:t xml:space="preserve">trained XGBoost on</w:t>
      </w:r>
      <w:r>
        <w:t xml:space="preserve"> </w:t>
      </w:r>
      <w:r>
        <w:t xml:space="preserve">18,126</w:t>
      </w:r>
      <w:r>
        <w:t xml:space="preserve"> </w:t>
      </w:r>
      <w:r>
        <w:t xml:space="preserve">cleaned Starrydata2 instances covering</w:t>
      </w:r>
      <w:r>
        <w:t xml:space="preserve"> </w:t>
      </w:r>
      <w:r>
        <w:t xml:space="preserve">2,761</w:t>
      </w:r>
      <w:r>
        <w:t xml:space="preserve"> </w:t>
      </w:r>
      <w:r>
        <w:t xml:space="preserve">compounds, split compound by compound into</w:t>
      </w:r>
      <w:r>
        <w:t xml:space="preserve"> </w:t>
      </w:r>
      <w:r>
        <w:t xml:space="preserve">80</w:t>
      </w:r>
      <w:r>
        <w:t xml:space="preserve">% training and</w:t>
      </w:r>
      <w:r>
        <w:t xml:space="preserve"> </w:t>
      </w:r>
      <w:r>
        <w:t xml:space="preserve">20</w:t>
      </w:r>
      <w:r>
        <w:t xml:space="preserve">% test data (R</w:t>
      </w:r>
      <w:r>
        <w:rPr>
          <w:vertAlign w:val="superscript"/>
        </w:rPr>
        <w:t xml:space="preserve">2</w:t>
      </w:r>
      <w:r>
        <w:t xml:space="preserve"> </w:t>
      </w:r>
      <w:r>
        <w:t xml:space="preserve">=</w:t>
      </w:r>
      <w:r>
        <w:t xml:space="preserve"> </w:t>
      </w:r>
      <w:r>
        <w:t xml:space="preserve">0.815</w:t>
      </w:r>
      <w:r>
        <w:t xml:space="preserve"> </w:t>
      </w:r>
      <w:r>
        <w:t xml:space="preserve">on the test set); a</w:t>
      </w:r>
      <w:r>
        <w:t xml:space="preserve"> </w:t>
      </w:r>
      <w:r>
        <w:t xml:space="preserve">5</w:t>
      </w:r>
      <w:r>
        <w:t xml:space="preserve">-fold cross-validation over the whole dataset was added. Jia et al.</w:t>
      </w:r>
      <w:r>
        <w:rPr>
          <w:vertAlign w:val="superscript"/>
        </w:rPr>
        <w:t xml:space="preserve">28</w:t>
      </w:r>
      <w:r>
        <w:t xml:space="preserve"> </w:t>
      </w:r>
      <w:r>
        <w:t xml:space="preserve">introduced composition-based cross-validation, excluding individual compositions rather than random rows, and obtained R</w:t>
      </w:r>
      <w:r>
        <w:rPr>
          <w:vertAlign w:val="superscript"/>
        </w:rPr>
        <w:t xml:space="preserve">2</w:t>
      </w:r>
      <w:r>
        <w:t xml:space="preserve"> </w:t>
      </w:r>
      <w:r>
        <w:t xml:space="preserve">of</w:t>
      </w:r>
      <w:r>
        <w:t xml:space="preserve"> </w:t>
      </w:r>
      <w:r>
        <w:t xml:space="preserve">0.89</w:t>
      </w:r>
      <w:r>
        <w:t xml:space="preserve"> </w:t>
      </w:r>
      <w:r>
        <w:t xml:space="preserve">under</w:t>
      </w:r>
      <w:r>
        <w:t xml:space="preserve"> </w:t>
      </w:r>
      <w:r>
        <w:t xml:space="preserve">10</w:t>
      </w:r>
      <w:r>
        <w:t xml:space="preserve">-fold composition-based CV and</w:t>
      </w:r>
      <w:r>
        <w:t xml:space="preserve"> </w:t>
      </w:r>
      <w:r>
        <w:t xml:space="preserve">0.90</w:t>
      </w:r>
      <w:r>
        <w:t xml:space="preserve"> </w:t>
      </w:r>
      <w:r>
        <w:t xml:space="preserve">on a test set, for zT on</w:t>
      </w:r>
      <w:r>
        <w:t xml:space="preserve"> </w:t>
      </w:r>
      <w:r>
        <w:t xml:space="preserve">92,291</w:t>
      </w:r>
      <w:r>
        <w:t xml:space="preserve"> </w:t>
      </w:r>
      <w:r>
        <w:t xml:space="preserve">data points from</w:t>
      </w:r>
      <w:r>
        <w:t xml:space="preserve"> </w:t>
      </w:r>
      <w:r>
        <w:t xml:space="preserve">7,295</w:t>
      </w:r>
      <w:r>
        <w:t xml:space="preserve"> </w:t>
      </w:r>
      <w:r>
        <w:t xml:space="preserve">compositions; this is stricter than standard K-fold but less strict than system-level grouping, because members of the same chemical family (e.g. different doping levels of Bi</w:t>
      </w:r>
      <w:r>
        <w:rPr>
          <w:vertAlign w:val="subscript"/>
        </w:rPr>
        <w:t xml:space="preserve">2</w:t>
      </w:r>
      <w:r>
        <w:t xml:space="preserve">Te</w:t>
      </w:r>
      <w:r>
        <w:rPr>
          <w:vertAlign w:val="subscript"/>
        </w:rPr>
        <w:t xml:space="preserve">3</w:t>
      </w:r>
      <w:r>
        <w:t xml:space="preserve">) can still appear in both sets. Sun et al.</w:t>
      </w:r>
      <w:r>
        <w:rPr>
          <w:vertAlign w:val="superscript"/>
        </w:rPr>
        <w:t xml:space="preserve">29</w:t>
      </w:r>
      <w:r>
        <w:t xml:space="preserve"> </w:t>
      </w:r>
      <w:r>
        <w:t xml:space="preserve">combined MAGPIE and CBFV features, selected with Pearson correlation and LassoCV, in deep neural networks (R</w:t>
      </w:r>
      <w:r>
        <w:rPr>
          <w:vertAlign w:val="superscript"/>
        </w:rPr>
        <w:t xml:space="preserve">2</w:t>
      </w:r>
      <w:r>
        <w:t xml:space="preserve"> </w:t>
      </w:r>
      <w:r>
        <w:t xml:space="preserve">=</w:t>
      </w:r>
      <w:r>
        <w:t xml:space="preserve"> </w:t>
      </w:r>
      <w:r>
        <w:t xml:space="preserve">0.95</w:t>
      </w:r>
      <w:r>
        <w:t xml:space="preserve"> </w:t>
      </w:r>
      <w:r>
        <w:t xml:space="preserve">on the training set and</w:t>
      </w:r>
      <w:r>
        <w:t xml:space="preserve"> </w:t>
      </w:r>
      <w:r>
        <w:t xml:space="preserve">0.90</w:t>
      </w:r>
      <w:r>
        <w:t xml:space="preserve"> </w:t>
      </w:r>
      <w:r>
        <w:t xml:space="preserve">on the test set), the dual-featurizer approach used here. Ma and Poon</w:t>
      </w:r>
      <w:r>
        <w:rPr>
          <w:vertAlign w:val="superscript"/>
        </w:rPr>
        <w:t xml:space="preserve">30</w:t>
      </w:r>
      <w:r>
        <w:t xml:space="preserve"> </w:t>
      </w:r>
      <w:r>
        <w:t xml:space="preserve">added pair-interaction descriptors (Miedema mixing enthalpy) and dopant properties, reporting modest improvements. Barua et al.</w:t>
      </w:r>
      <w:r>
        <w:rPr>
          <w:vertAlign w:val="superscript"/>
        </w:rPr>
        <w:t xml:space="preserve">31</w:t>
      </w:r>
      <w:r>
        <w:t xml:space="preserve"> </w:t>
      </w:r>
      <w:r>
        <w:t xml:space="preserve">trained XGBoost on ≈</w:t>
      </w:r>
      <w:r>
        <w:t xml:space="preserve">160,000</w:t>
      </w:r>
      <w:r>
        <w:t xml:space="preserve"> </w:t>
      </w:r>
      <w:r>
        <w:t xml:space="preserve">data points and reported R</w:t>
      </w:r>
      <w:r>
        <w:rPr>
          <w:vertAlign w:val="superscript"/>
        </w:rPr>
        <w:t xml:space="preserve">2</w:t>
      </w:r>
      <w:r>
        <w:t xml:space="preserve"> </w:t>
      </w:r>
      <w:r>
        <w:t xml:space="preserve">between</w:t>
      </w:r>
      <w:r>
        <w:t xml:space="preserve"> </w:t>
      </w:r>
      <w:r>
        <w:t xml:space="preserve">0.67</w:t>
      </w:r>
      <w:r>
        <w:t xml:space="preserve"> </w:t>
      </w:r>
      <w:r>
        <w:t xml:space="preserve">and</w:t>
      </w:r>
      <w:r>
        <w:t xml:space="preserve"> </w:t>
      </w:r>
      <w:r>
        <w:t xml:space="preserve">0.80</w:t>
      </w:r>
      <w:r>
        <w:t xml:space="preserve"> </w:t>
      </w:r>
      <w:r>
        <w:t xml:space="preserve">on three test sets. Stacking ensembles on small, domain-restricted datasets</w:t>
      </w:r>
      <w:r>
        <w:rPr>
          <w:vertAlign w:val="superscript"/>
        </w:rPr>
        <w:t xml:space="preserve">32,33</w:t>
      </w:r>
      <w:r>
        <w:t xml:space="preserve"> </w:t>
      </w:r>
      <w:r>
        <w:t xml:space="preserve">reported R</w:t>
      </w:r>
      <w:r>
        <w:rPr>
          <w:vertAlign w:val="superscript"/>
        </w:rPr>
        <w:t xml:space="preserve">2</w:t>
      </w:r>
      <w:r>
        <w:t xml:space="preserve"> </w:t>
      </w:r>
      <w:r>
        <w:t xml:space="preserve">of</w:t>
      </w:r>
      <w:r>
        <w:t xml:space="preserve"> </w:t>
      </w:r>
      <w:r>
        <w:t xml:space="preserve">0.92</w:t>
      </w:r>
      <w:r>
        <w:t xml:space="preserve">–</w:t>
      </w:r>
      <w:r>
        <w:t xml:space="preserve">0.99</w:t>
      </w:r>
      <w:r>
        <w:t xml:space="preserve">. Wang et al. used</w:t>
      </w:r>
      <w:r>
        <w:t xml:space="preserve"> </w:t>
      </w:r>
      <w:r>
        <w:t xml:space="preserve">10</w:t>
      </w:r>
      <w:r>
        <w:t xml:space="preserve">-fold cross-validation over the whole dataset, a row-level protocol of the kind whose inflation relative to chemistry-aware splitting this study quantifies; the split of Elavunkel and Padhan is not stated in its abstract and was not checked.</w:t>
      </w:r>
    </w:p>
    <w:p>
      <w:pPr>
        <w:pStyle w:val="BodyText"/>
      </w:pPr>
      <w:r>
        <w:t xml:space="preserve">MAGPIE</w:t>
      </w:r>
      <w:r>
        <w:rPr>
          <w:vertAlign w:val="superscript"/>
        </w:rPr>
        <w:t xml:space="preserve">34</w:t>
      </w:r>
      <w:r>
        <w:t xml:space="preserve"> </w:t>
      </w:r>
      <w:r>
        <w:t xml:space="preserve">computes six statistics (minimum, maximum, range, mean, average deviation, mode) of</w:t>
      </w:r>
      <w:r>
        <w:t xml:space="preserve"> </w:t>
      </w:r>
      <w:r>
        <w:t xml:space="preserve">22</w:t>
      </w:r>
      <w:r>
        <w:t xml:space="preserve"> </w:t>
      </w:r>
      <w:r>
        <w:t xml:space="preserve">elemental properties, yielding</w:t>
      </w:r>
      <w:r>
        <w:t xml:space="preserve"> </w:t>
      </w:r>
      <w:r>
        <w:t xml:space="preserve">132</w:t>
      </w:r>
      <w:r>
        <w:t xml:space="preserve"> </w:t>
      </w:r>
      <w:r>
        <w:t xml:space="preserve">features per composition. CBFV extends this with the Oliynyk elemental property set</w:t>
      </w:r>
      <w:r>
        <w:rPr>
          <w:vertAlign w:val="superscript"/>
        </w:rPr>
        <w:t xml:space="preserve">35</w:t>
      </w:r>
      <w:r>
        <w:t xml:space="preserve">, including polarizability, Gordy and Mulliken electronegativities, Miracle radius, metallic valence and heat of atomization. Physics-informed descriptors such as mass variance (phonon scattering by mass disorder)</w:t>
      </w:r>
      <w:r>
        <w:rPr>
          <w:vertAlign w:val="superscript"/>
        </w:rPr>
        <w:t xml:space="preserve">36</w:t>
      </w:r>
      <w:r>
        <w:t xml:space="preserve">, tolerance factors</w:t>
      </w:r>
      <w:r>
        <w:rPr>
          <w:vertAlign w:val="superscript"/>
        </w:rPr>
        <w:t xml:space="preserve">8,9</w:t>
      </w:r>
      <w:r>
        <w:t xml:space="preserve"> </w:t>
      </w:r>
      <w:r>
        <w:t xml:space="preserve">and Miedema mixing enthalpy</w:t>
      </w:r>
      <w:r>
        <w:rPr>
          <w:vertAlign w:val="superscript"/>
        </w:rPr>
        <w:t xml:space="preserve">30</w:t>
      </w:r>
      <w:r>
        <w:t xml:space="preserve"> </w:t>
      </w:r>
      <w:r>
        <w:t xml:space="preserve">have also been explored.</w:t>
      </w:r>
    </w:p>
    <w:bookmarkEnd w:id="18"/>
    <w:bookmarkStart w:id="19" w:name="validation-strategies-and-data-leakage"/>
    <w:p>
      <w:pPr>
        <w:pStyle w:val="Heading3"/>
      </w:pPr>
      <w:r>
        <w:t xml:space="preserve">Validation strategies and data leakage</w:t>
      </w:r>
    </w:p>
    <w:p>
      <w:pPr>
        <w:pStyle w:val="FirstParagraph"/>
      </w:pPr>
      <w:r>
        <w:t xml:space="preserve">Random train–test splitting and K-fold cross-validation assume independent and identically distributed (i.i.d.) samples; when this holds, K-fold CV provides a nearly unbiased estimate of generalization error</w:t>
      </w:r>
      <w:r>
        <w:rPr>
          <w:vertAlign w:val="superscript"/>
        </w:rPr>
        <w:t xml:space="preserve">37</w:t>
      </w:r>
      <w:r>
        <w:t xml:space="preserve">. Data leakage from improper validation is now recognized as a widespread cause of over-optimistic results across ML-based science</w:t>
      </w:r>
      <w:r>
        <w:rPr>
          <w:vertAlign w:val="superscript"/>
        </w:rPr>
        <w:t xml:space="preserve">38</w:t>
      </w:r>
      <w:r>
        <w:t xml:space="preserve">. Thermoelectric datasets violate the i.i.d. assumption because a material such as Bi</w:t>
      </w:r>
      <w:r>
        <w:rPr>
          <w:vertAlign w:val="subscript"/>
        </w:rPr>
        <w:t xml:space="preserve">0.5</w:t>
      </w:r>
      <w:r>
        <w:t xml:space="preserve">Sb</w:t>
      </w:r>
      <w:r>
        <w:rPr>
          <w:vertAlign w:val="subscript"/>
        </w:rPr>
        <w:t xml:space="preserve">1.5</w:t>
      </w:r>
      <w:r>
        <w:t xml:space="preserve">Te</w:t>
      </w:r>
      <w:r>
        <w:rPr>
          <w:vertAlign w:val="subscript"/>
        </w:rPr>
        <w:t xml:space="preserve">3</w:t>
      </w:r>
      <w:r>
        <w:t xml:space="preserve"> </w:t>
      </w:r>
      <w:r>
        <w:t xml:space="preserve">may appear at</w:t>
      </w:r>
      <w:r>
        <w:t xml:space="preserve"> </w:t>
      </w:r>
      <w:r>
        <w:t xml:space="preserve">21</w:t>
      </w:r>
      <w:r>
        <w:t xml:space="preserve"> </w:t>
      </w:r>
      <w:r>
        <w:t xml:space="preserve">temperatures (</w:t>
      </w:r>
      <w:r>
        <w:t xml:space="preserve">300</w:t>
      </w:r>
      <w:r>
        <w:t xml:space="preserve">,</w:t>
      </w:r>
      <w:r>
        <w:t xml:space="preserve"> </w:t>
      </w:r>
      <w:r>
        <w:t xml:space="preserve">325</w:t>
      </w:r>
      <w:r>
        <w:t xml:space="preserve">, . . . ,</w:t>
      </w:r>
      <w:r>
        <w:t xml:space="preserve"> </w:t>
      </w:r>
      <w:r>
        <w:t xml:space="preserve">800</w:t>
      </w:r>
      <w:r>
        <w:t xml:space="preserve"> </w:t>
      </w:r>
      <w:r>
        <w:t xml:space="preserve">K); under random splitting the test prediction becomes interpolation along a known temperature curve rather than extrapolation to new chemistry. Roberts et al.</w:t>
      </w:r>
      <w:r>
        <w:rPr>
          <w:vertAlign w:val="superscript"/>
        </w:rPr>
        <w:t xml:space="preserve">39</w:t>
      </w:r>
      <w:r>
        <w:t xml:space="preserve"> </w:t>
      </w:r>
      <w:r>
        <w:t xml:space="preserve">showed that grouped or blocked CV, which withholds entire groups of correlated observations, is needed for unbiased estimates with structured data. In materials informatics, Meredig et al.</w:t>
      </w:r>
      <w:r>
        <w:rPr>
          <w:vertAlign w:val="superscript"/>
        </w:rPr>
        <w:t xml:space="preserve">40</w:t>
      </w:r>
      <w:r>
        <w:t xml:space="preserve"> </w:t>
      </w:r>
      <w:r>
        <w:t xml:space="preserve">introduced leave-one-cluster-out CV, Xiong et al.</w:t>
      </w:r>
      <w:r>
        <w:rPr>
          <w:vertAlign w:val="superscript"/>
        </w:rPr>
        <w:t xml:space="preserve">41</w:t>
      </w:r>
      <w:r>
        <w:t xml:space="preserve"> </w:t>
      </w:r>
      <w:r>
        <w:t xml:space="preserve">showed that standard K-fold overstates the ability to extrapolate, and Li et al.</w:t>
      </w:r>
      <w:r>
        <w:rPr>
          <w:vertAlign w:val="superscript"/>
        </w:rPr>
        <w:t xml:space="preserve">42</w:t>
      </w:r>
      <w:r>
        <w:t xml:space="preserve"> </w:t>
      </w:r>
      <w:r>
        <w:t xml:space="preserve">demonstrated systematic degradation of materials ML models under distribution shift. chemistry-cluster CV assigns all measurements of one group exclusively to training or test. The grouping can be defined at the level of compositions (as in</w:t>
      </w:r>
      <w:r>
        <w:rPr>
          <w:vertAlign w:val="superscript"/>
        </w:rPr>
        <w:t xml:space="preserve">28</w:t>
      </w:r>
      <w:r>
        <w:t xml:space="preserve">), element sets (e.g. Bi–Sb–Te), chemistry clusters (Section 2.4) or broader families; stricter grouping gives more conservative but more realistic estimates for genuinely new chemistry.</w:t>
      </w:r>
    </w:p>
    <w:bookmarkEnd w:id="19"/>
    <w:bookmarkStart w:id="20" w:name="model-interpretability"/>
    <w:p>
      <w:pPr>
        <w:pStyle w:val="Heading3"/>
      </w:pPr>
      <w:r>
        <w:t xml:space="preserve">Model interpretability</w:t>
      </w:r>
    </w:p>
    <w:p>
      <w:pPr>
        <w:pStyle w:val="FirstParagraph"/>
      </w:pPr>
      <w:r>
        <w:t xml:space="preserve">SHAP (SHapley Additive exPlanations) attributes each prediction to features using Shapley values from cooperative game theory, and TreeExplainer computes exact values in polynomial time for tree ensembles</w:t>
      </w:r>
      <w:r>
        <w:rPr>
          <w:vertAlign w:val="superscript"/>
        </w:rPr>
        <w:t xml:space="preserve">43</w:t>
      </w:r>
      <w:r>
        <w:t xml:space="preserve">. SHAP provides consistent global (mean |SHAP|) and local explanations, unlike gain-based importance. LIME fits local linear surrogates around individual predictions</w:t>
      </w:r>
      <w:r>
        <w:rPr>
          <w:vertAlign w:val="superscript"/>
        </w:rPr>
        <w:t xml:space="preserve">44</w:t>
      </w:r>
      <w:r>
        <w:t xml:space="preserve"> </w:t>
      </w:r>
      <w:r>
        <w:t xml:space="preserve">but does not provide global patterns. In thermoelectrics, interpretability is a tool for scientific validation: if melting temperature dominates predictions of</w:t>
      </w:r>
      <w:r>
        <w:t xml:space="preserve"> </w:t>
      </w:r>
      <w:r>
        <w:rPr>
          <w:i/>
          <w:iCs/>
        </w:rPr>
        <w:t xml:space="preserve">κ</w:t>
      </w:r>
      <w:r>
        <w:t xml:space="preserve">, this is consistent with known physics (bond strength governs phonon velocity), whereas a dominant but physically irrelevant feature would indicate a spurious correlation.</w:t>
      </w:r>
    </w:p>
    <w:bookmarkEnd w:id="20"/>
    <w:bookmarkEnd w:id="21"/>
    <w:bookmarkStart w:id="22" w:name="X9b24b2382227e34896f26f9078e06cc2b2e1a0a"/>
    <w:p>
      <w:pPr>
        <w:pStyle w:val="Heading2"/>
      </w:pPr>
      <w:r>
        <w:t xml:space="preserve">Supplementary Note S2: The eleven cleaning steps in detail (supplement to Section 2.1)</w:t>
      </w:r>
    </w:p>
    <w:p>
      <w:pPr>
        <w:pStyle w:val="FirstParagraph"/>
      </w:pPr>
      <w:r>
        <w:rPr>
          <w:i/>
          <w:iCs/>
        </w:rPr>
        <w:t xml:space="preserve">Data preparation (steps 1–5).</w:t>
      </w:r>
      <w:r>
        <w:t xml:space="preserve"> </w:t>
      </w:r>
      <w:r>
        <w:t xml:space="preserve">Step 1 extracted the four target properties, converted resistivity to conductivity and applied physical-range bounds:</w:t>
      </w:r>
      <w:r>
        <w:t xml:space="preserve"> </w:t>
      </w:r>
      <w:r>
        <w:t xml:space="preserve">−1000</w:t>
      </w:r>
      <w:r>
        <w:t xml:space="preserve"> </w:t>
      </w:r>
      <w:r>
        <w:t xml:space="preserve">≤ S ≤</w:t>
      </w:r>
      <w:r>
        <w:t xml:space="preserve"> </w:t>
      </w:r>
      <w:r>
        <w:t xml:space="preserve">1000</w:t>
      </w:r>
      <w:r>
        <w:t xml:space="preserve"> </w:t>
      </w:r>
      <w:r>
        <w:rPr>
          <w:i/>
          <w:iCs/>
        </w:rPr>
        <w:t xml:space="preserve">µ</w:t>
      </w:r>
      <w:r>
        <w:t xml:space="preserve">V K</w:t>
      </w:r>
      <w:r>
        <w:rPr>
          <w:vertAlign w:val="superscript"/>
        </w:rPr>
        <w:t xml:space="preserve">−1</w:t>
      </w:r>
      <w:r>
        <w:t xml:space="preserve">,</w:t>
      </w:r>
      <w:r>
        <w:t xml:space="preserve"> </w:t>
      </w:r>
      <w:r>
        <w:t xml:space="preserve">10</w:t>
      </w:r>
      <w:r>
        <w:t xml:space="preserve"> </w:t>
      </w:r>
      <w:r>
        <w:t xml:space="preserve">≤</w:t>
      </w:r>
      <w:r>
        <w:t xml:space="preserve"> </w:t>
      </w:r>
      <w:r>
        <w:rPr>
          <w:i/>
          <w:iCs/>
        </w:rPr>
        <w:t xml:space="preserve">σ</w:t>
      </w:r>
      <w:r>
        <w:t xml:space="preserve"> </w:t>
      </w:r>
      <w:r>
        <w:t xml:space="preserve">≤</w:t>
      </w:r>
      <w:r>
        <w:t xml:space="preserve"> </w:t>
      </w:r>
      <w:r>
        <w:t xml:space="preserve">10</w:t>
      </w:r>
      <w:r>
        <w:rPr>
          <w:vertAlign w:val="superscript"/>
        </w:rPr>
        <w:t xml:space="preserve">7</w:t>
      </w:r>
      <w:r>
        <w:t xml:space="preserve"> </w:t>
      </w:r>
      <w:r>
        <w:t xml:space="preserve">S m</w:t>
      </w:r>
      <w:r>
        <w:rPr>
          <w:vertAlign w:val="superscript"/>
        </w:rPr>
        <w:t xml:space="preserve">−1</w:t>
      </w:r>
      <w:r>
        <w:t xml:space="preserve">,</w:t>
      </w:r>
      <w:r>
        <w:t xml:space="preserve"> </w:t>
      </w:r>
      <w:r>
        <w:t xml:space="preserve">0.05</w:t>
      </w:r>
      <w:r>
        <w:t xml:space="preserve"> </w:t>
      </w:r>
      <w:r>
        <w:t xml:space="preserve">≤</w:t>
      </w:r>
      <w:r>
        <w:t xml:space="preserve"> </w:t>
      </w:r>
      <w:r>
        <w:rPr>
          <w:i/>
          <w:iCs/>
        </w:rPr>
        <w:t xml:space="preserve">κ</w:t>
      </w:r>
      <w:r>
        <w:t xml:space="preserve"> </w:t>
      </w:r>
      <w:r>
        <w:t xml:space="preserve">≤</w:t>
      </w:r>
      <w:r>
        <w:t xml:space="preserve"> </w:t>
      </w:r>
      <w:r>
        <w:t xml:space="preserve">25</w:t>
      </w:r>
      <w:r>
        <w:t xml:space="preserve"> </w:t>
      </w:r>
      <w:r>
        <w:t xml:space="preserve">W m</w:t>
      </w:r>
      <w:r>
        <w:rPr>
          <w:vertAlign w:val="superscript"/>
        </w:rPr>
        <w:t xml:space="preserve">−1</w:t>
      </w:r>
      <w:r>
        <w:t xml:space="preserve"> </w:t>
      </w:r>
      <w:r>
        <w:t xml:space="preserve">K</w:t>
      </w:r>
      <w:r>
        <w:rPr>
          <w:vertAlign w:val="superscript"/>
        </w:rPr>
        <w:t xml:space="preserve">−1</w:t>
      </w:r>
      <w:r>
        <w:t xml:space="preserve"> </w:t>
      </w:r>
      <w:r>
        <w:t xml:space="preserve">and</w:t>
      </w:r>
      <w:r>
        <w:t xml:space="preserve"> </w:t>
      </w:r>
      <w:r>
        <w:t xml:space="preserve">0</w:t>
      </w:r>
      <w:r>
        <w:t xml:space="preserve"> </w:t>
      </w:r>
      <w:r>
        <w:t xml:space="preserve">≤ zT ≤</w:t>
      </w:r>
      <w:r>
        <w:t xml:space="preserve"> </w:t>
      </w:r>
      <w:r>
        <w:t xml:space="preserve">4</w:t>
      </w:r>
      <w:r>
        <w:t xml:space="preserve">, giving</w:t>
      </w:r>
      <w:r>
        <w:t xml:space="preserve"> </w:t>
      </w:r>
      <w:r>
        <w:t xml:space="preserve">1,996,047</w:t>
      </w:r>
      <w:r>
        <w:t xml:space="preserve"> </w:t>
      </w:r>
      <w:r>
        <w:t xml:space="preserve">observations. The Seebeck bound is an empirical cap that excludes gross digitization errors rather than imposing a tight physical limit; the</w:t>
      </w:r>
      <w:r>
        <w:t xml:space="preserve"> </w:t>
      </w:r>
      <w:r>
        <w:rPr>
          <w:i/>
          <w:iCs/>
        </w:rPr>
        <w:t xml:space="preserve">σ</w:t>
      </w:r>
      <w:r>
        <w:t xml:space="preserve"> </w:t>
      </w:r>
      <w:r>
        <w:t xml:space="preserve">and</w:t>
      </w:r>
      <w:r>
        <w:t xml:space="preserve"> </w:t>
      </w:r>
      <w:r>
        <w:rPr>
          <w:i/>
          <w:iCs/>
        </w:rPr>
        <w:t xml:space="preserve">κ</w:t>
      </w:r>
      <w:r>
        <w:t xml:space="preserve"> </w:t>
      </w:r>
      <w:r>
        <w:t xml:space="preserve">limits correspond approximately to the semiconductor–insulator boundary and to a permissive value below amorphous (Cahill–Pohl) limits</w:t>
      </w:r>
      <w:r>
        <w:rPr>
          <w:vertAlign w:val="superscript"/>
        </w:rPr>
        <w:t xml:space="preserve">45</w:t>
      </w:r>
      <w:r>
        <w:t xml:space="preserve">, respectively (the Cahill–Pohl limit is material-specific, so the</w:t>
      </w:r>
      <w:r>
        <w:t xml:space="preserve"> </w:t>
      </w:r>
      <w:r>
        <w:rPr>
          <w:i/>
          <w:iCs/>
        </w:rPr>
        <w:t xml:space="preserve">κ</w:t>
      </w:r>
      <w:r>
        <w:t xml:space="preserve"> </w:t>
      </w:r>
      <w:r>
        <w:t xml:space="preserve">bound is not itself that minimum); and the zT bound of</w:t>
      </w:r>
      <w:r>
        <w:t xml:space="preserve"> </w:t>
      </w:r>
      <w:r>
        <w:t xml:space="preserve">4</w:t>
      </w:r>
      <w:r>
        <w:t xml:space="preserve"> </w:t>
      </w:r>
      <w:r>
        <w:t xml:space="preserve">is a choice of this study, set above the zT of</w:t>
      </w:r>
      <w:r>
        <w:t xml:space="preserve"> </w:t>
      </w:r>
      <w:r>
        <w:t xml:space="preserve">2.6</w:t>
      </w:r>
      <w:r>
        <w:t xml:space="preserve"> </w:t>
      </w:r>
      <w:r>
        <w:t xml:space="preserve">±</w:t>
      </w:r>
      <w:r>
        <w:t xml:space="preserve"> </w:t>
      </w:r>
      <w:r>
        <w:t xml:space="preserve">0.3</w:t>
      </w:r>
      <w:r>
        <w:t xml:space="preserve"> </w:t>
      </w:r>
      <w:r>
        <w:t xml:space="preserve">reported at</w:t>
      </w:r>
      <w:r>
        <w:t xml:space="preserve"> </w:t>
      </w:r>
      <w:r>
        <w:t xml:space="preserve">923</w:t>
      </w:r>
      <w:r>
        <w:t xml:space="preserve"> </w:t>
      </w:r>
      <w:r>
        <w:t xml:space="preserve">K for SnSe single crystals along the b axis</w:t>
      </w:r>
      <w:r>
        <w:rPr>
          <w:vertAlign w:val="superscript"/>
        </w:rPr>
        <w:t xml:space="preserve">7</w:t>
      </w:r>
      <w:r>
        <w:t xml:space="preserve">; it is not a physical limit. Step 2 merged curve data with sample metadata. Step 3 restricted temperatures to</w:t>
      </w:r>
      <w:r>
        <w:t xml:space="preserve"> </w:t>
      </w:r>
      <w:r>
        <w:t xml:space="preserve">300</w:t>
      </w:r>
      <w:r>
        <w:t xml:space="preserve">–</w:t>
      </w:r>
      <w:r>
        <w:t xml:space="preserve">800</w:t>
      </w:r>
      <w:r>
        <w:t xml:space="preserve"> </w:t>
      </w:r>
      <w:r>
        <w:t xml:space="preserve">K and binned them into</w:t>
      </w:r>
      <w:r>
        <w:t xml:space="preserve"> </w:t>
      </w:r>
      <w:r>
        <w:t xml:space="preserve">25</w:t>
      </w:r>
      <w:r>
        <w:t xml:space="preserve"> </w:t>
      </w:r>
      <w:r>
        <w:t xml:space="preserve">K intervals so that slightly different reported temperatures (e.g. </w:t>
      </w:r>
      <w:r>
        <w:t xml:space="preserve">300, 310 and 320</w:t>
      </w:r>
      <w:r>
        <w:t xml:space="preserve"> </w:t>
      </w:r>
      <w:r>
        <w:t xml:space="preserve">K) fall in the same bin, leaving</w:t>
      </w:r>
      <w:r>
        <w:t xml:space="preserve"> </w:t>
      </w:r>
      <w:r>
        <w:t xml:space="preserve">1,096,324</w:t>
      </w:r>
      <w:r>
        <w:t xml:space="preserve"> </w:t>
      </w:r>
      <w:r>
        <w:t xml:space="preserve">observations. Step 4 pivoted the data from long format (one row per measurement) to wide format (one row per sample per temperature bin), giving</w:t>
      </w:r>
      <w:r>
        <w:t xml:space="preserve"> </w:t>
      </w:r>
      <w:r>
        <w:t xml:space="preserve">398,763</w:t>
      </w:r>
      <w:r>
        <w:t xml:space="preserve"> </w:t>
      </w:r>
      <w:r>
        <w:t xml:space="preserve">rows, and Step 5 removed formulas that could not be parsed by the pymatgen Composition class</w:t>
      </w:r>
      <w:r>
        <w:rPr>
          <w:vertAlign w:val="superscript"/>
        </w:rPr>
        <w:t xml:space="preserve">46</w:t>
      </w:r>
      <w:r>
        <w:t xml:space="preserve"> </w:t>
      </w:r>
      <w:r>
        <w:t xml:space="preserve">(</w:t>
      </w:r>
      <w:r>
        <w:t xml:space="preserve">5,382</w:t>
      </w:r>
      <w:r>
        <w:t xml:space="preserve"> </w:t>
      </w:r>
      <w:r>
        <w:t xml:space="preserve">rows,</w:t>
      </w:r>
      <w:r>
        <w:t xml:space="preserve"> </w:t>
      </w:r>
      <w:r>
        <w:t xml:space="preserve">1.3</w:t>
      </w:r>
      <w:r>
        <w:t xml:space="preserve">%).</w:t>
      </w:r>
    </w:p>
    <w:p>
      <w:pPr>
        <w:pStyle w:val="BodyText"/>
      </w:pPr>
      <w:r>
        <w:rPr>
          <w:i/>
          <w:iCs/>
        </w:rPr>
        <w:t xml:space="preserve">Quality filtering (steps 6–8).</w:t>
      </w:r>
      <w:r>
        <w:t xml:space="preserve"> </w:t>
      </w:r>
      <w:r>
        <w:t xml:space="preserve">Step 6 compared the reported zT with the value recomputed from Eq. (1) for all rows containing the four properties and removed rows whose relative discrepancy exceeded</w:t>
      </w:r>
      <w:r>
        <w:t xml:space="preserve"> </w:t>
      </w:r>
      <w:r>
        <w:t xml:space="preserve">50</w:t>
      </w:r>
      <w:r>
        <w:t xml:space="preserve">%:</w:t>
      </w:r>
    </w:p>
    <w:p>
      <w:pPr>
        <w:pStyle w:val="BodyText"/>
      </w:pPr>
      <m:oMath>
        <m:f>
          <m:fPr>
            <m:type m:val="bar"/>
          </m:fPr>
          <m:num>
            <m:r>
              <m:rPr>
                <m:sty m:val="p"/>
              </m:rPr>
              <m:t>|</m:t>
            </m:r>
            <m:sSub>
              <m:e>
                <m:r>
                  <m:t>z</m:t>
                </m:r>
                <m:r>
                  <m:t>T</m:t>
                </m:r>
              </m:e>
              <m:sub>
                <m:r>
                  <m:t>r</m:t>
                </m:r>
                <m:r>
                  <m:t>e</m:t>
                </m:r>
                <m:r>
                  <m:t>p</m:t>
                </m:r>
              </m:sub>
            </m:sSub>
            <m:r>
              <m:rPr>
                <m:sty m:val="p"/>
              </m:rPr>
              <m:t>−</m:t>
            </m:r>
            <m:sSup>
              <m:e>
                <m:r>
                  <m:t>S</m:t>
                </m:r>
              </m:e>
              <m:sup>
                <m:r>
                  <m:t>2</m:t>
                </m:r>
              </m:sup>
            </m:sSup>
            <m:r>
              <m:t>σ</m:t>
            </m:r>
            <m:r>
              <m:t>T</m:t>
            </m:r>
            <m:r>
              <m:rPr>
                <m:sty m:val="p"/>
              </m:rPr>
              <m:t>/</m:t>
            </m:r>
            <m:r>
              <m:t>κ</m:t>
            </m:r>
            <m:r>
              <m:rPr>
                <m:sty m:val="p"/>
              </m:rPr>
              <m:t>|</m:t>
            </m:r>
          </m:num>
          <m:den>
            <m:sSub>
              <m:e>
                <m:r>
                  <m:t>z</m:t>
                </m:r>
                <m:r>
                  <m:t>T</m:t>
                </m:r>
              </m:e>
              <m:sub>
                <m:r>
                  <m:t>r</m:t>
                </m:r>
                <m:r>
                  <m:t>e</m:t>
                </m:r>
                <m:r>
                  <m:t>p</m:t>
                </m:r>
              </m:sub>
            </m:sSub>
          </m:den>
        </m:f>
        <m:r>
          <m:rPr>
            <m:sty m:val="p"/>
          </m:rPr>
          <m:t>&gt;</m:t>
        </m:r>
        <m:r>
          <m:t>0.5</m:t>
        </m:r>
      </m:oMath>
      <w:r>
        <w:t xml:space="preserve"> </w:t>
      </w:r>
      <w:r>
        <w:t xml:space="preserve">(S3)</w:t>
      </w:r>
    </w:p>
    <w:p>
      <w:pPr>
        <w:pStyle w:val="BodyText"/>
      </w:pPr>
      <w:r>
        <w:t xml:space="preserve">This removed</w:t>
      </w:r>
      <w:r>
        <w:t xml:space="preserve"> </w:t>
      </w:r>
      <w:r>
        <w:t xml:space="preserve">4,712</w:t>
      </w:r>
      <w:r>
        <w:t xml:space="preserve"> </w:t>
      </w:r>
      <w:r>
        <w:t xml:space="preserve">rows (</w:t>
      </w:r>
      <w:r>
        <w:t xml:space="preserve">1.2</w:t>
      </w:r>
      <w:r>
        <w:t xml:space="preserve">%); it changed the mean zT from</w:t>
      </w:r>
      <w:r>
        <w:t xml:space="preserve"> </w:t>
      </w:r>
      <w:r>
        <w:t xml:space="preserve">0.383</w:t>
      </w:r>
      <w:r>
        <w:t xml:space="preserve"> </w:t>
      </w:r>
      <w:r>
        <w:t xml:space="preserve">to</w:t>
      </w:r>
      <w:r>
        <w:t xml:space="preserve"> </w:t>
      </w:r>
      <w:r>
        <w:t xml:space="preserve">0.387</w:t>
      </w:r>
      <w:r>
        <w:t xml:space="preserve">. This is conservative (some valid individual property measurements may be lost), but guarantees internal consistency of the retained rows. Step 7 removed DFT-computed entries identified by searching paper metadata for keywords such as</w:t>
      </w:r>
      <w:r>
        <w:t xml:space="preserve"> </w:t>
      </w:r>
      <w:r>
        <w:t xml:space="preserve">“DFT”</w:t>
      </w:r>
      <w:r>
        <w:t xml:space="preserve">,</w:t>
      </w:r>
      <w:r>
        <w:t xml:space="preserve"> </w:t>
      </w:r>
      <w:r>
        <w:t xml:space="preserve">“first principles”</w:t>
      </w:r>
      <w:r>
        <w:t xml:space="preserve">,</w:t>
      </w:r>
      <w:r>
        <w:t xml:space="preserve"> </w:t>
      </w:r>
      <w:r>
        <w:t xml:space="preserve">“ab initio”</w:t>
      </w:r>
      <w:r>
        <w:t xml:space="preserve"> </w:t>
      </w:r>
      <w:r>
        <w:t xml:space="preserve">and</w:t>
      </w:r>
      <w:r>
        <w:t xml:space="preserve"> </w:t>
      </w:r>
      <w:r>
        <w:t xml:space="preserve">“VASP”</w:t>
      </w:r>
      <w:r>
        <w:t xml:space="preserve">, because such values differ systematically from experiment owing to the constant relaxation-time assumption; only</w:t>
      </w:r>
      <w:r>
        <w:t xml:space="preserve"> </w:t>
      </w:r>
      <w:r>
        <w:t xml:space="preserve">986</w:t>
      </w:r>
      <w:r>
        <w:t xml:space="preserve"> </w:t>
      </w:r>
      <w:r>
        <w:t xml:space="preserve">rows (</w:t>
      </w:r>
      <w:r>
        <w:t xml:space="preserve">0.3</w:t>
      </w:r>
      <w:r>
        <w:t xml:space="preserve">%) were flagged, confirming that Starrydata2 is predominantly experimental. Step 8, the largest single step, removed</w:t>
      </w:r>
      <w:r>
        <w:t xml:space="preserve"> </w:t>
      </w:r>
      <w:r>
        <w:t xml:space="preserve">78,685</w:t>
      </w:r>
      <w:r>
        <w:t xml:space="preserve"> </w:t>
      </w:r>
      <w:r>
        <w:t xml:space="preserve">rows (</w:t>
      </w:r>
      <w:r>
        <w:t xml:space="preserve">20.3</w:t>
      </w:r>
      <w:r>
        <w:t xml:space="preserve">%): for each (formula, temperature) group with multiple measurements, the coefficient of variation (CV) was computed and groups exceeding property-specific thresholds were removed (</w:t>
      </w:r>
      <w:r>
        <w:t xml:space="preserve">0.5</w:t>
      </w:r>
      <w:r>
        <w:t xml:space="preserve"> </w:t>
      </w:r>
      <w:r>
        <w:t xml:space="preserve">for S,</w:t>
      </w:r>
      <w:r>
        <w:t xml:space="preserve"> </w:t>
      </w:r>
      <w:r>
        <w:rPr>
          <w:i/>
          <w:iCs/>
        </w:rPr>
        <w:t xml:space="preserve">κ</w:t>
      </w:r>
      <w:r>
        <w:t xml:space="preserve"> </w:t>
      </w:r>
      <w:r>
        <w:t xml:space="preserve">and zT;</w:t>
      </w:r>
      <w:r>
        <w:t xml:space="preserve"> </w:t>
      </w:r>
      <w:r>
        <w:t xml:space="preserve">0.8</w:t>
      </w:r>
      <w:r>
        <w:t xml:space="preserve"> </w:t>
      </w:r>
      <w:r>
        <w:t xml:space="preserve">for</w:t>
      </w:r>
      <w:r>
        <w:t xml:space="preserve"> </w:t>
      </w:r>
      <w:r>
        <w:rPr>
          <w:i/>
          <w:iCs/>
        </w:rPr>
        <w:t xml:space="preserve">σ</w:t>
      </w:r>
      <w:r>
        <w:t xml:space="preserve">, set higher a priori because conductivity varies more between samples); these are starting values fixed before any model was trained, not values tuned on model performance.</w:t>
      </w:r>
    </w:p>
    <w:p>
      <w:pPr>
        <w:pStyle w:val="BodyText"/>
      </w:pPr>
      <w:r>
        <w:rPr>
          <w:i/>
          <w:iCs/>
        </w:rPr>
        <w:t xml:space="preserve">Statistical filtering (steps 9–11).</w:t>
      </w:r>
      <w:r>
        <w:t xml:space="preserve"> </w:t>
      </w:r>
      <w:r>
        <w:t xml:space="preserve">Step 9 applied a median absolute deviation (MAD) filter, removing values with</w:t>
      </w:r>
    </w:p>
    <w:p>
      <w:pPr>
        <w:pStyle w:val="BodyText"/>
      </w:pPr>
      <m:oMath>
        <m:r>
          <m:rPr>
            <m:sty m:val="p"/>
          </m:rPr>
          <m:t>|</m:t>
        </m:r>
        <m:r>
          <m:t>x</m:t>
        </m:r>
        <m:r>
          <m:rPr>
            <m:sty m:val="p"/>
          </m:rPr>
          <m:t>−</m:t>
        </m:r>
        <m:r>
          <m:t>m</m:t>
        </m:r>
        <m:r>
          <m:t>e</m:t>
        </m:r>
        <m:r>
          <m:t>d</m:t>
        </m:r>
        <m:r>
          <m:t>i</m:t>
        </m:r>
        <m:r>
          <m:t>a</m:t>
        </m:r>
        <m:r>
          <m:t>n</m:t>
        </m:r>
        <m:r>
          <m:rPr>
            <m:sty m:val="p"/>
          </m:rPr>
          <m:t>(</m:t>
        </m:r>
        <m:r>
          <m:t>x</m:t>
        </m:r>
        <m:r>
          <m:rPr>
            <m:sty m:val="p"/>
          </m:rPr>
          <m:t>)</m:t>
        </m:r>
        <m:r>
          <m:rPr>
            <m:sty m:val="p"/>
          </m:rPr>
          <m:t>|</m:t>
        </m:r>
        <m:r>
          <m:rPr>
            <m:sty m:val="p"/>
          </m:rPr>
          <m:t>&gt;</m:t>
        </m:r>
        <m:r>
          <m:t>3.5</m:t>
        </m:r>
        <m:r>
          <m:t> </m:t>
        </m:r>
        <m:r>
          <m:t>M</m:t>
        </m:r>
        <m:r>
          <m:t>A</m:t>
        </m:r>
        <m:r>
          <m:t>D</m:t>
        </m:r>
        <m:r>
          <m:rPr>
            <m:sty m:val="p"/>
          </m:rPr>
          <m:t>(</m:t>
        </m:r>
        <m:r>
          <m:t>x</m:t>
        </m:r>
        <m:r>
          <m:rPr>
            <m:sty m:val="p"/>
          </m:rPr>
          <m:t>)</m:t>
        </m:r>
      </m:oMath>
      <w:r>
        <w:t xml:space="preserve"> </w:t>
      </w:r>
      <w:r>
        <w:t xml:space="preserve">(S4)</w:t>
      </w:r>
    </w:p>
    <w:p>
      <w:pPr>
        <w:pStyle w:val="BodyText"/>
      </w:pPr>
      <w:r>
        <w:t xml:space="preserve">a robust alternative to a rule based on the mean and standard deviation</w:t>
      </w:r>
      <w:r>
        <w:rPr>
          <w:vertAlign w:val="superscript"/>
        </w:rPr>
        <w:t xml:space="preserve">47</w:t>
      </w:r>
      <w:r>
        <w:t xml:space="preserve">, where x is S, log</w:t>
      </w:r>
      <w:r>
        <w:rPr>
          <w:vertAlign w:val="subscript"/>
        </w:rPr>
        <w:t xml:space="preserve">10</w:t>
      </w:r>
      <w:r>
        <w:t xml:space="preserve"> </w:t>
      </w:r>
      <w:r>
        <w:rPr>
          <w:i/>
          <w:iCs/>
        </w:rPr>
        <w:t xml:space="preserve">σ</w:t>
      </w:r>
      <w:r>
        <w:t xml:space="preserve"> </w:t>
      </w:r>
      <w:r>
        <w:t xml:space="preserve">or log</w:t>
      </w:r>
      <w:r>
        <w:rPr>
          <w:vertAlign w:val="subscript"/>
        </w:rPr>
        <w:t xml:space="preserve">10</w:t>
      </w:r>
      <w:r>
        <w:t xml:space="preserve"> </w:t>
      </w:r>
      <w:r>
        <w:rPr>
          <w:i/>
          <w:iCs/>
        </w:rPr>
        <w:t xml:space="preserve">κ</w:t>
      </w:r>
      <w:r>
        <w:t xml:space="preserve">, and the median and the MAD, MAD(x) = median(|x − median(x)|), are taken over all rows that have a value of that property. The MAD is unscaled (no</w:t>
      </w:r>
      <w:r>
        <w:t xml:space="preserve"> </w:t>
      </w:r>
      <w:r>
        <w:t xml:space="preserve">1.4826</w:t>
      </w:r>
      <w:r>
        <w:t xml:space="preserve"> </w:t>
      </w:r>
      <w:r>
        <w:t xml:space="preserve">consistency factor), so the multiplier of</w:t>
      </w:r>
      <w:r>
        <w:t xml:space="preserve"> </w:t>
      </w:r>
      <w:r>
        <w:t xml:space="preserve">3.5</w:t>
      </w:r>
      <w:r>
        <w:t xml:space="preserve"> </w:t>
      </w:r>
      <w:r>
        <w:t xml:space="preserve">MADs corresponds to about</w:t>
      </w:r>
      <w:r>
        <w:t xml:space="preserve"> </w:t>
      </w:r>
      <w:r>
        <w:t xml:space="preserve">2.4</w:t>
      </w:r>
      <w:r>
        <w:t xml:space="preserve"> </w:t>
      </w:r>
      <w:r>
        <w:t xml:space="preserve">standard deviations for normally distributed data; it is a choice of this study (see below), not the multiplier recommended in the cited work. The MAD filter was applied to S,</w:t>
      </w:r>
      <w:r>
        <w:t xml:space="preserve"> </w:t>
      </w:r>
      <w:r>
        <w:rPr>
          <w:i/>
          <w:iCs/>
        </w:rPr>
        <w:t xml:space="preserve">σ</w:t>
      </w:r>
      <w:r>
        <w:t xml:space="preserve"> </w:t>
      </w:r>
      <w:r>
        <w:t xml:space="preserve">and</w:t>
      </w:r>
      <w:r>
        <w:t xml:space="preserve"> </w:t>
      </w:r>
      <w:r>
        <w:rPr>
          <w:i/>
          <w:iCs/>
        </w:rPr>
        <w:t xml:space="preserve">κ</w:t>
      </w:r>
      <w:r>
        <w:t xml:space="preserve"> </w:t>
      </w:r>
      <w:r>
        <w:t xml:space="preserve">but not to zT, a derived quantity whose plausibility is better judged against the physical bounds of Step 1; it removed</w:t>
      </w:r>
      <w:r>
        <w:t xml:space="preserve"> </w:t>
      </w:r>
      <w:r>
        <w:t xml:space="preserve">19,361</w:t>
      </w:r>
      <w:r>
        <w:t xml:space="preserve"> </w:t>
      </w:r>
      <w:r>
        <w:t xml:space="preserve">rows (</w:t>
      </w:r>
      <w:r>
        <w:t xml:space="preserve">6.3</w:t>
      </w:r>
      <w:r>
        <w:t xml:space="preserve">%). Rows with zT &gt;</w:t>
      </w:r>
      <w:r>
        <w:t xml:space="preserve"> </w:t>
      </w:r>
      <w:r>
        <w:t xml:space="preserve">3.0</w:t>
      </w:r>
      <w:r>
        <w:t xml:space="preserve"> </w:t>
      </w:r>
      <w:r>
        <w:t xml:space="preserve">lie above the zT of</w:t>
      </w:r>
      <w:r>
        <w:t xml:space="preserve"> </w:t>
      </w:r>
      <w:r>
        <w:t xml:space="preserve">2.6</w:t>
      </w:r>
      <w:r>
        <w:t xml:space="preserve"> </w:t>
      </w:r>
      <w:r>
        <w:t xml:space="preserve">±</w:t>
      </w:r>
      <w:r>
        <w:t xml:space="preserve"> </w:t>
      </w:r>
      <w:r>
        <w:t xml:space="preserve">0.3</w:t>
      </w:r>
      <w:r>
        <w:t xml:space="preserve"> </w:t>
      </w:r>
      <w:r>
        <w:t xml:space="preserve">reported at</w:t>
      </w:r>
      <w:r>
        <w:t xml:space="preserve"> </w:t>
      </w:r>
      <w:r>
        <w:t xml:space="preserve">923</w:t>
      </w:r>
      <w:r>
        <w:t xml:space="preserve"> </w:t>
      </w:r>
      <w:r>
        <w:t xml:space="preserve">K for SnSe single crystals along the b axis</w:t>
      </w:r>
      <w:r>
        <w:rPr>
          <w:vertAlign w:val="superscript"/>
        </w:rPr>
        <w:t xml:space="preserve">7</w:t>
      </w:r>
      <w:r>
        <w:t xml:space="preserve">;</w:t>
      </w:r>
      <w:r>
        <w:t xml:space="preserve"> </w:t>
      </w:r>
      <w:r>
        <w:t xml:space="preserve">15</w:t>
      </w:r>
      <w:r>
        <w:t xml:space="preserve"> </w:t>
      </w:r>
      <w:r>
        <w:t xml:space="preserve">of the</w:t>
      </w:r>
      <w:r>
        <w:t xml:space="preserve"> </w:t>
      </w:r>
      <w:r>
        <w:t xml:space="preserve">129,419</w:t>
      </w:r>
      <w:r>
        <w:t xml:space="preserve"> </w:t>
      </w:r>
      <w:r>
        <w:t xml:space="preserve">zT rows (</w:t>
      </w:r>
      <w:r>
        <w:t xml:space="preserve">0.012</w:t>
      </w:r>
      <w:r>
        <w:t xml:space="preserve">%) are affected; they are retained as statistically immaterial. Step 10 removed formulas with fewer than</w:t>
      </w:r>
      <w:r>
        <w:t xml:space="preserve"> </w:t>
      </w:r>
      <w:r>
        <w:t xml:space="preserve">3</w:t>
      </w:r>
      <w:r>
        <w:t xml:space="preserve"> </w:t>
      </w:r>
      <w:r>
        <w:t xml:space="preserve">distinct temperatures, for which consistency cannot be verified (</w:t>
      </w:r>
      <w:r>
        <w:t xml:space="preserve">4,650</w:t>
      </w:r>
      <w:r>
        <w:t xml:space="preserve"> </w:t>
      </w:r>
      <w:r>
        <w:t xml:space="preserve">rows). Step 11 applied a rolling-median smoothness filter (window =</w:t>
      </w:r>
      <w:r>
        <w:t xml:space="preserve"> </w:t>
      </w:r>
      <w:r>
        <w:t xml:space="preserve">3</w:t>
      </w:r>
      <w:r>
        <w:t xml:space="preserve">) to each temperature curve of each sample and property: a point is a spike if it deviates from the centred rolling median by more than</w:t>
      </w:r>
      <w:r>
        <w:t xml:space="preserve"> </w:t>
      </w:r>
      <w:r>
        <w:t xml:space="preserve">3.5</w:t>
      </w:r>
      <w:r>
        <w:t xml:space="preserve"> </w:t>
      </w:r>
      <w:r>
        <w:t xml:space="preserve">times the median of those absolute deviations along that curve (the same unscaled multiplier as Step 9, applied to the local deviations), setting</w:t>
      </w:r>
      <w:r>
        <w:t xml:space="preserve"> </w:t>
      </w:r>
      <w:r>
        <w:t xml:space="preserve">25,166</w:t>
      </w:r>
      <w:r>
        <w:t xml:space="preserve"> </w:t>
      </w:r>
      <w:r>
        <w:t xml:space="preserve">spike values to NaN and removing rows in which all properties became NaN (</w:t>
      </w:r>
      <w:r>
        <w:t xml:space="preserve">4,323</w:t>
      </w:r>
      <w:r>
        <w:t xml:space="preserve"> </w:t>
      </w:r>
      <w:r>
        <w:t xml:space="preserve">rows,</w:t>
      </w:r>
      <w:r>
        <w:t xml:space="preserve"> </w:t>
      </w:r>
      <w:r>
        <w:t xml:space="preserve">1.5</w:t>
      </w:r>
      <w:r>
        <w:t xml:space="preserve">%).</w:t>
      </w:r>
    </w:p>
    <w:bookmarkEnd w:id="22"/>
    <w:bookmarkStart w:id="23" w:name="Xe3804a6091b489e385e2f74f3e2bcb5ea56c30c"/>
    <w:p>
      <w:pPr>
        <w:pStyle w:val="Heading2"/>
      </w:pPr>
      <w:r>
        <w:t xml:space="preserve">Supplementary Note S3: Reading the literature values: rules of the comparison (supplement to Section 2.6)</w:t>
      </w:r>
    </w:p>
    <w:p>
      <w:pPr>
        <w:pStyle w:val="FirstParagraph"/>
      </w:pPr>
      <w:r>
        <w:rPr>
          <w:b/>
          <w:bCs/>
        </w:rPr>
        <w:t xml:space="preserve">Reading the literature.</w:t>
      </w:r>
      <w:r>
        <w:t xml:space="preserve"> </w:t>
      </w:r>
      <w:r>
        <w:t xml:space="preserve">Values are read from the PDFs only, with page and figure or table, and marked as table, text or digitised. A value read from a figure carries the tool (vector extraction from the PDF where the figure is</w:t>
      </w:r>
      <w:r>
        <w:t xml:space="preserve"> </w:t>
      </w:r>
      <w:r>
        <w:t xml:space="preserve">vector, WebPlotDigitizer, version</w:t>
      </w:r>
      <w:r>
        <w:t xml:space="preserve"> </w:t>
      </w:r>
      <w:r>
        <w:t xml:space="preserve">5</w:t>
      </w:r>
      <w:r>
        <w:t xml:space="preserve">, clicks on the scan otherwise</w:t>
      </w:r>
      <w:r>
        <w:rPr>
          <w:vertAlign w:val="superscript"/>
        </w:rPr>
        <w:t xml:space="preserve">48</w:t>
      </w:r>
      <w:r>
        <w:t xml:space="preserve">) and the axis calibration; no uncertainty is attached to a digitised marker, and an uncertainty is recorded only where the paper prints one. Discrete</w:t>
      </w:r>
      <w:r>
        <w:t xml:space="preserve"> </w:t>
      </w:r>
      <w:r>
        <w:t xml:space="preserve">markers are read at their own measurement temperature and assigned to the</w:t>
      </w:r>
      <w:r>
        <w:t xml:space="preserve"> </w:t>
      </w:r>
      <w:r>
        <w:t xml:space="preserve">25</w:t>
      </w:r>
      <w:r>
        <w:t xml:space="preserve"> </w:t>
      </w:r>
      <w:r>
        <w:t xml:space="preserve">K floor bins of the cleaning pipeline (a bin is labelled by its lower edge, so the lowest bin is labelled</w:t>
      </w:r>
      <w:r>
        <w:t xml:space="preserve"> </w:t>
      </w:r>
      <w:r>
        <w:t xml:space="preserve">300</w:t>
      </w:r>
      <w:r>
        <w:t xml:space="preserve"> </w:t>
      </w:r>
      <w:r>
        <w:t xml:space="preserve">K); curves, and only curves, are read on a</w:t>
      </w:r>
      <w:r>
        <w:t xml:space="preserve"> </w:t>
      </w:r>
      <w:r>
        <w:t xml:space="preserve">100</w:t>
      </w:r>
      <w:r>
        <w:t xml:space="preserve"> </w:t>
      </w:r>
      <w:r>
        <w:t xml:space="preserve">K grid (</w:t>
      </w:r>
      <w:r>
        <w:t xml:space="preserve">300</w:t>
      </w:r>
      <w:r>
        <w:t xml:space="preserve"> </w:t>
      </w:r>
      <w:r>
        <w:t xml:space="preserve">to</w:t>
      </w:r>
      <w:r>
        <w:t xml:space="preserve"> </w:t>
      </w:r>
      <w:r>
        <w:t xml:space="preserve">700</w:t>
      </w:r>
      <w:r>
        <w:t xml:space="preserve"> </w:t>
      </w:r>
      <w:r>
        <w:t xml:space="preserve">K). Values below</w:t>
      </w:r>
      <w:r>
        <w:t xml:space="preserve"> </w:t>
      </w:r>
      <w:r>
        <w:t xml:space="preserve">300</w:t>
      </w:r>
      <w:r>
        <w:t xml:space="preserve"> </w:t>
      </w:r>
      <w:r>
        <w:t xml:space="preserve">K (room temperature,</w:t>
      </w:r>
      <w:r>
        <w:t xml:space="preserve"> </w:t>
      </w:r>
      <w:r>
        <w:t xml:space="preserve">298.15</w:t>
      </w:r>
      <w:r>
        <w:t xml:space="preserve"> </w:t>
      </w:r>
      <w:r>
        <w:t xml:space="preserve">K) or at or above</w:t>
      </w:r>
      <w:r>
        <w:t xml:space="preserve"> </w:t>
      </w:r>
      <w:r>
        <w:t xml:space="preserve">800</w:t>
      </w:r>
      <w:r>
        <w:t xml:space="preserve"> </w:t>
      </w:r>
      <w:r>
        <w:t xml:space="preserve">K are recorded and not compared. Derived curves are not read (Wiedemann-Franz electronic conductivity, fitted lines, DFT and Boltzmann-transport</w:t>
      </w:r>
      <w:r>
        <w:t xml:space="preserve"> </w:t>
      </w:r>
      <w:r>
        <w:t xml:space="preserve">results). Units are converted to those of the pipeline (S: µV K</w:t>
      </w:r>
      <w:r>
        <w:rPr>
          <w:vertAlign w:val="superscript"/>
        </w:rPr>
        <w:t xml:space="preserve">-1</w:t>
      </w:r>
      <w:r>
        <w:t xml:space="preserve">,</w:t>
      </w:r>
      <w:r>
        <w:t xml:space="preserve"> </w:t>
      </w:r>
      <w:r>
        <w:rPr>
          <w:i/>
          <w:iCs/>
        </w:rPr>
        <w:t xml:space="preserve">σ</w:t>
      </w:r>
      <w:r>
        <w:t xml:space="preserve">: S m</w:t>
      </w:r>
      <w:r>
        <w:rPr>
          <w:vertAlign w:val="superscript"/>
        </w:rPr>
        <w:t xml:space="preserve">-1</w:t>
      </w:r>
      <w:r>
        <w:t xml:space="preserve">,</w:t>
      </w:r>
      <w:r>
        <w:t xml:space="preserve"> </w:t>
      </w:r>
      <w:r>
        <w:rPr>
          <w:i/>
          <w:iCs/>
        </w:rPr>
        <w:t xml:space="preserve">κ</w:t>
      </w:r>
      <w:r>
        <w:t xml:space="preserve">: W m</w:t>
      </w:r>
      <w:r>
        <w:rPr>
          <w:vertAlign w:val="superscript"/>
        </w:rPr>
        <w:t xml:space="preserve">-1</w:t>
      </w:r>
      <w:r>
        <w:t xml:space="preserve"> </w:t>
      </w:r>
      <w:r>
        <w:t xml:space="preserve">K</w:t>
      </w:r>
      <w:r>
        <w:rPr>
          <w:vertAlign w:val="superscript"/>
        </w:rPr>
        <w:t xml:space="preserve">-1</w:t>
      </w:r>
      <w:r>
        <w:t xml:space="preserve">;</w:t>
      </w:r>
      <w:r>
        <w:t xml:space="preserve"> </w:t>
      </w:r>
      <w:r>
        <w:rPr>
          <w:i/>
          <w:iCs/>
        </w:rPr>
        <w:t xml:space="preserve">zT</w:t>
      </w:r>
      <w:r>
        <w:t xml:space="preserve"> </w:t>
      </w:r>
      <w:r>
        <w:t xml:space="preserve">as stated, or</w:t>
      </w:r>
      <w:r>
        <w:t xml:space="preserve"> </w:t>
      </w:r>
      <w:r>
        <w:rPr>
          <w:i/>
          <w:iCs/>
        </w:rPr>
        <w:t xml:space="preserve">Z</w:t>
      </w:r>
      <w:r>
        <w:t xml:space="preserve"> </w:t>
      </w:r>
      <w:r>
        <w:t xml:space="preserve">multiplied by the temperature). Where S,</w:t>
      </w:r>
      <w:r>
        <w:t xml:space="preserve"> </w:t>
      </w:r>
      <w:r>
        <w:rPr>
          <w:i/>
          <w:iCs/>
        </w:rPr>
        <w:t xml:space="preserve">σ</w:t>
      </w:r>
      <w:r>
        <w:t xml:space="preserve"> </w:t>
      </w:r>
      <w:r>
        <w:t xml:space="preserve">(or resistivity),</w:t>
      </w:r>
      <w:r>
        <w:t xml:space="preserve"> </w:t>
      </w:r>
      <w:r>
        <w:rPr>
          <w:i/>
          <w:iCs/>
        </w:rPr>
        <w:t xml:space="preserve">κ</w:t>
      </w:r>
      <w:r>
        <w:t xml:space="preserve"> </w:t>
      </w:r>
      <w:r>
        <w:t xml:space="preserve">and</w:t>
      </w:r>
      <w:r>
        <w:t xml:space="preserve"> </w:t>
      </w:r>
      <w:r>
        <w:rPr>
          <w:i/>
          <w:iCs/>
        </w:rPr>
        <w:t xml:space="preserve">zT</w:t>
      </w:r>
      <w:r>
        <w:t xml:space="preserve"> </w:t>
      </w:r>
      <w:r>
        <w:t xml:space="preserve">are all read at one</w:t>
      </w:r>
      <w:r>
        <w:t xml:space="preserve"> </w:t>
      </w:r>
      <w:r>
        <w:t xml:space="preserve">temperature,</w:t>
      </w:r>
      <w:r>
        <w:t xml:space="preserve"> </w:t>
      </w:r>
      <w:r>
        <w:rPr>
          <w:i/>
          <w:iCs/>
        </w:rPr>
        <w:t xml:space="preserve">zT</w:t>
      </w:r>
      <w:r>
        <w:t xml:space="preserve"> </w:t>
      </w:r>
      <w:r>
        <w:t xml:space="preserve">is recomputed from the other three and the ratio is reported against the printed value; where the temperatures differ (</w:t>
      </w:r>
      <w:r>
        <w:rPr>
          <w:i/>
          <w:iCs/>
        </w:rPr>
        <w:t xml:space="preserve">κ</w:t>
      </w:r>
      <w:r>
        <w:t xml:space="preserve"> </w:t>
      </w:r>
      <w:r>
        <w:t xml:space="preserve">of the SrTiO</w:t>
      </w:r>
      <w:r>
        <w:rPr>
          <w:vertAlign w:val="subscript"/>
        </w:rPr>
        <w:t xml:space="preserve">3</w:t>
      </w:r>
      <w:r>
        <w:t xml:space="preserve"> </w:t>
      </w:r>
      <w:r>
        <w:t xml:space="preserve">crystals) an interpolated, labelled approximate check is</w:t>
      </w:r>
      <w:r>
        <w:t xml:space="preserve"> </w:t>
      </w:r>
      <w:r>
        <w:t xml:space="preserve">made. These checks are reported, never used to exclude or change a value. A value takes the temperature the paper states for it (Shibasaki et al., Fig. 5:</w:t>
      </w:r>
      <w:r>
        <w:t xml:space="preserve"> </w:t>
      </w:r>
      <w:r>
        <w:t xml:space="preserve">300</w:t>
      </w:r>
      <w:r>
        <w:t xml:space="preserve"> </w:t>
      </w:r>
      <w:r>
        <w:t xml:space="preserve">K), not the drawn position of its marker. Where the clicked value axis of a digitising project</w:t>
      </w:r>
      <w:r>
        <w:t xml:space="preserve"> </w:t>
      </w:r>
      <w:r>
        <w:t xml:space="preserve">did not match the printed ticks (Rajasekaran et al., Fig. 10), the value is read at the click’s pixel row on the printed ticks and the clicked values are not used; the abstract’s printed value is then a check. A table value with no stated temperature</w:t>
      </w:r>
      <w:r>
        <w:t xml:space="preserve"> </w:t>
      </w:r>
      <w:r>
        <w:t xml:space="preserve">(Rajasekaran et al., Table 2) is not read.</w:t>
      </w:r>
    </w:p>
    <w:p>
      <w:pPr>
        <w:pStyle w:val="BodyText"/>
      </w:pPr>
      <w:r>
        <w:rPr>
          <w:b/>
          <w:bCs/>
        </w:rPr>
        <w:t xml:space="preserve">Marker temperatures in figures with several series.</w:t>
      </w:r>
      <w:r>
        <w:t xml:space="preserve"> </w:t>
      </w:r>
      <w:r>
        <w:t xml:space="preserve">In a figure whose series were measured at common temperatures, the temperature of a marker is the consensus of its column: the mean of the marker-centre</w:t>
      </w:r>
      <w:r>
        <w:t xml:space="preserve"> </w:t>
      </w:r>
      <w:r>
        <w:t xml:space="preserve">temperatures of the series, read on a straight line through the printed ticks of the axis (the calibration uncertainty</w:t>
      </w:r>
      <w:r>
        <w:t xml:space="preserve"> </w:t>
      </w:r>
      <w:r>
        <w:rPr>
          <w:i/>
          <w:iCs/>
        </w:rPr>
        <w:t xml:space="preserve">u</w:t>
      </w:r>
      <w:r>
        <w:t xml:space="preserve"> </w:t>
      </w:r>
      <w:r>
        <w:t xml:space="preserve">is the largest residual of that line); where several figures report one measurement run, a column has</w:t>
      </w:r>
      <w:r>
        <w:t xml:space="preserve"> </w:t>
      </w:r>
      <w:r>
        <w:t xml:space="preserve">one temperature, the mean of the figures’ consensus weighted by</w:t>
      </w:r>
      <w:r>
        <w:t xml:space="preserve"> </w:t>
      </w:r>
      <m:oMath>
        <m:r>
          <m:t>1</m:t>
        </m:r>
        <m:r>
          <m:rPr>
            <m:sty m:val="p"/>
          </m:rPr>
          <m:t>/</m:t>
        </m:r>
        <m:sSup>
          <m:e>
            <m:r>
              <m:t>u</m:t>
            </m:r>
          </m:e>
          <m:sup>
            <m:r>
              <m:t>2</m:t>
            </m:r>
          </m:sup>
        </m:sSup>
      </m:oMath>
      <w:r>
        <w:t xml:space="preserve">. The marker centre is the centroid of the enclosed white interior of an open symbol or of the opened body of a filled one; a symmetry fit is used</w:t>
      </w:r>
      <w:r>
        <w:t xml:space="preserve"> </w:t>
      </w:r>
      <w:r>
        <w:t xml:space="preserve">only for symbols with no enclosed interior (hatched, dotted, plus). Where the series do not share temperatures (Ohtaki et al., Figs. 4 and 6), every marker has its own temperature. For an axis of</w:t>
      </w:r>
      <w:r>
        <w:t xml:space="preserve"> </w:t>
      </w:r>
      <m:oMath>
        <m:r>
          <m:t>1000</m:t>
        </m:r>
        <m:r>
          <m:rPr>
            <m:sty m:val="p"/>
          </m:rPr>
          <m:t>/</m:t>
        </m:r>
        <m:r>
          <m:t>T</m:t>
        </m:r>
      </m:oMath>
      <w:r>
        <w:t xml:space="preserve"> </w:t>
      </w:r>
      <w:r>
        <w:t xml:space="preserve">(Ohtaki et al.,</w:t>
      </w:r>
      <w:r>
        <w:t xml:space="preserve"> </w:t>
      </w:r>
      <w:r>
        <w:t xml:space="preserve">Fig. 1),</w:t>
      </w:r>
      <w:r>
        <w:t xml:space="preserve"> </w:t>
      </w:r>
      <m:oMath>
        <m:r>
          <m:t>T</m:t>
        </m:r>
        <m:r>
          <m:rPr>
            <m:sty m:val="p"/>
          </m:rPr>
          <m:t>=</m:t>
        </m:r>
        <m:r>
          <m:t>1000</m:t>
        </m:r>
        <m:r>
          <m:rPr>
            <m:sty m:val="p"/>
          </m:rPr>
          <m:t>/</m:t>
        </m:r>
        <m:r>
          <m:t>x</m:t>
        </m:r>
      </m:oMath>
      <w:r>
        <w:t xml:space="preserve">,</w:t>
      </w:r>
      <w:r>
        <w:t xml:space="preserve"> </w:t>
      </w:r>
      <m:oMath>
        <m:r>
          <m:t>u</m:t>
        </m:r>
        <m:r>
          <m:rPr>
            <m:sty m:val="p"/>
          </m:rPr>
          <m:t>(</m:t>
        </m:r>
        <m:r>
          <m:t>T</m:t>
        </m:r>
        <m:r>
          <m:rPr>
            <m:sty m:val="p"/>
          </m:rPr>
          <m:t>)</m:t>
        </m:r>
        <m:r>
          <m:rPr>
            <m:sty m:val="p"/>
          </m:rPr>
          <m:t>=</m:t>
        </m:r>
        <m:sSup>
          <m:e>
            <m:r>
              <m:t>T</m:t>
            </m:r>
          </m:e>
          <m:sup>
            <m:r>
              <m:t>2</m:t>
            </m:r>
          </m:sup>
        </m:sSup>
        <m:r>
          <m:rPr>
            <m:sty m:val="p"/>
          </m:rPr>
          <m:t>/</m:t>
        </m:r>
        <m:r>
          <m:t>1000</m:t>
        </m:r>
        <m:r>
          <m:t> </m:t>
        </m:r>
        <m:r>
          <m:t>u</m:t>
        </m:r>
        <m:r>
          <m:rPr>
            <m:sty m:val="p"/>
          </m:rPr>
          <m:t>(</m:t>
        </m:r>
        <m:r>
          <m:t>x</m:t>
        </m:r>
        <m:r>
          <m:rPr>
            <m:sty m:val="p"/>
          </m:rPr>
          <m:t>)</m:t>
        </m:r>
      </m:oMath>
      <w:r>
        <w:t xml:space="preserve">, and</w:t>
      </w:r>
      <w:r>
        <w:t xml:space="preserve"> </w:t>
      </w:r>
      <w:r>
        <w:rPr>
          <w:i/>
          <w:iCs/>
        </w:rPr>
        <w:t xml:space="preserve">x</w:t>
      </w:r>
      <w:r>
        <w:t xml:space="preserve"> </w:t>
      </w:r>
      <w:r>
        <w:t xml:space="preserve">is interpolated between the bottom and the top tick lines because the scan is tilted; for Rajasekaran et al., Fig. 10, the small tilt of the frame is corrected</w:t>
      </w:r>
      <w:r>
        <w:t xml:space="preserve"> </w:t>
      </w:r>
      <w:r>
        <w:t xml:space="preserve">from the frame’s own edges.</w:t>
      </w:r>
    </w:p>
    <w:p>
      <w:pPr>
        <w:pStyle w:val="BodyText"/>
      </w:pPr>
      <w:r>
        <w:rPr>
          <w:b/>
          <w:bCs/>
        </w:rPr>
        <w:t xml:space="preserve">Edge sensitivity.</w:t>
      </w:r>
      <w:r>
        <w:t xml:space="preserve"> </w:t>
      </w:r>
      <w:r>
        <w:t xml:space="preserve">A value whose temperature lies within</w:t>
      </w:r>
      <w:r>
        <w:t xml:space="preserve"> </w:t>
      </w:r>
      <w:r>
        <w:t xml:space="preserve">2</w:t>
      </w:r>
      <w:r>
        <w:t xml:space="preserve"> </w:t>
      </w:r>
      <w:r>
        <w:rPr>
          <w:i/>
          <w:iCs/>
        </w:rPr>
        <w:t xml:space="preserve">u</w:t>
      </w:r>
      <w:r>
        <w:t xml:space="preserve"> </w:t>
      </w:r>
      <w:r>
        <w:t xml:space="preserve">of a bin edge is compared in its floor bin (the headline) and also in the neighbouring bin; both are reported, together with the overall summary</w:t>
      </w:r>
      <w:r>
        <w:t xml:space="preserve"> </w:t>
      </w:r>
      <w:r>
        <w:t xml:space="preserve">under the neighbouring-bin assignment and the values whose result changes.</w:t>
      </w:r>
    </w:p>
    <w:p>
      <w:pPr>
        <w:pStyle w:val="BodyText"/>
      </w:pPr>
      <w:r>
        <w:rPr>
          <w:b/>
          <w:bCs/>
        </w:rPr>
        <w:t xml:space="preserve">Legibility.</w:t>
      </w:r>
      <w:r>
        <w:t xml:space="preserve"> </w:t>
      </w:r>
      <w:r>
        <w:t xml:space="preserve">Only markers whose centre can be placed are read. The enclosed interior of an open symbol, or the opened body of a filled one, is searched in two passes (a window centred on the click, then on what the first pass found) so that a</w:t>
      </w:r>
      <w:r>
        <w:t xml:space="preserve"> </w:t>
      </w:r>
      <w:r>
        <w:t xml:space="preserve">marker is not clipped when the click is off-centre. A marker overlapped by another symbol is recorded as not legible, with its series and column, in a list derived from the digitised files and not typed; the count is reported with the results. A click whose</w:t>
      </w:r>
      <w:r>
        <w:t xml:space="preserve"> </w:t>
      </w:r>
      <w:r>
        <w:t xml:space="preserve">centre the estimator cannot place is skipped. Three image-derived gates apply, with the same thresholds, to every digitised scanned figure (Ohta et al., Figs. 1, 2, 3 and 4; Ohtaki et al., Figs. 1, 4, 6 and 7; Rajasekaran et al., Fig. 10): a marker is removed if</w:t>
      </w:r>
      <w:r>
        <w:t xml:space="preserve"> </w:t>
      </w:r>
      <w:r>
        <w:t xml:space="preserve">its enclosed interior is smaller than</w:t>
      </w:r>
      <w:r>
        <w:t xml:space="preserve"> </w:t>
      </w:r>
      <w:r>
        <w:t xml:space="preserve">0.8</w:t>
      </w:r>
      <w:r>
        <w:t xml:space="preserve"> </w:t>
      </w:r>
      <w:r>
        <w:t xml:space="preserve">of the median of its series (interior partly covered), if a left-right symmetry fit computed on its opened body (which a joining line does not bias) and its interior centre are more than</w:t>
      </w:r>
      <w:r>
        <w:t xml:space="preserve"> </w:t>
      </w:r>
      <w:r>
        <w:t xml:space="preserve">10</w:t>
      </w:r>
      <w:r>
        <w:t xml:space="preserve"> </w:t>
      </w:r>
      <w:r>
        <w:t xml:space="preserve">px apart, or if its image temperature is more than</w:t>
      </w:r>
      <w:r>
        <w:t xml:space="preserve"> </w:t>
      </w:r>
      <w:r>
        <w:t xml:space="preserve">15</w:t>
      </w:r>
      <w:r>
        <w:t xml:space="preserve"> </w:t>
      </w:r>
      <w:r>
        <w:t xml:space="preserve">K from the temperature of its click. The columns of a figure for the not-legible list are derived from a reference series (and a</w:t>
      </w:r>
      <w:r>
        <w:t xml:space="preserve"> </w:t>
      </w:r>
      <w:r>
        <w:t xml:space="preserve">20</w:t>
      </w:r>
      <w:r>
        <w:t xml:space="preserve"> </w:t>
      </w:r>
      <w:r>
        <w:t xml:space="preserve">K gap) where the series share columns, and from the clustering of all markers where they do not.</w:t>
      </w:r>
    </w:p>
    <w:p>
      <w:pPr>
        <w:pStyle w:val="BodyText"/>
      </w:pPr>
      <w:r>
        <w:rPr>
          <w:b/>
          <w:bCs/>
        </w:rPr>
        <w:t xml:space="preserve">Paper-specific rules.</w:t>
      </w:r>
      <w:r>
        <w:t xml:space="preserve"> </w:t>
      </w:r>
      <w:r>
        <w:t xml:space="preserve">For Shibasaki et al., only undoped LaRhO</w:t>
      </w:r>
      <w:r>
        <w:rPr>
          <w:vertAlign w:val="subscript"/>
        </w:rPr>
        <w:t xml:space="preserve">3</w:t>
      </w:r>
      <w:r>
        <w:t xml:space="preserve"> </w:t>
      </w:r>
      <w:r>
        <w:t xml:space="preserve">is compared (the pre-registered compound is the undoped member); the Ni- and Mg-substituted members are recorded and not compared. The rows come from Fig. 5, which states</w:t>
      </w:r>
      <w:r>
        <w:t xml:space="preserve"> </w:t>
      </w:r>
      <w:r>
        <w:t xml:space="preserve">300</w:t>
      </w:r>
      <w:r>
        <w:t xml:space="preserve"> </w:t>
      </w:r>
      <w:r>
        <w:t xml:space="preserve">K; the end</w:t>
      </w:r>
      <w:r>
        <w:t xml:space="preserve"> </w:t>
      </w:r>
      <w:r>
        <w:t xml:space="preserve">markers of Figs. 2 and 4 are a cross-check. Where a Fig. 5 value lies within</w:t>
      </w:r>
      <w:r>
        <w:t xml:space="preserve"> </w:t>
      </w:r>
      <w:r>
        <w:t xml:space="preserve">1</w:t>
      </w:r>
      <w:r>
        <w:t xml:space="preserve">% of its axis range it cannot be read, and the same sample’s value at that temperature is taken from the figure that resolves it: this applies to the conductivity of undoped LaRhO</w:t>
      </w:r>
      <w:r>
        <w:rPr>
          <w:vertAlign w:val="subscript"/>
        </w:rPr>
        <w:t xml:space="preserve">3</w:t>
      </w:r>
      <w:r>
        <w:t xml:space="preserve">,</w:t>
      </w:r>
      <w:r>
        <w:t xml:space="preserve"> </w:t>
      </w:r>
      <w:r>
        <w:t xml:space="preserve">taken from the end markers of the unsubstituted series of Figs. 2 and 4. For Rajasekaran et al., the rows come from Fig. 10, panels (a) and (b) (BaSnO</w:t>
      </w:r>
      <w:r>
        <w:rPr>
          <w:vertAlign w:val="subscript"/>
        </w:rPr>
        <w:t xml:space="preserve">3</w:t>
      </w:r>
      <w:r>
        <w:t xml:space="preserve"> </w:t>
      </w:r>
      <w:r>
        <w:t xml:space="preserve">with La at the Ba site; the undoped sample has no conductivity or Seebeck coefficient in the paper), each row compared at the</w:t>
      </w:r>
      <w:r>
        <w:t xml:space="preserve"> </w:t>
      </w:r>
      <w:r>
        <w:t xml:space="preserve">cluster level.</w:t>
      </w:r>
    </w:p>
    <w:bookmarkEnd w:id="23"/>
    <w:bookmarkStart w:id="27" w:name="Xfef9479bd86335c3fcd143954b58c23f4990530"/>
    <w:p>
      <w:pPr>
        <w:pStyle w:val="Heading2"/>
      </w:pPr>
      <w:r>
        <w:t xml:space="preserve">Supplementary Note S4: The five validation methods (supplement to Section 3.1.1)</w:t>
      </w:r>
    </w:p>
    <w:p>
      <w:pPr>
        <w:pStyle w:val="FirstParagraph"/>
      </w:pPr>
      <w:r>
        <w:t xml:space="preserve">Supplementary Table S3 and Supplementary Figure S3 compare the five validation methods. Random split, 5-fold and 10-fold CV give practically identical R</w:t>
      </w:r>
      <w:r>
        <w:rPr>
          <w:vertAlign w:val="superscript"/>
        </w:rPr>
        <w:t xml:space="preserve">2</w:t>
      </w:r>
      <w:r>
        <w:t xml:space="preserve"> </w:t>
      </w:r>
      <w:r>
        <w:t xml:space="preserve">(maximum difference</w:t>
      </w:r>
      <w:r>
        <w:t xml:space="preserve"> </w:t>
      </w:r>
      <w:r>
        <w:t xml:space="preserve">0.002</w:t>
      </w:r>
      <w:r>
        <w:t xml:space="preserve"> </w:t>
      </w:r>
      <w:r>
        <w:t xml:space="preserve">per target), showing that all three leak the same temperature-series information and that increasing the number of folds does not address the leakage.</w:t>
      </w:r>
    </w:p>
    <w:p>
      <w:pPr>
        <w:pStyle w:val="BodyText"/>
      </w:pPr>
      <w:r>
        <w:rPr>
          <w:b/>
          <w:bCs/>
        </w:rPr>
        <w:t xml:space="preserve">Supplementary Table S3:</w:t>
      </w:r>
      <w:r>
        <w:t xml:space="preserve"> </w:t>
      </w:r>
      <w:r>
        <w:t xml:space="preserve">R</w:t>
      </w:r>
      <w:r>
        <w:rPr>
          <w:vertAlign w:val="superscript"/>
        </w:rPr>
        <w:t xml:space="preserve">2</w:t>
      </w:r>
      <w:r>
        <w:t xml:space="preserve"> </w:t>
      </w:r>
      <w:r>
        <w:t xml:space="preserve">obtained with five validation methods (same model, frozen hyperparameters and 397 features). Random 80/20 pools 20 independent draws; 5-fold and 10-fold are single partitions; composition and chemistry cluster are the mean ± SD across 5 repeats. ∆R</w:t>
      </w:r>
      <w:r>
        <w:rPr>
          <w:vertAlign w:val="superscript"/>
        </w:rPr>
        <w:t xml:space="preserve">2</w:t>
      </w:r>
      <w:r>
        <w:t xml:space="preserve"> </w:t>
      </w:r>
      <w:r>
        <w:t xml:space="preserve">is random 80/20 minus chemistry cluster.</w:t>
      </w:r>
    </w:p>
    <w:tbl>
      <w:tblPr>
        <w:tblStyle w:val="Table"/>
        <w:tblW w:type="pct" w:w="5000"/>
        <w:tblLayout w:type="fixed"/>
        <w:tblLook w:firstRow="1" w:lastRow="0" w:firstColumn="0" w:lastColumn="0" w:noHBand="0" w:noVBand="0" w:val="0020"/>
      </w:tblPr>
      <w:tblGrid>
        <w:gridCol w:w="950"/>
        <w:gridCol w:w="1056"/>
        <w:gridCol w:w="1056"/>
        <w:gridCol w:w="1056"/>
        <w:gridCol w:w="1372"/>
        <w:gridCol w:w="1372"/>
        <w:gridCol w:w="1056"/>
      </w:tblGrid>
      <w:tr>
        <w:trPr>
          <w:tblHeader w:val="on"/>
        </w:trPr>
        <w:tc>
          <w:tcPr/>
          <w:p>
            <w:pPr>
              <w:pStyle w:val="Compact"/>
            </w:pPr>
            <w:r>
              <w:rPr>
                <w:b/>
                <w:bCs/>
              </w:rPr>
              <w:t xml:space="preserve">Target</w:t>
            </w:r>
          </w:p>
        </w:tc>
        <w:tc>
          <w:tcPr/>
          <w:p>
            <w:pPr>
              <w:pStyle w:val="Compact"/>
            </w:pPr>
            <w:r>
              <w:rPr>
                <w:b/>
                <w:bCs/>
              </w:rPr>
              <w:t xml:space="preserve">Random 80/20</w:t>
            </w:r>
          </w:p>
        </w:tc>
        <w:tc>
          <w:tcPr/>
          <w:p>
            <w:pPr>
              <w:pStyle w:val="Compact"/>
            </w:pPr>
            <w:r>
              <w:rPr>
                <w:b/>
                <w:bCs/>
              </w:rPr>
              <w:t xml:space="preserve">5-fold</w:t>
            </w:r>
          </w:p>
        </w:tc>
        <w:tc>
          <w:tcPr/>
          <w:p>
            <w:pPr>
              <w:pStyle w:val="Compact"/>
            </w:pPr>
            <w:r>
              <w:rPr>
                <w:b/>
                <w:bCs/>
              </w:rPr>
              <w:t xml:space="preserve">10-fold</w:t>
            </w:r>
          </w:p>
        </w:tc>
        <w:tc>
          <w:tcPr/>
          <w:p>
            <w:pPr>
              <w:pStyle w:val="Compact"/>
            </w:pPr>
            <w:r>
              <w:rPr>
                <w:b/>
                <w:bCs/>
              </w:rPr>
              <w:t xml:space="preserve">Composition</w:t>
            </w:r>
          </w:p>
        </w:tc>
        <w:tc>
          <w:tcPr/>
          <w:p>
            <w:pPr>
              <w:pStyle w:val="Compact"/>
            </w:pPr>
            <w:r>
              <w:rPr>
                <w:b/>
                <w:bCs/>
              </w:rPr>
              <w:t xml:space="preserve">Chemistry cluster</w:t>
            </w:r>
          </w:p>
        </w:tc>
        <w:tc>
          <w:tcPr/>
          <w:p>
            <w:pPr>
              <w:pStyle w:val="Compact"/>
            </w:pPr>
            <w:r>
              <w:rPr>
                <w:b/>
                <w:bCs/>
              </w:rPr>
              <w:t xml:space="preserve">∆R</w:t>
            </w:r>
            <w:r>
              <w:rPr>
                <w:b/>
                <w:bCs/>
                <w:vertAlign w:val="superscript"/>
              </w:rPr>
              <w:t xml:space="preserve">2</w:t>
            </w:r>
          </w:p>
        </w:tc>
      </w:tr>
      <w:tr>
        <w:tc>
          <w:tcPr/>
          <w:p>
            <w:pPr>
              <w:pStyle w:val="Compact"/>
            </w:pPr>
            <w:r>
              <w:t xml:space="preserve">S</w:t>
            </w:r>
          </w:p>
        </w:tc>
        <w:tc>
          <w:tcPr/>
          <w:p>
            <w:pPr>
              <w:pStyle w:val="Compact"/>
            </w:pPr>
            <w:r>
              <w:t xml:space="preserve">0.958</w:t>
            </w:r>
          </w:p>
        </w:tc>
        <w:tc>
          <w:tcPr/>
          <w:p>
            <w:pPr>
              <w:pStyle w:val="Compact"/>
            </w:pPr>
            <w:r>
              <w:t xml:space="preserve">0.958</w:t>
            </w:r>
          </w:p>
        </w:tc>
        <w:tc>
          <w:tcPr/>
          <w:p>
            <w:pPr>
              <w:pStyle w:val="Compact"/>
            </w:pPr>
            <w:r>
              <w:t xml:space="preserve">0.960</w:t>
            </w:r>
          </w:p>
        </w:tc>
        <w:tc>
          <w:tcPr/>
          <w:p>
            <w:pPr>
              <w:pStyle w:val="Compact"/>
            </w:pPr>
            <w:r>
              <w:t xml:space="preserve">0.832 ± 0.004</w:t>
            </w:r>
          </w:p>
        </w:tc>
        <w:tc>
          <w:tcPr/>
          <w:p>
            <w:pPr>
              <w:pStyle w:val="Compact"/>
            </w:pPr>
            <w:r>
              <w:t xml:space="preserve">0.753 ± 0.005</w:t>
            </w:r>
          </w:p>
        </w:tc>
        <w:tc>
          <w:tcPr/>
          <w:p>
            <w:pPr>
              <w:pStyle w:val="Compact"/>
            </w:pPr>
            <w:r>
              <w:t xml:space="preserve">+0.205</w:t>
            </w:r>
          </w:p>
        </w:tc>
      </w:tr>
      <w:tr>
        <w:tc>
          <w:tcPr/>
          <w:p>
            <w:pPr>
              <w:pStyle w:val="Compact"/>
            </w:pPr>
            <w:r>
              <w:rPr>
                <w:i/>
                <w:iCs/>
              </w:rPr>
              <w:t xml:space="preserve">σ</w:t>
            </w:r>
          </w:p>
        </w:tc>
        <w:tc>
          <w:tcPr/>
          <w:p>
            <w:pPr>
              <w:pStyle w:val="Compact"/>
            </w:pPr>
            <w:r>
              <w:t xml:space="preserve">0.915</w:t>
            </w:r>
          </w:p>
        </w:tc>
        <w:tc>
          <w:tcPr/>
          <w:p>
            <w:pPr>
              <w:pStyle w:val="Compact"/>
            </w:pPr>
            <w:r>
              <w:t xml:space="preserve">0.915</w:t>
            </w:r>
          </w:p>
        </w:tc>
        <w:tc>
          <w:tcPr/>
          <w:p>
            <w:pPr>
              <w:pStyle w:val="Compact"/>
            </w:pPr>
            <w:r>
              <w:t xml:space="preserve">0.917</w:t>
            </w:r>
          </w:p>
        </w:tc>
        <w:tc>
          <w:tcPr/>
          <w:p>
            <w:pPr>
              <w:pStyle w:val="Compact"/>
            </w:pPr>
            <w:r>
              <w:t xml:space="preserve">0.776 ± 0.002</w:t>
            </w:r>
          </w:p>
        </w:tc>
        <w:tc>
          <w:tcPr/>
          <w:p>
            <w:pPr>
              <w:pStyle w:val="Compact"/>
            </w:pPr>
            <w:r>
              <w:t xml:space="preserve">0.702 ± 0.002</w:t>
            </w:r>
          </w:p>
        </w:tc>
        <w:tc>
          <w:tcPr/>
          <w:p>
            <w:pPr>
              <w:pStyle w:val="Compact"/>
            </w:pPr>
            <w:r>
              <w:t xml:space="preserve">+0.213</w:t>
            </w:r>
          </w:p>
        </w:tc>
      </w:tr>
      <w:tr>
        <w:tc>
          <w:tcPr/>
          <w:p>
            <w:pPr>
              <w:pStyle w:val="Compact"/>
            </w:pPr>
            <w:r>
              <w:rPr>
                <w:i/>
                <w:iCs/>
              </w:rPr>
              <w:t xml:space="preserve">κ</w:t>
            </w:r>
          </w:p>
        </w:tc>
        <w:tc>
          <w:tcPr/>
          <w:p>
            <w:pPr>
              <w:pStyle w:val="Compact"/>
            </w:pPr>
            <w:r>
              <w:t xml:space="preserve">0.943</w:t>
            </w:r>
          </w:p>
        </w:tc>
        <w:tc>
          <w:tcPr/>
          <w:p>
            <w:pPr>
              <w:pStyle w:val="Compact"/>
            </w:pPr>
            <w:r>
              <w:t xml:space="preserve">0.944</w:t>
            </w:r>
          </w:p>
        </w:tc>
        <w:tc>
          <w:tcPr/>
          <w:p>
            <w:pPr>
              <w:pStyle w:val="Compact"/>
            </w:pPr>
            <w:r>
              <w:t xml:space="preserve">0.946</w:t>
            </w:r>
          </w:p>
        </w:tc>
        <w:tc>
          <w:tcPr/>
          <w:p>
            <w:pPr>
              <w:pStyle w:val="Compact"/>
            </w:pPr>
            <w:r>
              <w:t xml:space="preserve">0.857 ± 0.001</w:t>
            </w:r>
          </w:p>
        </w:tc>
        <w:tc>
          <w:tcPr/>
          <w:p>
            <w:pPr>
              <w:pStyle w:val="Compact"/>
            </w:pPr>
            <w:r>
              <w:t xml:space="preserve">0.809 ± 0.002</w:t>
            </w:r>
          </w:p>
        </w:tc>
        <w:tc>
          <w:tcPr/>
          <w:p>
            <w:pPr>
              <w:pStyle w:val="Compact"/>
            </w:pPr>
            <w:r>
              <w:t xml:space="preserve">+0.134</w:t>
            </w:r>
          </w:p>
        </w:tc>
      </w:tr>
      <w:tr>
        <w:tc>
          <w:tcPr/>
          <w:p>
            <w:pPr>
              <w:pStyle w:val="Compact"/>
            </w:pPr>
            <w:r>
              <w:t xml:space="preserve">zT</w:t>
            </w:r>
          </w:p>
        </w:tc>
        <w:tc>
          <w:tcPr/>
          <w:p>
            <w:pPr>
              <w:pStyle w:val="Compact"/>
            </w:pPr>
            <w:r>
              <w:t xml:space="preserve">0.918</w:t>
            </w:r>
          </w:p>
        </w:tc>
        <w:tc>
          <w:tcPr/>
          <w:p>
            <w:pPr>
              <w:pStyle w:val="Compact"/>
            </w:pPr>
            <w:r>
              <w:t xml:space="preserve">0.918</w:t>
            </w:r>
          </w:p>
        </w:tc>
        <w:tc>
          <w:tcPr/>
          <w:p>
            <w:pPr>
              <w:pStyle w:val="Compact"/>
            </w:pPr>
            <w:r>
              <w:t xml:space="preserve">0.919</w:t>
            </w:r>
          </w:p>
        </w:tc>
        <w:tc>
          <w:tcPr/>
          <w:p>
            <w:pPr>
              <w:pStyle w:val="Compact"/>
            </w:pPr>
            <w:r>
              <w:t xml:space="preserve">0.818 ± 0.001</w:t>
            </w:r>
          </w:p>
        </w:tc>
        <w:tc>
          <w:tcPr/>
          <w:p>
            <w:pPr>
              <w:pStyle w:val="Compact"/>
            </w:pPr>
            <w:r>
              <w:t xml:space="preserve">0.746 ± 0.005</w:t>
            </w:r>
          </w:p>
        </w:tc>
        <w:tc>
          <w:tcPr/>
          <w:p>
            <w:pPr>
              <w:pStyle w:val="Compact"/>
            </w:pPr>
            <w:r>
              <w:t xml:space="preserve">+0.172</w:t>
            </w:r>
          </w:p>
        </w:tc>
      </w:tr>
    </w:tbl>
    <w:p>
      <w:pPr>
        <w:pStyle w:val="CaptionedFigure"/>
      </w:pPr>
      <w:r>
        <w:drawing>
          <wp:inline>
            <wp:extent cx="5334000" cy="2332389"/>
            <wp:effectExtent b="0" l="0" r="0" t="0"/>
            <wp:docPr descr="Supplementary Figure S3" title="" id="25" name="Picture"/>
            <a:graphic>
              <a:graphicData uri="http://schemas.openxmlformats.org/drawingml/2006/picture">
                <pic:pic>
                  <pic:nvPicPr>
                    <pic:cNvPr descr="../figures/paper_a/fig2_validation_ladder.png" id="26" name="Picture"/>
                    <pic:cNvPicPr>
                      <a:picLocks noChangeArrowheads="1" noChangeAspect="1"/>
                    </pic:cNvPicPr>
                  </pic:nvPicPr>
                  <pic:blipFill>
                    <a:blip r:embed="rId24"/>
                    <a:stretch>
                      <a:fillRect/>
                    </a:stretch>
                  </pic:blipFill>
                  <pic:spPr bwMode="auto">
                    <a:xfrm>
                      <a:off x="0" y="0"/>
                      <a:ext cx="5334000" cy="2332389"/>
                    </a:xfrm>
                    <a:prstGeom prst="rect">
                      <a:avLst/>
                    </a:prstGeom>
                    <a:noFill/>
                    <a:ln w="9525">
                      <a:noFill/>
                      <a:headEnd/>
                      <a:tailEnd/>
                    </a:ln>
                  </pic:spPr>
                </pic:pic>
              </a:graphicData>
            </a:graphic>
          </wp:inline>
        </w:drawing>
      </w:r>
    </w:p>
    <w:p>
      <w:pPr>
        <w:pStyle w:val="ImageCaption"/>
      </w:pPr>
      <w:r>
        <w:t xml:space="preserve">Supplementary Figure S3</w:t>
      </w:r>
    </w:p>
    <w:p>
      <w:pPr>
        <w:pStyle w:val="BodyText"/>
      </w:pPr>
      <w:r>
        <w:rPr>
          <w:b/>
          <w:bCs/>
        </w:rPr>
        <w:t xml:space="preserve">Supplementary Figure S3:</w:t>
      </w:r>
      <w:r>
        <w:t xml:space="preserve"> </w:t>
      </w:r>
      <w:r>
        <w:t xml:space="preserve">Pooled R</w:t>
      </w:r>
      <w:r>
        <w:rPr>
          <w:vertAlign w:val="superscript"/>
        </w:rPr>
        <w:t xml:space="preserve">2</w:t>
      </w:r>
      <w:r>
        <w:t xml:space="preserve"> </w:t>
      </w:r>
      <w:r>
        <w:t xml:space="preserve">across the five validation methods. Chemistry-cluster CV is the lowest for every target; ∆ is random 80/20 minus chemistry cluster. Error bars are the standard deviations defined in Supplementary Table S3.</w:t>
      </w:r>
    </w:p>
    <w:bookmarkEnd w:id="27"/>
    <w:bookmarkStart w:id="28" w:name="X81f7df7cc9302381c9ad9201b54a984d32abc2d"/>
    <w:p>
      <w:pPr>
        <w:pStyle w:val="Heading2"/>
      </w:pPr>
      <w:r>
        <w:t xml:space="preserve">Supplementary Note S5: Weights of the stacking ensemble (supplement to Section 3.1.2)</w:t>
      </w:r>
    </w:p>
    <w:p>
      <w:pPr>
        <w:pStyle w:val="FirstParagraph"/>
      </w:pPr>
      <w:r>
        <w:t xml:space="preserve">The fitted weights are not interpreted: the three models’ predictions are near-collinear (the correlation of any pair within any fold is at least</w:t>
      </w:r>
      <w:r>
        <w:t xml:space="preserve"> </w:t>
      </w:r>
      <w:r>
        <w:t xml:space="preserve">0.976</w:t>
      </w:r>
      <w:r>
        <w:t xml:space="preserve">), the weights range from</w:t>
      </w:r>
      <w:r>
        <w:t xml:space="preserve"> </w:t>
      </w:r>
      <w:r>
        <w:t xml:space="preserve">0.01</w:t>
      </w:r>
      <w:r>
        <w:t xml:space="preserve"> </w:t>
      </w:r>
      <w:r>
        <w:t xml:space="preserve">to</w:t>
      </w:r>
      <w:r>
        <w:t xml:space="preserve"> </w:t>
      </w:r>
      <w:r>
        <w:t xml:space="preserve">0.70</w:t>
      </w:r>
      <w:r>
        <w:t xml:space="preserve"> </w:t>
      </w:r>
      <w:r>
        <w:t xml:space="preserve">over the</w:t>
      </w:r>
      <w:r>
        <w:t xml:space="preserve"> </w:t>
      </w:r>
      <w:r>
        <w:t xml:space="preserve">100</w:t>
      </w:r>
      <w:r>
        <w:t xml:space="preserve"> </w:t>
      </w:r>
      <w:r>
        <w:t xml:space="preserve">fits, and the largest spread of one model’s weight across the</w:t>
      </w:r>
      <w:r>
        <w:t xml:space="preserve"> </w:t>
      </w:r>
      <w:r>
        <w:t xml:space="preserve">25</w:t>
      </w:r>
      <w:r>
        <w:t xml:space="preserve"> </w:t>
      </w:r>
      <w:r>
        <w:t xml:space="preserve">folds of a target is</w:t>
      </w:r>
      <w:r>
        <w:t xml:space="preserve"> </w:t>
      </w:r>
      <w:r>
        <w:t xml:space="preserve">0.35</w:t>
      </w:r>
      <w:r>
        <w:t xml:space="preserve"> </w:t>
      </w:r>
      <w:r>
        <w:t xml:space="preserve">to</w:t>
      </w:r>
      <w:r>
        <w:t xml:space="preserve"> </w:t>
      </w:r>
      <w:r>
        <w:t xml:space="preserve">0.60</w:t>
      </w:r>
      <w:r>
        <w:t xml:space="preserve"> </w:t>
      </w:r>
      <w:r>
        <w:t xml:space="preserve">(depending on the target).</w:t>
      </w:r>
    </w:p>
    <w:bookmarkEnd w:id="28"/>
    <w:bookmarkStart w:id="29" w:name="X7dcab137b5270f746b9a0259b5d84c8cc360c55"/>
    <w:p>
      <w:pPr>
        <w:pStyle w:val="Heading2"/>
      </w:pPr>
      <w:r>
        <w:t xml:space="preserve">Supplementary Note S6: The carrier-type classifier in detail (supplement to Section 3.1.3)</w:t>
      </w:r>
    </w:p>
    <w:p>
      <w:pPr>
        <w:pStyle w:val="FirstParagraph"/>
      </w:pPr>
      <w:r>
        <w:t xml:space="preserve">For the p class precision is</w:t>
      </w:r>
      <w:r>
        <w:t xml:space="preserve"> </w:t>
      </w:r>
      <w:r>
        <w:t xml:space="preserve">0.955</w:t>
      </w:r>
      <w:r>
        <w:t xml:space="preserve"> </w:t>
      </w:r>
      <w:r>
        <w:t xml:space="preserve">(</w:t>
      </w:r>
      <w:r>
        <w:t xml:space="preserve">0.940</w:t>
      </w:r>
      <w:r>
        <w:t xml:space="preserve">–</w:t>
      </w:r>
      <w:r>
        <w:t xml:space="preserve">0.966</w:t>
      </w:r>
      <w:r>
        <w:t xml:space="preserve">) and recall</w:t>
      </w:r>
      <w:r>
        <w:t xml:space="preserve"> </w:t>
      </w:r>
      <w:r>
        <w:t xml:space="preserve">0.951</w:t>
      </w:r>
      <w:r>
        <w:t xml:space="preserve"> </w:t>
      </w:r>
      <w:r>
        <w:t xml:space="preserve">(</w:t>
      </w:r>
      <w:r>
        <w:t xml:space="preserve">0.938</w:t>
      </w:r>
      <w:r>
        <w:t xml:space="preserve">–</w:t>
      </w:r>
      <w:r>
        <w:t xml:space="preserve">0.962</w:t>
      </w:r>
      <w:r>
        <w:t xml:space="preserve">), for the n class</w:t>
      </w:r>
      <w:r>
        <w:t xml:space="preserve"> </w:t>
      </w:r>
      <w:r>
        <w:t xml:space="preserve">0.940</w:t>
      </w:r>
      <w:r>
        <w:t xml:space="preserve"> </w:t>
      </w:r>
      <w:r>
        <w:t xml:space="preserve">(</w:t>
      </w:r>
      <w:r>
        <w:t xml:space="preserve">0.930</w:t>
      </w:r>
      <w:r>
        <w:t xml:space="preserve">–</w:t>
      </w:r>
      <w:r>
        <w:t xml:space="preserve">0.948</w:t>
      </w:r>
      <w:r>
        <w:t xml:space="preserve">) and</w:t>
      </w:r>
      <w:r>
        <w:t xml:space="preserve"> </w:t>
      </w:r>
      <w:r>
        <w:t xml:space="preserve">0.944</w:t>
      </w:r>
      <w:r>
        <w:t xml:space="preserve"> </w:t>
      </w:r>
      <w:r>
        <w:t xml:space="preserve">(</w:t>
      </w:r>
      <w:r>
        <w:t xml:space="preserve">0.934</w:t>
      </w:r>
      <w:r>
        <w:t xml:space="preserve">–</w:t>
      </w:r>
      <w:r>
        <w:t xml:space="preserve">0.954</w:t>
      </w:r>
      <w:r>
        <w:t xml:space="preserve">), and the area under the ROC curve is</w:t>
      </w:r>
      <w:r>
        <w:t xml:space="preserve"> </w:t>
      </w:r>
      <w:r>
        <w:t xml:space="preserve">0.987</w:t>
      </w:r>
      <w:r>
        <w:t xml:space="preserve"> </w:t>
      </w:r>
      <w:r>
        <w:t xml:space="preserve">(</w:t>
      </w:r>
      <w:r>
        <w:t xml:space="preserve">0.985</w:t>
      </w:r>
      <w:r>
        <w:t xml:space="preserve">–</w:t>
      </w:r>
      <w:r>
        <w:t xml:space="preserve">0.990</w:t>
      </w:r>
      <w:r>
        <w:t xml:space="preserve">, first repeat only). Summed over the five repeats the confusion matrix is</w:t>
      </w:r>
      <w:r>
        <w:t xml:space="preserve"> </w:t>
      </w:r>
      <w:r>
        <w:t xml:space="preserve">388,028</w:t>
      </w:r>
      <w:r>
        <w:t xml:space="preserve"> </w:t>
      </w:r>
      <w:r>
        <w:t xml:space="preserve">n-type rows correct and</w:t>
      </w:r>
      <w:r>
        <w:t xml:space="preserve"> </w:t>
      </w:r>
      <w:r>
        <w:t xml:space="preserve">22,832</w:t>
      </w:r>
      <w:r>
        <w:t xml:space="preserve"> </w:t>
      </w:r>
      <w:r>
        <w:t xml:space="preserve">predicted p;</w:t>
      </w:r>
      <w:r>
        <w:t xml:space="preserve"> </w:t>
      </w:r>
      <w:r>
        <w:t xml:space="preserve">24,978</w:t>
      </w:r>
      <w:r>
        <w:t xml:space="preserve"> </w:t>
      </w:r>
      <w:r>
        <w:t xml:space="preserve">p-type rows predicted n and</w:t>
      </w:r>
      <w:r>
        <w:t xml:space="preserve"> </w:t>
      </w:r>
      <w:r>
        <w:t xml:space="preserve">489,442</w:t>
      </w:r>
      <w:r>
        <w:t xml:space="preserve"> </w:t>
      </w:r>
      <w:r>
        <w:t xml:space="preserve">correct. Accuracy is lower for the</w:t>
      </w:r>
      <w:r>
        <w:t xml:space="preserve"> </w:t>
      </w:r>
      <w:r>
        <w:t xml:space="preserve">59</w:t>
      </w:r>
      <w:r>
        <w:t xml:space="preserve"> </w:t>
      </w:r>
      <w:r>
        <w:t xml:space="preserve">rows of single-row clusters (</w:t>
      </w:r>
      <w:r>
        <w:t xml:space="preserve">0.78</w:t>
      </w:r>
      <w:r>
        <w:t xml:space="preserve">) and for clusters of two to nine rows (</w:t>
      </w:r>
      <w:r>
        <w:t xml:space="preserve">0.92</w:t>
      </w:r>
      <w:r>
        <w:t xml:space="preserve">) than for larger ones.</w:t>
      </w:r>
    </w:p>
    <w:bookmarkEnd w:id="29"/>
    <w:bookmarkStart w:id="30" w:name="Xa99f8b4c7d87bcd08b44cad6f8836608a2f549e"/>
    <w:p>
      <w:pPr>
        <w:pStyle w:val="Heading2"/>
      </w:pPr>
      <w:r>
        <w:t xml:space="preserve">Supplementary Note S7: Feature selection: protocol, convergence, device and a post hoc check (supplement to Section 3.1.4)</w:t>
      </w:r>
    </w:p>
    <w:p>
      <w:pPr>
        <w:pStyle w:val="FirstParagraph"/>
      </w:pPr>
      <w:r>
        <w:t xml:space="preserve">Inside every outer training fold (</w:t>
      </w:r>
      <w:r>
        <w:t xml:space="preserve">5</w:t>
      </w:r>
      <w:r>
        <w:t xml:space="preserve"> </w:t>
      </w:r>
      <w:r>
        <w:t xml:space="preserve">repeats of</w:t>
      </w:r>
      <w:r>
        <w:t xml:space="preserve"> </w:t>
      </w:r>
      <w:r>
        <w:t xml:space="preserve">5</w:t>
      </w:r>
      <w:r>
        <w:t xml:space="preserve"> </w:t>
      </w:r>
      <w:r>
        <w:t xml:space="preserve">folds, the folds of Section 3.1.1) three steps were applied to the training rows only: a Pearson filter that drops one of each pair of features with |</w:t>
      </w:r>
      <w:r>
        <w:rPr>
          <w:i/>
          <w:iCs/>
        </w:rPr>
        <w:t xml:space="preserve">r</w:t>
      </w:r>
      <w:r>
        <w:t xml:space="preserve">| above</w:t>
      </w:r>
      <w:r>
        <w:t xml:space="preserve"> </w:t>
      </w:r>
      <w:r>
        <w:t xml:space="preserve">0.95</w:t>
      </w:r>
      <w:r>
        <w:t xml:space="preserve">, a LassoCV (</w:t>
      </w:r>
      <w:r>
        <w:t xml:space="preserve">20</w:t>
      </w:r>
      <w:r>
        <w:t xml:space="preserve"> </w:t>
      </w:r>
      <w:r>
        <w:t xml:space="preserve">penalties, inner chemistry-cluster folds) that keeps the features with non-zero coefficients, and a ranking of those by mutual information with the target on a subsample of</w:t>
      </w:r>
      <w:r>
        <w:t xml:space="preserve"> </w:t>
      </w:r>
      <w:r>
        <w:t xml:space="preserve">20,000</w:t>
      </w:r>
      <w:r>
        <w:t xml:space="preserve"> </w:t>
      </w:r>
      <w:r>
        <w:t xml:space="preserve">rows, from which the top</w:t>
      </w:r>
      <w:r>
        <w:t xml:space="preserve"> </w:t>
      </w:r>
      <w:r>
        <w:rPr>
          <w:i/>
          <w:iCs/>
        </w:rPr>
        <w:t xml:space="preserve">k</w:t>
      </w:r>
      <w:r>
        <w:t xml:space="preserve"> </w:t>
      </w:r>
      <w:r>
        <w:t xml:space="preserve">of the earlier work were kept. The target’s frozen XGBoost was then fitted twice on the same training rows, on the selected features and on all</w:t>
      </w:r>
      <w:r>
        <w:t xml:space="preserve"> </w:t>
      </w:r>
      <w:r>
        <w:t xml:space="preserve">397</w:t>
      </w:r>
      <w:r>
        <w:t xml:space="preserve">, and scored on the same test rows, on one machine and one device. The earlier work names the three steps and the number of features it kept per target, but not the settings of the steps. The number kept,</w:t>
      </w:r>
      <w:r>
        <w:t xml:space="preserve"> </w:t>
      </w:r>
      <w:r>
        <w:rPr>
          <w:i/>
          <w:iCs/>
        </w:rPr>
        <w:t xml:space="preserve">k</w:t>
      </w:r>
      <w:r>
        <w:t xml:space="preserve">, is the earlier work’s, used to reproduce what it compared and not as a recommended choice. The remaining settings were fixed before any result of the comparison was seen and none was tuned: the Pearson threshold, a common near-duplicate cut; the penalty grid and the three inner chemistry-cluster folds of the LassoCV, with scikit-learn’s defaults for the range of the grid and for the tolerance; and the size of the mutual-information subsample, chosen for run time. The one setting changed in the course of this work is the Lasso’s iteration limit (below). Because the earlier work did not state the settings, the comparison tests the procedure as instantiated here; other settings could change the numbers.</w:t>
      </w:r>
    </w:p>
    <w:p>
      <w:pPr>
        <w:pStyle w:val="BodyText"/>
      </w:pPr>
      <w:r>
        <w:rPr>
          <w:i/>
          <w:iCs/>
        </w:rPr>
        <w:t xml:space="preserve">Convergence.</w:t>
      </w:r>
      <w:r>
        <w:t xml:space="preserve"> </w:t>
      </w:r>
      <w:r>
        <w:t xml:space="preserve">At the first setting tried,</w:t>
      </w:r>
      <w:r>
        <w:t xml:space="preserve"> </w:t>
      </w:r>
      <w:r>
        <w:t xml:space="preserve">2000</w:t>
      </w:r>
      <w:r>
        <w:t xml:space="preserve"> </w:t>
      </w:r>
      <w:r>
        <w:t xml:space="preserve">iterations, every one of the</w:t>
      </w:r>
      <w:r>
        <w:t xml:space="preserve"> </w:t>
      </w:r>
      <w:r>
        <w:t xml:space="preserve">20</w:t>
      </w:r>
      <w:r>
        <w:t xml:space="preserve"> </w:t>
      </w:r>
      <w:r>
        <w:t xml:space="preserve">folds diagnosed (the first repeat of each target) raised a convergence warning (</w:t>
      </w:r>
      <w:r>
        <w:t xml:space="preserve">258</w:t>
      </w:r>
      <w:r>
        <w:t xml:space="preserve"> </w:t>
      </w:r>
      <w:r>
        <w:t xml:space="preserve">warnings); at</w:t>
      </w:r>
      <w:r>
        <w:t xml:space="preserve"> </w:t>
      </w:r>
      <w:r>
        <w:t xml:space="preserve">20,000</w:t>
      </w:r>
      <w:r>
        <w:t xml:space="preserve"> </w:t>
      </w:r>
      <w:r>
        <w:t xml:space="preserve">iterations none did, and that setting is used throughout. The selected sets nevertheless depend on the setting: the Jaccard similarity between the sets chosen at the two settings has a median of</w:t>
      </w:r>
      <w:r>
        <w:t xml:space="preserve"> </w:t>
      </w:r>
      <w:r>
        <w:t xml:space="preserve">0.93</w:t>
      </w:r>
      <w:r>
        <w:t xml:space="preserve"> </w:t>
      </w:r>
      <w:r>
        <w:t xml:space="preserve">and a minimum of</w:t>
      </w:r>
      <w:r>
        <w:t xml:space="preserve"> </w:t>
      </w:r>
      <w:r>
        <w:t xml:space="preserve">0.56</w:t>
      </w:r>
      <w:r>
        <w:t xml:space="preserve">, and the fold R</w:t>
      </w:r>
      <w:r>
        <w:rPr>
          <w:vertAlign w:val="superscript"/>
        </w:rPr>
        <w:t xml:space="preserve">2</w:t>
      </w:r>
      <w:r>
        <w:t xml:space="preserve"> </w:t>
      </w:r>
      <w:r>
        <w:t xml:space="preserve">changed by more than</w:t>
      </w:r>
      <w:r>
        <w:t xml:space="preserve"> </w:t>
      </w:r>
      <w:r>
        <w:t xml:space="preserve">0.005</w:t>
      </w:r>
      <w:r>
        <w:t xml:space="preserve"> </w:t>
      </w:r>
      <w:r>
        <w:t xml:space="preserve">in</w:t>
      </w:r>
      <w:r>
        <w:t xml:space="preserve"> </w:t>
      </w:r>
      <w:r>
        <w:t xml:space="preserve">6</w:t>
      </w:r>
      <w:r>
        <w:t xml:space="preserve"> </w:t>
      </w:r>
      <w:r>
        <w:t xml:space="preserve">of the</w:t>
      </w:r>
      <w:r>
        <w:t xml:space="preserve"> </w:t>
      </w:r>
      <w:r>
        <w:t xml:space="preserve">20</w:t>
      </w:r>
      <w:r>
        <w:t xml:space="preserve"> </w:t>
      </w:r>
      <w:r>
        <w:t xml:space="preserve">folds (mean absolute change</w:t>
      </w:r>
      <w:r>
        <w:t xml:space="preserve"> </w:t>
      </w:r>
      <w:r>
        <w:t xml:space="preserve">0.003</w:t>
      </w:r>
      <w:r>
        <w:t xml:space="preserve">), so a selection made at the lower setting depends on the number of iterations. The change in R</w:t>
      </w:r>
      <w:r>
        <w:rPr>
          <w:vertAlign w:val="superscript"/>
        </w:rPr>
        <w:t xml:space="preserve">2</w:t>
      </w:r>
      <w:r>
        <w:t xml:space="preserve"> </w:t>
      </w:r>
      <w:r>
        <w:t xml:space="preserve">is not interpreted on its own: a per-fold change of</w:t>
      </w:r>
      <w:r>
        <w:t xml:space="preserve"> </w:t>
      </w:r>
      <w:r>
        <w:t xml:space="preserve">0.005</w:t>
      </w:r>
      <w:r>
        <w:t xml:space="preserve"> </w:t>
      </w:r>
      <w:r>
        <w:t xml:space="preserve">is comparable to the variation caused by running the same fit with the same selected set on a different machine,</w:t>
      </w:r>
      <w:r>
        <w:t xml:space="preserve"> </w:t>
      </w:r>
      <w:r>
        <w:t xml:space="preserve">0.0062</w:t>
      </w:r>
      <w:r>
        <w:t xml:space="preserve"> </w:t>
      </w:r>
      <w:r>
        <w:t xml:space="preserve">in the one fold compared (the first fold of the first repeat for</w:t>
      </w:r>
      <w:r>
        <w:t xml:space="preserve"> </w:t>
      </w:r>
      <w:r>
        <w:rPr>
          <w:i/>
          <w:iCs/>
        </w:rPr>
        <w:t xml:space="preserve">κ</w:t>
      </w:r>
      <w:r>
        <w:t xml:space="preserve">, a Windows PC and a Linux server, both on the CPU). Of the</w:t>
      </w:r>
      <w:r>
        <w:t xml:space="preserve"> </w:t>
      </w:r>
      <w:r>
        <w:t xml:space="preserve">100</w:t>
      </w:r>
      <w:r>
        <w:t xml:space="preserve"> </w:t>
      </w:r>
      <w:r>
        <w:t xml:space="preserve">selection fits at the adopted setting,</w:t>
      </w:r>
      <w:r>
        <w:t xml:space="preserve"> </w:t>
      </w:r>
      <w:r>
        <w:t xml:space="preserve">1</w:t>
      </w:r>
      <w:r>
        <w:t xml:space="preserve"> </w:t>
      </w:r>
      <w:r>
        <w:t xml:space="preserve">raised a convergence warning (</w:t>
      </w:r>
      <w:r>
        <w:t xml:space="preserve">S</w:t>
      </w:r>
      <w:r>
        <w:t xml:space="preserve">, repeat</w:t>
      </w:r>
      <w:r>
        <w:t xml:space="preserve"> </w:t>
      </w:r>
      <w:r>
        <w:t xml:space="preserve">2</w:t>
      </w:r>
      <w:r>
        <w:t xml:space="preserve">, fold</w:t>
      </w:r>
      <w:r>
        <w:t xml:space="preserve"> </w:t>
      </w:r>
      <w:r>
        <w:t xml:space="preserve">0</w:t>
      </w:r>
      <w:r>
        <w:t xml:space="preserve">, in an inner path of the penalty search; its final refit converged).</w:t>
      </w:r>
    </w:p>
    <w:p>
      <w:pPr>
        <w:pStyle w:val="BodyText"/>
      </w:pPr>
      <w:r>
        <w:rPr>
          <w:i/>
          <w:iCs/>
        </w:rPr>
        <w:t xml:space="preserve">Device.</w:t>
      </w:r>
      <w:r>
        <w:t xml:space="preserve"> </w:t>
      </w:r>
      <w:r>
        <w:t xml:space="preserve">The XGBoost fits were run with the CUDA device requested (a Tesla V100S is listed in the run record). The scripts record the device requested, not the device the booster used; the paired comparison does not depend on it, because both fits of a fold ran on the same machine and device. The all-</w:t>
      </w:r>
      <w:r>
        <w:t xml:space="preserve">397</w:t>
      </w:r>
      <w:r>
        <w:t xml:space="preserve"> </w:t>
      </w:r>
      <w:r>
        <w:t xml:space="preserve">fits reproduce the committed chemistry-cluster values of Section 3.1.1, which were fitted on a different machine, to within</w:t>
      </w:r>
      <w:r>
        <w:t xml:space="preserve"> </w:t>
      </w:r>
      <w:r>
        <w:t xml:space="preserve">1.2 × 10</w:t>
      </w:r>
      <w:r>
        <w:rPr>
          <w:vertAlign w:val="superscript"/>
        </w:rPr>
        <w:t xml:space="preserve">−16</w:t>
      </w:r>
      <w:r>
        <w:t xml:space="preserve"> </w:t>
      </w:r>
      <w:r>
        <w:t xml:space="preserve">in every fold.</w:t>
      </w:r>
    </w:p>
    <w:p>
      <w:pPr>
        <w:pStyle w:val="BodyText"/>
      </w:pPr>
      <w:r>
        <w:rPr>
          <w:i/>
          <w:iCs/>
        </w:rPr>
        <w:t xml:space="preserve">Post hoc check (exploratory; added after the result above was seen, and it does not change it).</w:t>
      </w:r>
      <w:r>
        <w:t xml:space="preserve"> </w:t>
      </w:r>
      <w:r>
        <w:t xml:space="preserve">The feature</w:t>
      </w:r>
      <w:r>
        <w:t xml:space="preserve"> </w:t>
      </w:r>
      <w:r>
        <w:rPr>
          <w:rStyle w:val="VerbatimChar"/>
        </w:rPr>
        <w:t xml:space="preserve">temperature_bin</w:t>
      </w:r>
      <w:r>
        <w:t xml:space="preserve"> </w:t>
      </w:r>
      <w:r>
        <w:t xml:space="preserve">is one of the</w:t>
      </w:r>
      <w:r>
        <w:t xml:space="preserve"> </w:t>
      </w:r>
      <w:r>
        <w:t xml:space="preserve">397</w:t>
      </w:r>
      <w:r>
        <w:t xml:space="preserve"> </w:t>
      </w:r>
      <w:r>
        <w:t xml:space="preserve">features and was selected in none of the</w:t>
      </w:r>
      <w:r>
        <w:t xml:space="preserve"> </w:t>
      </w:r>
      <w:r>
        <w:t xml:space="preserve">100</w:t>
      </w:r>
      <w:r>
        <w:t xml:space="preserve"> </w:t>
      </w:r>
      <w:r>
        <w:t xml:space="preserve">folds. Refitting the frozen model on the selected features plus</w:t>
      </w:r>
      <w:r>
        <w:t xml:space="preserve"> </w:t>
      </w:r>
      <w:r>
        <w:rPr>
          <w:rStyle w:val="VerbatimChar"/>
        </w:rPr>
        <w:t xml:space="preserve">temperature_bin</w:t>
      </w:r>
      <w:r>
        <w:t xml:space="preserve">, on the same folds and device, gives R</w:t>
      </w:r>
      <w:r>
        <w:rPr>
          <w:vertAlign w:val="superscript"/>
        </w:rPr>
        <w:t xml:space="preserve">2</w:t>
      </w:r>
      <w:r>
        <w:t xml:space="preserve"> </w:t>
      </w:r>
      <w:r>
        <w:t xml:space="preserve">of</w:t>
      </w:r>
      <w:r>
        <w:t xml:space="preserve"> </w:t>
      </w:r>
      <w:r>
        <w:t xml:space="preserve">0.720</w:t>
      </w:r>
      <w:r>
        <w:t xml:space="preserve"> </w:t>
      </w:r>
      <w:r>
        <w:t xml:space="preserve">(S),</w:t>
      </w:r>
      <w:r>
        <w:t xml:space="preserve"> </w:t>
      </w:r>
      <w:r>
        <w:t xml:space="preserve">0.687</w:t>
      </w:r>
      <w:r>
        <w:t xml:space="preserve"> </w:t>
      </w:r>
      <w:r>
        <w:t xml:space="preserve">(</w:t>
      </w:r>
      <w:r>
        <w:rPr>
          <w:i/>
          <w:iCs/>
        </w:rPr>
        <w:t xml:space="preserve">σ</w:t>
      </w:r>
      <w:r>
        <w:t xml:space="preserve">),</w:t>
      </w:r>
      <w:r>
        <w:t xml:space="preserve"> </w:t>
      </w:r>
      <w:r>
        <w:t xml:space="preserve">0.795</w:t>
      </w:r>
      <w:r>
        <w:t xml:space="preserve"> </w:t>
      </w:r>
      <w:r>
        <w:t xml:space="preserve">(</w:t>
      </w:r>
      <w:r>
        <w:rPr>
          <w:i/>
          <w:iCs/>
        </w:rPr>
        <w:t xml:space="preserve">κ</w:t>
      </w:r>
      <w:r>
        <w:t xml:space="preserve">) and</w:t>
      </w:r>
      <w:r>
        <w:t xml:space="preserve"> </w:t>
      </w:r>
      <w:r>
        <w:t xml:space="preserve">0.736</w:t>
      </w:r>
      <w:r>
        <w:t xml:space="preserve"> </w:t>
      </w:r>
      <w:r>
        <w:t xml:space="preserve">(zT), which recovers</w:t>
      </w:r>
      <w:r>
        <w:t xml:space="preserve"> </w:t>
      </w:r>
      <w:r>
        <w:t xml:space="preserve">34</w:t>
      </w:r>
      <w:r>
        <w:t xml:space="preserve">%,</w:t>
      </w:r>
      <w:r>
        <w:t xml:space="preserve"> </w:t>
      </w:r>
      <w:r>
        <w:t xml:space="preserve">61</w:t>
      </w:r>
      <w:r>
        <w:t xml:space="preserve">%,</w:t>
      </w:r>
      <w:r>
        <w:t xml:space="preserve"> </w:t>
      </w:r>
      <w:r>
        <w:t xml:space="preserve">70</w:t>
      </w:r>
      <w:r>
        <w:t xml:space="preserve">% and</w:t>
      </w:r>
      <w:r>
        <w:t xml:space="preserve"> </w:t>
      </w:r>
      <w:r>
        <w:t xml:space="preserve">97</w:t>
      </w:r>
      <w:r>
        <w:t xml:space="preserve">% of the gap between the selected set and all</w:t>
      </w:r>
      <w:r>
        <w:t xml:space="preserve"> </w:t>
      </w:r>
      <w:r>
        <w:t xml:space="preserve">397</w:t>
      </w:r>
      <w:r>
        <w:t xml:space="preserve"> </w:t>
      </w:r>
      <w:r>
        <w:t xml:space="preserve">(pooled per-repeat means). The combined set still stays below all</w:t>
      </w:r>
      <w:r>
        <w:t xml:space="preserve"> </w:t>
      </w:r>
      <w:r>
        <w:t xml:space="preserve">397</w:t>
      </w:r>
      <w:r>
        <w:t xml:space="preserve"> </w:t>
      </w:r>
      <w:r>
        <w:t xml:space="preserve">in</w:t>
      </w:r>
      <w:r>
        <w:t xml:space="preserve"> </w:t>
      </w:r>
      <w:r>
        <w:t xml:space="preserve">25</w:t>
      </w:r>
      <w:r>
        <w:t xml:space="preserve">,</w:t>
      </w:r>
      <w:r>
        <w:t xml:space="preserve"> </w:t>
      </w:r>
      <w:r>
        <w:t xml:space="preserve">24</w:t>
      </w:r>
      <w:r>
        <w:t xml:space="preserve">,</w:t>
      </w:r>
      <w:r>
        <w:t xml:space="preserve"> </w:t>
      </w:r>
      <w:r>
        <w:t xml:space="preserve">24</w:t>
      </w:r>
      <w:r>
        <w:t xml:space="preserve"> </w:t>
      </w:r>
      <w:r>
        <w:t xml:space="preserve">and</w:t>
      </w:r>
      <w:r>
        <w:t xml:space="preserve"> </w:t>
      </w:r>
      <w:r>
        <w:t xml:space="preserve">20</w:t>
      </w:r>
      <w:r>
        <w:t xml:space="preserve"> </w:t>
      </w:r>
      <w:r>
        <w:t xml:space="preserve">of the</w:t>
      </w:r>
      <w:r>
        <w:t xml:space="preserve"> </w:t>
      </w:r>
      <w:r>
        <w:t xml:space="preserve">25</w:t>
      </w:r>
      <w:r>
        <w:t xml:space="preserve"> </w:t>
      </w:r>
      <w:r>
        <w:t xml:space="preserve">folds. These figures are descriptive: no threshold, interval or test was set for them, and the grouped comparison above remains the result.</w:t>
      </w:r>
    </w:p>
    <w:p>
      <w:pPr>
        <w:pStyle w:val="BodyText"/>
      </w:pPr>
      <w:r>
        <w:rPr>
          <w:b/>
          <w:bCs/>
        </w:rPr>
        <w:t xml:space="preserve">Supplementary Table S4:</w:t>
      </w:r>
      <w:r>
        <w:t xml:space="preserve"> </w:t>
      </w:r>
      <w:r>
        <w:t xml:space="preserve">Chemistry-cluster CV R</w:t>
      </w:r>
      <w:r>
        <w:rPr>
          <w:vertAlign w:val="superscript"/>
        </w:rPr>
        <w:t xml:space="preserve">2</w:t>
      </w:r>
      <w:r>
        <w:t xml:space="preserve"> </w:t>
      </w:r>
      <w:r>
        <w:t xml:space="preserve">(mean ± SD over 5 repeats of 5 grouped folds) of each target’s frozen XGBoost on all 397 features and on the features kept by the selection of the earlier work, applied inside every outer training fold (Pearson filter at |r| = 0.95, a LassoCV over 20 penalties, then the top k by mutual information on a 20,000-row subsample; k = 25, 44, 39, 32 for S,</w:t>
      </w:r>
      <w:r>
        <w:t xml:space="preserve"> </w:t>
      </w:r>
      <w:r>
        <w:rPr>
          <w:i/>
          <w:iCs/>
        </w:rPr>
        <w:t xml:space="preserve">σ</w:t>
      </w:r>
      <w:r>
        <w:t xml:space="preserve">,</w:t>
      </w:r>
      <w:r>
        <w:t xml:space="preserve"> </w:t>
      </w:r>
      <w:r>
        <w:rPr>
          <w:i/>
          <w:iCs/>
        </w:rPr>
        <w:t xml:space="preserve">κ</w:t>
      </w:r>
      <w:r>
        <w:t xml:space="preserve">, zT). Both fits of a fold use the same rows, machine and device. The paired difference is the comparison fixed before the run (difference of the pooled R</w:t>
      </w:r>
      <w:r>
        <w:rPr>
          <w:vertAlign w:val="superscript"/>
        </w:rPr>
        <w:t xml:space="preserve">2</w:t>
      </w:r>
      <w:r>
        <w:t xml:space="preserve">, chemistry-cluster bootstrap interval in brackets). The last three rows are post hoc and exploratory: the same selected features plus temperature_bin, added after the result above was seen; no interval or test is attached to them.</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pPr>
            <w:r>
              <w:rPr>
                <w:b/>
                <w:bCs/>
              </w:rPr>
              <w:t xml:space="preserve">Quantity</w:t>
            </w:r>
          </w:p>
        </w:tc>
        <w:tc>
          <w:tcPr/>
          <w:p>
            <w:pPr>
              <w:pStyle w:val="Compact"/>
            </w:pPr>
            <w:r>
              <w:rPr>
                <w:b/>
                <w:bCs/>
              </w:rPr>
              <w:t xml:space="preserve">S</w:t>
            </w:r>
          </w:p>
        </w:tc>
        <w:tc>
          <w:tcPr/>
          <w:p>
            <w:pPr>
              <w:pStyle w:val="Compact"/>
            </w:pPr>
            <w:r>
              <w:rPr>
                <w:b/>
                <w:bCs/>
                <w:i/>
                <w:iCs/>
              </w:rPr>
              <w:t xml:space="preserve">σ</w:t>
            </w:r>
          </w:p>
        </w:tc>
        <w:tc>
          <w:tcPr/>
          <w:p>
            <w:pPr>
              <w:pStyle w:val="Compact"/>
            </w:pPr>
            <w:r>
              <w:rPr>
                <w:b/>
                <w:bCs/>
                <w:i/>
                <w:iCs/>
              </w:rPr>
              <w:t xml:space="preserve">κ</w:t>
            </w:r>
          </w:p>
        </w:tc>
        <w:tc>
          <w:tcPr/>
          <w:p>
            <w:pPr>
              <w:pStyle w:val="Compact"/>
            </w:pPr>
            <w:r>
              <w:rPr>
                <w:b/>
                <w:bCs/>
              </w:rPr>
              <w:t xml:space="preserve">zT</w:t>
            </w:r>
          </w:p>
        </w:tc>
      </w:tr>
      <w:tr>
        <w:tc>
          <w:tcPr/>
          <w:p>
            <w:pPr>
              <w:pStyle w:val="Compact"/>
            </w:pPr>
            <w:r>
              <w:t xml:space="preserve">All 397 features</w:t>
            </w:r>
          </w:p>
        </w:tc>
        <w:tc>
          <w:tcPr/>
          <w:p>
            <w:pPr>
              <w:pStyle w:val="Compact"/>
            </w:pPr>
            <w:r>
              <w:t xml:space="preserve">0.753 ± 0.005</w:t>
            </w:r>
          </w:p>
        </w:tc>
        <w:tc>
          <w:tcPr/>
          <w:p>
            <w:pPr>
              <w:pStyle w:val="Compact"/>
            </w:pPr>
            <w:r>
              <w:t xml:space="preserve">0.702 ± 0.002</w:t>
            </w:r>
          </w:p>
        </w:tc>
        <w:tc>
          <w:tcPr/>
          <w:p>
            <w:pPr>
              <w:pStyle w:val="Compact"/>
            </w:pPr>
            <w:r>
              <w:t xml:space="preserve">0.809 ± 0.002</w:t>
            </w:r>
          </w:p>
        </w:tc>
        <w:tc>
          <w:tcPr/>
          <w:p>
            <w:pPr>
              <w:pStyle w:val="Compact"/>
            </w:pPr>
            <w:r>
              <w:t xml:space="preserve">0.746 ± 0.005</w:t>
            </w:r>
          </w:p>
        </w:tc>
      </w:tr>
      <w:tr>
        <w:tc>
          <w:tcPr/>
          <w:p>
            <w:pPr>
              <w:pStyle w:val="Compact"/>
            </w:pPr>
            <w:r>
              <w:t xml:space="preserve">Selected features (k imposed)</w:t>
            </w:r>
          </w:p>
        </w:tc>
        <w:tc>
          <w:tcPr/>
          <w:p>
            <w:pPr>
              <w:pStyle w:val="Compact"/>
            </w:pPr>
            <w:r>
              <w:t xml:space="preserve">0.702 ± 0.008</w:t>
            </w:r>
          </w:p>
        </w:tc>
        <w:tc>
          <w:tcPr/>
          <w:p>
            <w:pPr>
              <w:pStyle w:val="Compact"/>
            </w:pPr>
            <w:r>
              <w:t xml:space="preserve">0.664 ± 0.003</w:t>
            </w:r>
          </w:p>
        </w:tc>
        <w:tc>
          <w:tcPr/>
          <w:p>
            <w:pPr>
              <w:pStyle w:val="Compact"/>
            </w:pPr>
            <w:r>
              <w:t xml:space="preserve">0.762 ± 0.003</w:t>
            </w:r>
          </w:p>
        </w:tc>
        <w:tc>
          <w:tcPr/>
          <w:p>
            <w:pPr>
              <w:pStyle w:val="Compact"/>
            </w:pPr>
            <w:r>
              <w:t xml:space="preserve">0.451 ± 0.006</w:t>
            </w:r>
          </w:p>
        </w:tc>
      </w:tr>
      <w:tr>
        <w:tc>
          <w:tcPr/>
          <w:p>
            <w:pPr>
              <w:pStyle w:val="Compact"/>
            </w:pPr>
            <w:r>
              <w:t xml:space="preserve">Selected minus all 397 (paired, fixed before the run)</w:t>
            </w:r>
          </w:p>
        </w:tc>
        <w:tc>
          <w:tcPr/>
          <w:p>
            <w:pPr>
              <w:pStyle w:val="Compact"/>
            </w:pPr>
            <w:r>
              <w:t xml:space="preserve">−0.050 [−0.060, −0.042]</w:t>
            </w:r>
          </w:p>
        </w:tc>
        <w:tc>
          <w:tcPr/>
          <w:p>
            <w:pPr>
              <w:pStyle w:val="Compact"/>
            </w:pPr>
            <w:r>
              <w:t xml:space="preserve">−0.038 [−0.045, −0.032]</w:t>
            </w:r>
          </w:p>
        </w:tc>
        <w:tc>
          <w:tcPr/>
          <w:p>
            <w:pPr>
              <w:pStyle w:val="Compact"/>
            </w:pPr>
            <w:r>
              <w:t xml:space="preserve">−0.047 [−0.057, −0.038]</w:t>
            </w:r>
          </w:p>
        </w:tc>
        <w:tc>
          <w:tcPr/>
          <w:p>
            <w:pPr>
              <w:pStyle w:val="Compact"/>
            </w:pPr>
            <w:r>
              <w:t xml:space="preserve">−0.295 [−0.328, −0.262]</w:t>
            </w:r>
          </w:p>
        </w:tc>
      </w:tr>
      <w:tr>
        <w:tc>
          <w:tcPr/>
          <w:p>
            <w:pPr>
              <w:pStyle w:val="Compact"/>
            </w:pPr>
            <w:r>
              <w:t xml:space="preserve">Features kept by the Lasso, mean (range over 25 folds)</w:t>
            </w:r>
          </w:p>
        </w:tc>
        <w:tc>
          <w:tcPr/>
          <w:p>
            <w:pPr>
              <w:pStyle w:val="Compact"/>
            </w:pPr>
            <w:r>
              <w:t xml:space="preserve">182 (129–206)</w:t>
            </w:r>
          </w:p>
        </w:tc>
        <w:tc>
          <w:tcPr/>
          <w:p>
            <w:pPr>
              <w:pStyle w:val="Compact"/>
            </w:pPr>
            <w:r>
              <w:t xml:space="preserve">156 (119–184)</w:t>
            </w:r>
          </w:p>
        </w:tc>
        <w:tc>
          <w:tcPr/>
          <w:p>
            <w:pPr>
              <w:pStyle w:val="Compact"/>
            </w:pPr>
            <w:r>
              <w:t xml:space="preserve">184 (176–195)</w:t>
            </w:r>
          </w:p>
        </w:tc>
        <w:tc>
          <w:tcPr/>
          <w:p>
            <w:pPr>
              <w:pStyle w:val="Compact"/>
            </w:pPr>
            <w:r>
              <w:t xml:space="preserve">161 (138–183)</w:t>
            </w:r>
          </w:p>
        </w:tc>
      </w:tr>
      <w:tr>
        <w:tc>
          <w:tcPr/>
          <w:p>
            <w:pPr>
              <w:pStyle w:val="Compact"/>
            </w:pPr>
            <w:r>
              <w:t xml:space="preserve">k (earlier work)</w:t>
            </w:r>
          </w:p>
        </w:tc>
        <w:tc>
          <w:tcPr/>
          <w:p>
            <w:pPr>
              <w:pStyle w:val="Compact"/>
            </w:pPr>
            <w:r>
              <w:t xml:space="preserve">25</w:t>
            </w:r>
          </w:p>
        </w:tc>
        <w:tc>
          <w:tcPr/>
          <w:p>
            <w:pPr>
              <w:pStyle w:val="Compact"/>
            </w:pPr>
            <w:r>
              <w:t xml:space="preserve">44</w:t>
            </w:r>
          </w:p>
        </w:tc>
        <w:tc>
          <w:tcPr/>
          <w:p>
            <w:pPr>
              <w:pStyle w:val="Compact"/>
            </w:pPr>
            <w:r>
              <w:t xml:space="preserve">39</w:t>
            </w:r>
          </w:p>
        </w:tc>
        <w:tc>
          <w:tcPr/>
          <w:p>
            <w:pPr>
              <w:pStyle w:val="Compact"/>
            </w:pPr>
            <w:r>
              <w:t xml:space="preserve">32</w:t>
            </w:r>
          </w:p>
        </w:tc>
      </w:tr>
      <w:tr>
        <w:tc>
          <w:tcPr/>
          <w:p>
            <w:pPr>
              <w:pStyle w:val="Compact"/>
            </w:pPr>
            <w:r>
              <w:t xml:space="preserve">Post hoc: selected + temperature_bin</w:t>
            </w:r>
          </w:p>
        </w:tc>
        <w:tc>
          <w:tcPr/>
          <w:p>
            <w:pPr>
              <w:pStyle w:val="Compact"/>
            </w:pPr>
            <w:r>
              <w:t xml:space="preserve">0.720 ± 0.010</w:t>
            </w:r>
          </w:p>
        </w:tc>
        <w:tc>
          <w:tcPr/>
          <w:p>
            <w:pPr>
              <w:pStyle w:val="Compact"/>
            </w:pPr>
            <w:r>
              <w:t xml:space="preserve">0.687 ± 0.003</w:t>
            </w:r>
          </w:p>
        </w:tc>
        <w:tc>
          <w:tcPr/>
          <w:p>
            <w:pPr>
              <w:pStyle w:val="Compact"/>
            </w:pPr>
            <w:r>
              <w:t xml:space="preserve">0.795 ± 0.003</w:t>
            </w:r>
          </w:p>
        </w:tc>
        <w:tc>
          <w:tcPr/>
          <w:p>
            <w:pPr>
              <w:pStyle w:val="Compact"/>
            </w:pPr>
            <w:r>
              <w:t xml:space="preserve">0.736 ± 0.005</w:t>
            </w:r>
          </w:p>
        </w:tc>
      </w:tr>
      <w:tr>
        <w:tc>
          <w:tcPr/>
          <w:p>
            <w:pPr>
              <w:pStyle w:val="Compact"/>
            </w:pPr>
            <w:r>
              <w:t xml:space="preserve">Post hoc: (selected + temperature_bin) minus all 397</w:t>
            </w:r>
          </w:p>
        </w:tc>
        <w:tc>
          <w:tcPr/>
          <w:p>
            <w:pPr>
              <w:pStyle w:val="Compact"/>
            </w:pPr>
            <w:r>
              <w:t xml:space="preserve">−0.033</w:t>
            </w:r>
          </w:p>
        </w:tc>
        <w:tc>
          <w:tcPr/>
          <w:p>
            <w:pPr>
              <w:pStyle w:val="Compact"/>
            </w:pPr>
            <w:r>
              <w:t xml:space="preserve">−0.015</w:t>
            </w:r>
          </w:p>
        </w:tc>
        <w:tc>
          <w:tcPr/>
          <w:p>
            <w:pPr>
              <w:pStyle w:val="Compact"/>
            </w:pPr>
            <w:r>
              <w:t xml:space="preserve">−0.014</w:t>
            </w:r>
          </w:p>
        </w:tc>
        <w:tc>
          <w:tcPr/>
          <w:p>
            <w:pPr>
              <w:pStyle w:val="Compact"/>
            </w:pPr>
            <w:r>
              <w:t xml:space="preserve">−0.009</w:t>
            </w:r>
          </w:p>
        </w:tc>
      </w:tr>
      <w:tr>
        <w:tc>
          <w:tcPr/>
          <w:p>
            <w:pPr>
              <w:pStyle w:val="Compact"/>
            </w:pPr>
            <w:r>
              <w:t xml:space="preserve">Post hoc: share of the selected-to-all-397 gap recovered (%)</w:t>
            </w:r>
          </w:p>
        </w:tc>
        <w:tc>
          <w:tcPr/>
          <w:p>
            <w:pPr>
              <w:pStyle w:val="Compact"/>
            </w:pPr>
            <w:r>
              <w:t xml:space="preserve">34</w:t>
            </w:r>
          </w:p>
        </w:tc>
        <w:tc>
          <w:tcPr/>
          <w:p>
            <w:pPr>
              <w:pStyle w:val="Compact"/>
            </w:pPr>
            <w:r>
              <w:t xml:space="preserve">61</w:t>
            </w:r>
          </w:p>
        </w:tc>
        <w:tc>
          <w:tcPr/>
          <w:p>
            <w:pPr>
              <w:pStyle w:val="Compact"/>
            </w:pPr>
            <w:r>
              <w:t xml:space="preserve">70</w:t>
            </w:r>
          </w:p>
        </w:tc>
        <w:tc>
          <w:tcPr/>
          <w:p>
            <w:pPr>
              <w:pStyle w:val="Compact"/>
            </w:pPr>
            <w:r>
              <w:t xml:space="preserve">97</w:t>
            </w:r>
          </w:p>
        </w:tc>
      </w:tr>
      <w:tr>
        <w:tc>
          <w:tcPr/>
          <w:p>
            <w:pPr>
              <w:pStyle w:val="Compact"/>
            </w:pPr>
            <w:r>
              <w:t xml:space="preserve">Post hoc: folds of 25 with selected + temperature_bin below all 397</w:t>
            </w:r>
          </w:p>
        </w:tc>
        <w:tc>
          <w:tcPr/>
          <w:p>
            <w:pPr>
              <w:pStyle w:val="Compact"/>
            </w:pPr>
            <w:r>
              <w:t xml:space="preserve">25</w:t>
            </w:r>
          </w:p>
        </w:tc>
        <w:tc>
          <w:tcPr/>
          <w:p>
            <w:pPr>
              <w:pStyle w:val="Compact"/>
            </w:pPr>
            <w:r>
              <w:t xml:space="preserve">24</w:t>
            </w:r>
          </w:p>
        </w:tc>
        <w:tc>
          <w:tcPr/>
          <w:p>
            <w:pPr>
              <w:pStyle w:val="Compact"/>
            </w:pPr>
            <w:r>
              <w:t xml:space="preserve">24</w:t>
            </w:r>
          </w:p>
        </w:tc>
        <w:tc>
          <w:tcPr/>
          <w:p>
            <w:pPr>
              <w:pStyle w:val="Compact"/>
            </w:pPr>
            <w:r>
              <w:t xml:space="preserve">20</w:t>
            </w:r>
          </w:p>
        </w:tc>
      </w:tr>
    </w:tbl>
    <w:bookmarkEnd w:id="30"/>
    <w:bookmarkStart w:id="37" w:name="X5e4569f1032825868b4e072fd87baaf850bc4b5"/>
    <w:p>
      <w:pPr>
        <w:pStyle w:val="Heading2"/>
      </w:pPr>
      <w:r>
        <w:t xml:space="preserve">Supplementary Note S8: Feature importance in detail (supplement to Section 3.1.5)</w:t>
      </w:r>
    </w:p>
    <w:p>
      <w:pPr>
        <w:pStyle w:val="FirstParagraph"/>
      </w:pPr>
      <w:r>
        <w:t xml:space="preserve">SHAP values are in the units of each target (</w:t>
      </w:r>
      <w:r>
        <w:rPr>
          <w:i/>
          <w:iCs/>
        </w:rPr>
        <w:t xml:space="preserve">µ</w:t>
      </w:r>
      <w:r>
        <w:t xml:space="preserve">V K</w:t>
      </w:r>
      <w:r>
        <w:rPr>
          <w:vertAlign w:val="superscript"/>
        </w:rPr>
        <w:t xml:space="preserve">−1</w:t>
      </w:r>
      <w:r>
        <w:t xml:space="preserve"> </w:t>
      </w:r>
      <w:r>
        <w:t xml:space="preserve">for S; log</w:t>
      </w:r>
      <w:r>
        <w:rPr>
          <w:vertAlign w:val="subscript"/>
        </w:rPr>
        <w:t xml:space="preserve">10</w:t>
      </w:r>
      <w:r>
        <w:t xml:space="preserve"> </w:t>
      </w:r>
      <w:r>
        <w:t xml:space="preserve">units for</w:t>
      </w:r>
      <w:r>
        <w:t xml:space="preserve"> </w:t>
      </w:r>
      <w:r>
        <w:rPr>
          <w:i/>
          <w:iCs/>
        </w:rPr>
        <w:t xml:space="preserve">σ</w:t>
      </w:r>
      <w:r>
        <w:t xml:space="preserve"> </w:t>
      </w:r>
      <w:r>
        <w:t xml:space="preserve">and</w:t>
      </w:r>
      <w:r>
        <w:t xml:space="preserve"> </w:t>
      </w:r>
      <w:r>
        <w:rPr>
          <w:i/>
          <w:iCs/>
        </w:rPr>
        <w:t xml:space="preserve">κ</w:t>
      </w:r>
      <w:r>
        <w:t xml:space="preserve">). Feature labels read</w:t>
      </w:r>
      <w:r>
        <w:t xml:space="preserve"> </w:t>
      </w:r>
      <w:r>
        <w:t xml:space="preserve">“Elemental</w:t>
      </w:r>
      <w:r>
        <w:t xml:space="preserve"> </w:t>
      </w:r>
      <w:r>
        <w:t xml:space="preserve">,</w:t>
      </w:r>
      <w:r>
        <w:t xml:space="preserve"> </w:t>
      </w:r>
      <w:r>
        <w:t xml:space="preserve"> </w:t>
      </w:r>
      <w:r>
        <w:t xml:space="preserve">(MAGPIE or CBFV)”</w:t>
      </w:r>
      <w:r>
        <w:t xml:space="preserve">: the property is one of the elements, the statistic is taken over the elements of the formula (mean = atomic-fraction-weighted mean, mean abs. deviation = the weighted mean absolute deviation about that mean, range, minimum and maximum over the elements, mode = the value of the most abundant element). For S the top feature, for instance, is the spread of the elemental thermal conductivities of the formula, not the thermal conductivity of the sample.</w:t>
      </w:r>
    </w:p>
    <w:p>
      <w:pPr>
        <w:pStyle w:val="CaptionedFigure"/>
      </w:pPr>
      <w:r>
        <w:drawing>
          <wp:inline>
            <wp:extent cx="5334000" cy="7336014"/>
            <wp:effectExtent b="0" l="0" r="0" t="0"/>
            <wp:docPr descr="Supplementary Figure S4" title="" id="32" name="Picture"/>
            <a:graphic>
              <a:graphicData uri="http://schemas.openxmlformats.org/drawingml/2006/picture">
                <pic:pic>
                  <pic:nvPicPr>
                    <pic:cNvPr descr="../figures/fig11_shap_beeswarm.png" id="33" name="Picture"/>
                    <pic:cNvPicPr>
                      <a:picLocks noChangeArrowheads="1" noChangeAspect="1"/>
                    </pic:cNvPicPr>
                  </pic:nvPicPr>
                  <pic:blipFill>
                    <a:blip r:embed="rId31"/>
                    <a:stretch>
                      <a:fillRect/>
                    </a:stretch>
                  </pic:blipFill>
                  <pic:spPr bwMode="auto">
                    <a:xfrm>
                      <a:off x="0" y="0"/>
                      <a:ext cx="5334000" cy="7336014"/>
                    </a:xfrm>
                    <a:prstGeom prst="rect">
                      <a:avLst/>
                    </a:prstGeom>
                    <a:noFill/>
                    <a:ln w="9525">
                      <a:noFill/>
                      <a:headEnd/>
                      <a:tailEnd/>
                    </a:ln>
                  </pic:spPr>
                </pic:pic>
              </a:graphicData>
            </a:graphic>
          </wp:inline>
        </w:drawing>
      </w:r>
    </w:p>
    <w:p>
      <w:pPr>
        <w:pStyle w:val="ImageCaption"/>
      </w:pPr>
      <w:r>
        <w:t xml:space="preserve">Supplementary Figure S4</w:t>
      </w:r>
    </w:p>
    <w:p>
      <w:pPr>
        <w:pStyle w:val="BodyText"/>
      </w:pPr>
      <w:r>
        <w:rPr>
          <w:b/>
          <w:bCs/>
        </w:rPr>
        <w:t xml:space="preserve">Supplementary Figure S4:</w:t>
      </w:r>
      <w:r>
        <w:t xml:space="preserve"> </w:t>
      </w:r>
      <w:r>
        <w:t xml:space="preserve">SHAP beeswarm plots for (a) S, (b)</w:t>
      </w:r>
      <w:r>
        <w:t xml:space="preserve"> </w:t>
      </w:r>
      <w:r>
        <w:rPr>
          <w:i/>
          <w:iCs/>
        </w:rPr>
        <w:t xml:space="preserve">σ</w:t>
      </w:r>
      <w:r>
        <w:t xml:space="preserve">, (c)</w:t>
      </w:r>
      <w:r>
        <w:t xml:space="preserve"> </w:t>
      </w:r>
      <w:r>
        <w:rPr>
          <w:i/>
          <w:iCs/>
        </w:rPr>
        <w:t xml:space="preserve">κ</w:t>
      </w:r>
      <w:r>
        <w:t xml:space="preserve"> </w:t>
      </w:r>
      <w:r>
        <w:t xml:space="preserve">and (d) zT: one point per test row (</w:t>
      </w:r>
      <w:r>
        <w:t xml:space="preserve">5,000</w:t>
      </w:r>
      <w:r>
        <w:t xml:space="preserve"> </w:t>
      </w:r>
      <w:r>
        <w:t xml:space="preserve">per model, first repeat of the chemistry-cluster folds), coloured by the percentile rank of the row’s value of the feature; the features are the ones with the largest mean |SHAP| among these rows, so their order can differ from Fig. 6, which averages all folds of all repeats. Every feature other than temperature is a statistic of an ELEMENTAL property of the elements in the formula, not a measured property of the material (for S, the top feature is the spread of the elemental thermal conductivities, not the sample’s thermal conductivity).</w:t>
      </w:r>
    </w:p>
    <w:p>
      <w:pPr>
        <w:pStyle w:val="BodyText"/>
      </w:pPr>
      <w:r>
        <w:t xml:space="preserve">The two featurization schemes contribute differently to the targets (Supplementary Figure S5). In the zT model, temperature accounts for</w:t>
      </w:r>
      <w:r>
        <w:t xml:space="preserve"> </w:t>
      </w:r>
      <w:r>
        <w:t xml:space="preserve">20</w:t>
      </w:r>
      <w:r>
        <w:t xml:space="preserve">% of the mean |SHAP|, CBFV features for</w:t>
      </w:r>
      <w:r>
        <w:t xml:space="preserve"> </w:t>
      </w:r>
      <w:r>
        <w:t xml:space="preserve">53</w:t>
      </w:r>
      <w:r>
        <w:t xml:space="preserve">% and MAGPIE features for</w:t>
      </w:r>
      <w:r>
        <w:t xml:space="preserve"> </w:t>
      </w:r>
      <w:r>
        <w:t xml:space="preserve">28</w:t>
      </w:r>
      <w:r>
        <w:t xml:space="preserve">% (shares over all</w:t>
      </w:r>
      <w:r>
        <w:t xml:space="preserve"> </w:t>
      </w:r>
      <w:r>
        <w:t xml:space="preserve">397</w:t>
      </w:r>
      <w:r>
        <w:t xml:space="preserve"> </w:t>
      </w:r>
      <w:r>
        <w:t xml:space="preserve">features, chemistry-cluster folds). In the other models temperature accounts for</w:t>
      </w:r>
      <w:r>
        <w:t xml:space="preserve"> </w:t>
      </w:r>
      <w:r>
        <w:t xml:space="preserve">2</w:t>
      </w:r>
      <w:r>
        <w:t xml:space="preserve">% (S),</w:t>
      </w:r>
      <w:r>
        <w:t xml:space="preserve"> </w:t>
      </w:r>
      <w:r>
        <w:t xml:space="preserve">4</w:t>
      </w:r>
      <w:r>
        <w:t xml:space="preserve">% (</w:t>
      </w:r>
      <w:r>
        <w:rPr>
          <w:i/>
          <w:iCs/>
        </w:rPr>
        <w:t xml:space="preserve">σ</w:t>
      </w:r>
      <w:r>
        <w:t xml:space="preserve">) and</w:t>
      </w:r>
      <w:r>
        <w:t xml:space="preserve"> </w:t>
      </w:r>
      <w:r>
        <w:t xml:space="preserve">5</w:t>
      </w:r>
      <w:r>
        <w:t xml:space="preserve">% (</w:t>
      </w:r>
      <w:r>
        <w:rPr>
          <w:i/>
          <w:iCs/>
        </w:rPr>
        <w:t xml:space="preserve">κ</w:t>
      </w:r>
      <w:r>
        <w:t xml:space="preserve">), CBFV features for</w:t>
      </w:r>
      <w:r>
        <w:t xml:space="preserve"> </w:t>
      </w:r>
      <w:r>
        <w:t xml:space="preserve">69</w:t>
      </w:r>
      <w:r>
        <w:t xml:space="preserve">%,</w:t>
      </w:r>
      <w:r>
        <w:t xml:space="preserve"> </w:t>
      </w:r>
      <w:r>
        <w:t xml:space="preserve">68</w:t>
      </w:r>
      <w:r>
        <w:t xml:space="preserve">% and</w:t>
      </w:r>
      <w:r>
        <w:t xml:space="preserve"> </w:t>
      </w:r>
      <w:r>
        <w:t xml:space="preserve">60</w:t>
      </w:r>
      <w:r>
        <w:t xml:space="preserve">%, and MAGPIE features for</w:t>
      </w:r>
      <w:r>
        <w:t xml:space="preserve"> </w:t>
      </w:r>
      <w:r>
        <w:t xml:space="preserve">29</w:t>
      </w:r>
      <w:r>
        <w:t xml:space="preserve">%,</w:t>
      </w:r>
      <w:r>
        <w:t xml:space="preserve"> </w:t>
      </w:r>
      <w:r>
        <w:t xml:space="preserve">28</w:t>
      </w:r>
      <w:r>
        <w:t xml:space="preserve">% and</w:t>
      </w:r>
      <w:r>
        <w:t xml:space="preserve"> </w:t>
      </w:r>
      <w:r>
        <w:t xml:space="preserve">35</w:t>
      </w:r>
      <w:r>
        <w:t xml:space="preserve">%. CBFV features carry the largest share of every model (</w:t>
      </w:r>
      <w:r>
        <w:t xml:space="preserve">53</w:t>
      </w:r>
      <w:r>
        <w:t xml:space="preserve"> </w:t>
      </w:r>
      <w:r>
        <w:t xml:space="preserve">to</w:t>
      </w:r>
      <w:r>
        <w:t xml:space="preserve"> </w:t>
      </w:r>
      <w:r>
        <w:t xml:space="preserve">69</w:t>
      </w:r>
      <w:r>
        <w:t xml:space="preserve">%), but they are also the more numerous (</w:t>
      </w:r>
      <w:r>
        <w:t xml:space="preserve">264</w:t>
      </w:r>
      <w:r>
        <w:t xml:space="preserve"> </w:t>
      </w:r>
      <w:r>
        <w:t xml:space="preserve">against</w:t>
      </w:r>
      <w:r>
        <w:t xml:space="preserve"> </w:t>
      </w:r>
      <w:r>
        <w:t xml:space="preserve">132</w:t>
      </w:r>
      <w:r>
        <w:t xml:space="preserve"> </w:t>
      </w:r>
      <w:r>
        <w:t xml:space="preserve">MAGPIE features): per feature, the mean share of a CBFV feature is</w:t>
      </w:r>
      <w:r>
        <w:t xml:space="preserve"> </w:t>
      </w:r>
      <w:r>
        <w:t xml:space="preserve">0.85</w:t>
      </w:r>
      <w:r>
        <w:t xml:space="preserve"> </w:t>
      </w:r>
      <w:r>
        <w:t xml:space="preserve">to</w:t>
      </w:r>
      <w:r>
        <w:t xml:space="preserve"> </w:t>
      </w:r>
      <w:r>
        <w:t xml:space="preserve">1.22</w:t>
      </w:r>
      <w:r>
        <w:t xml:space="preserve"> </w:t>
      </w:r>
      <w:r>
        <w:t xml:space="preserve">times that of a MAGPIE feature, so neither scheme is more informative per feature. Both carry a substantial share of every model; this attribution does not show whether either could be dropped.</w:t>
      </w:r>
    </w:p>
    <w:p>
      <w:pPr>
        <w:pStyle w:val="CaptionedFigure"/>
      </w:pPr>
      <w:r>
        <w:drawing>
          <wp:inline>
            <wp:extent cx="3059999" cy="2339999"/>
            <wp:effectExtent b="0" l="0" r="0" t="0"/>
            <wp:docPr descr="Supplementary Figure S5" title="" id="35" name="Picture"/>
            <a:graphic>
              <a:graphicData uri="http://schemas.openxmlformats.org/drawingml/2006/picture">
                <pic:pic>
                  <pic:nvPicPr>
                    <pic:cNvPr descr="../figures/fig12_shap_shares.png" id="36" name="Picture"/>
                    <pic:cNvPicPr>
                      <a:picLocks noChangeArrowheads="1" noChangeAspect="1"/>
                    </pic:cNvPicPr>
                  </pic:nvPicPr>
                  <pic:blipFill>
                    <a:blip r:embed="rId34"/>
                    <a:stretch>
                      <a:fillRect/>
                    </a:stretch>
                  </pic:blipFill>
                  <pic:spPr bwMode="auto">
                    <a:xfrm>
                      <a:off x="0" y="0"/>
                      <a:ext cx="3059999" cy="2339999"/>
                    </a:xfrm>
                    <a:prstGeom prst="rect">
                      <a:avLst/>
                    </a:prstGeom>
                    <a:noFill/>
                    <a:ln w="9525">
                      <a:noFill/>
                      <a:headEnd/>
                      <a:tailEnd/>
                    </a:ln>
                  </pic:spPr>
                </pic:pic>
              </a:graphicData>
            </a:graphic>
          </wp:inline>
        </w:drawing>
      </w:r>
    </w:p>
    <w:p>
      <w:pPr>
        <w:pStyle w:val="ImageCaption"/>
      </w:pPr>
      <w:r>
        <w:t xml:space="preserve">Supplementary Figure S5</w:t>
      </w:r>
    </w:p>
    <w:p>
      <w:pPr>
        <w:pStyle w:val="BodyText"/>
      </w:pPr>
      <w:r>
        <w:rPr>
          <w:b/>
          <w:bCs/>
        </w:rPr>
        <w:t xml:space="preserve">Supplementary Figure S5:</w:t>
      </w:r>
      <w:r>
        <w:t xml:space="preserve"> </w:t>
      </w:r>
      <w:r>
        <w:t xml:space="preserve">Relative contribution of MAGPIE, CBFV and temperature features (share of mean |SHAP| over all features) to each model.</w:t>
      </w:r>
    </w:p>
    <w:bookmarkEnd w:id="37"/>
    <w:bookmarkStart w:id="38" w:name="X50a2b079df5289d3196ccd0eb9f50e6ea8a217b"/>
    <w:p>
      <w:pPr>
        <w:pStyle w:val="Heading2"/>
      </w:pPr>
      <w:r>
        <w:t xml:space="preserve">Supplementary Note S9: Direct versus component-wise zT prediction in detail (supplement to Section 3.1.6)</w:t>
      </w:r>
    </w:p>
    <w:p>
      <w:pPr>
        <w:pStyle w:val="FirstParagraph"/>
      </w:pPr>
      <w:r>
        <w:t xml:space="preserve">Direct zT prediction was compared with the component-wise derivation S</w:t>
      </w:r>
      <w:r>
        <w:rPr>
          <w:vertAlign w:val="superscript"/>
        </w:rPr>
        <w:t xml:space="preserve">2</w:t>
      </w:r>
      <w:r>
        <w:rPr>
          <w:i/>
          <w:iCs/>
        </w:rPr>
        <w:t xml:space="preserve">σ</w:t>
      </w:r>
      <w:r>
        <w:t xml:space="preserve">T/</w:t>
      </w:r>
      <w:r>
        <w:rPr>
          <w:i/>
          <w:iCs/>
        </w:rPr>
        <w:t xml:space="preserve">κ</w:t>
      </w:r>
      <w:r>
        <w:t xml:space="preserve"> </w:t>
      </w:r>
      <w:r>
        <w:t xml:space="preserve">under chemistry-cluster CV (Supplementary Table S5). Direct prediction is more accurate (R</w:t>
      </w:r>
      <w:r>
        <w:rPr>
          <w:vertAlign w:val="superscript"/>
        </w:rPr>
        <w:t xml:space="preserve">2</w:t>
      </w:r>
      <w:r>
        <w:t xml:space="preserve"> </w:t>
      </w:r>
      <w:r>
        <w:t xml:space="preserve">=</w:t>
      </w:r>
      <w:r>
        <w:t xml:space="preserve"> </w:t>
      </w:r>
      <w:r>
        <w:t xml:space="preserve">0.727</w:t>
      </w:r>
      <w:r>
        <w:t xml:space="preserve"> </w:t>
      </w:r>
      <w:r>
        <w:t xml:space="preserve">vs</w:t>
      </w:r>
      <w:r>
        <w:t xml:space="preserve"> </w:t>
      </w:r>
      <w:r>
        <w:t xml:space="preserve">0.540</w:t>
      </w:r>
      <w:r>
        <w:t xml:space="preserve">), with each model using its own target’s frozen hyperparameters. The derived pathway suffers from error propagation; to first order, the relative error of the derived zT is</w:t>
      </w:r>
    </w:p>
    <w:p>
      <w:pPr>
        <w:pStyle w:val="BodyText"/>
      </w:pPr>
      <m:oMath>
        <m:f>
          <m:fPr>
            <m:type m:val="bar"/>
          </m:fPr>
          <m:num>
            <m:r>
              <m:t>δ</m:t>
            </m:r>
            <m:r>
              <m:t>z</m:t>
            </m:r>
            <m:r>
              <m:t>T</m:t>
            </m:r>
          </m:num>
          <m:den>
            <m:r>
              <m:t>z</m:t>
            </m:r>
            <m:r>
              <m:t>T</m:t>
            </m:r>
          </m:den>
        </m:f>
        <m:r>
          <m:rPr>
            <m:sty m:val="p"/>
          </m:rPr>
          <m:t>≈</m:t>
        </m:r>
        <m:rad>
          <m:radPr>
            <m:degHide m:val="on"/>
          </m:radPr>
          <m:deg/>
          <m:e>
            <m:sSup>
              <m:e>
                <m:d>
                  <m:dPr>
                    <m:begChr m:val="("/>
                    <m:sepChr m:val=""/>
                    <m:endChr m:val=")"/>
                    <m:grow/>
                  </m:dPr>
                  <m:e>
                    <m:r>
                      <m:t>2</m:t>
                    </m:r>
                    <m:f>
                      <m:fPr>
                        <m:type m:val="bar"/>
                      </m:fPr>
                      <m:num>
                        <m:r>
                          <m:t>δ</m:t>
                        </m:r>
                        <m:r>
                          <m:t>S</m:t>
                        </m:r>
                      </m:num>
                      <m:den>
                        <m:r>
                          <m:t>S</m:t>
                        </m:r>
                      </m:den>
                    </m:f>
                  </m:e>
                </m:d>
              </m:e>
              <m:sup>
                <m:r>
                  <m:t>2</m:t>
                </m:r>
              </m:sup>
            </m:sSup>
            <m:r>
              <m:rPr>
                <m:sty m:val="p"/>
              </m:rPr>
              <m:t>+</m:t>
            </m:r>
            <m:sSup>
              <m:e>
                <m:d>
                  <m:dPr>
                    <m:begChr m:val="("/>
                    <m:sepChr m:val=""/>
                    <m:endChr m:val=")"/>
                    <m:grow/>
                  </m:dPr>
                  <m:e>
                    <m:f>
                      <m:fPr>
                        <m:type m:val="bar"/>
                      </m:fPr>
                      <m:num>
                        <m:r>
                          <m:t>δ</m:t>
                        </m:r>
                        <m:r>
                          <m:t>σ</m:t>
                        </m:r>
                      </m:num>
                      <m:den>
                        <m:r>
                          <m:t>σ</m:t>
                        </m:r>
                      </m:den>
                    </m:f>
                  </m:e>
                </m:d>
              </m:e>
              <m:sup>
                <m:r>
                  <m:t>2</m:t>
                </m:r>
              </m:sup>
            </m:sSup>
            <m:r>
              <m:rPr>
                <m:sty m:val="p"/>
              </m:rPr>
              <m:t>+</m:t>
            </m:r>
            <m:sSup>
              <m:e>
                <m:d>
                  <m:dPr>
                    <m:begChr m:val="("/>
                    <m:sepChr m:val=""/>
                    <m:endChr m:val=")"/>
                    <m:grow/>
                  </m:dPr>
                  <m:e>
                    <m:f>
                      <m:fPr>
                        <m:type m:val="bar"/>
                      </m:fPr>
                      <m:num>
                        <m:r>
                          <m:t>δ</m:t>
                        </m:r>
                        <m:r>
                          <m:t>κ</m:t>
                        </m:r>
                      </m:num>
                      <m:den>
                        <m:r>
                          <m:t>κ</m:t>
                        </m:r>
                      </m:den>
                    </m:f>
                  </m:e>
                </m:d>
              </m:e>
              <m:sup>
                <m:r>
                  <m:t>2</m:t>
                </m:r>
              </m:sup>
            </m:sSup>
          </m:e>
        </m:rad>
      </m:oMath>
      <w:r>
        <w:t xml:space="preserve"> </w:t>
      </w:r>
      <w:r>
        <w:t xml:space="preserve">(S5)</w:t>
      </w:r>
    </w:p>
    <w:p>
      <w:pPr>
        <w:pStyle w:val="BodyText"/>
      </w:pPr>
      <w:r>
        <w:t xml:space="preserve">so the quadratic dependence on S doubles its relative error, and the weakest component model (</w:t>
      </w:r>
      <w:r>
        <w:rPr>
          <w:i/>
          <w:iCs/>
        </w:rPr>
        <w:t xml:space="preserve">σ</w:t>
      </w:r>
      <w:r>
        <w:t xml:space="preserve">, R</w:t>
      </w:r>
      <w:r>
        <w:rPr>
          <w:vertAlign w:val="superscript"/>
        </w:rPr>
        <w:t xml:space="preserve">2</w:t>
      </w:r>
      <w:r>
        <w:t xml:space="preserve"> </w:t>
      </w:r>
      <w:r>
        <w:t xml:space="preserve">=</w:t>
      </w:r>
      <w:r>
        <w:t xml:space="preserve"> </w:t>
      </w:r>
      <w:r>
        <w:t xml:space="preserve">0.692</w:t>
      </w:r>
      <w:r>
        <w:t xml:space="preserve">, against</w:t>
      </w:r>
      <w:r>
        <w:t xml:space="preserve"> </w:t>
      </w:r>
      <w:r>
        <w:t xml:space="preserve">0.820</w:t>
      </w:r>
      <w:r>
        <w:t xml:space="preserve"> </w:t>
      </w:r>
      <w:r>
        <w:t xml:space="preserve">for S and</w:t>
      </w:r>
      <w:r>
        <w:t xml:space="preserve"> </w:t>
      </w:r>
      <w:r>
        <w:t xml:space="preserve">0.821</w:t>
      </w:r>
      <w:r>
        <w:t xml:space="preserve"> </w:t>
      </w:r>
      <w:r>
        <w:t xml:space="preserve">for</w:t>
      </w:r>
      <w:r>
        <w:t xml:space="preserve"> </w:t>
      </w:r>
      <w:r>
        <w:rPr>
          <w:i/>
          <w:iCs/>
        </w:rPr>
        <w:t xml:space="preserve">κ</w:t>
      </w:r>
      <w:r>
        <w:t xml:space="preserve">) adds a large further term. Back-transforming the log-space predictions of</w:t>
      </w:r>
      <w:r>
        <w:t xml:space="preserve"> </w:t>
      </w:r>
      <w:r>
        <w:rPr>
          <w:i/>
          <w:iCs/>
        </w:rPr>
        <w:t xml:space="preserve">σ</w:t>
      </w:r>
      <w:r>
        <w:t xml:space="preserve"> </w:t>
      </w:r>
      <w:r>
        <w:t xml:space="preserve">and</w:t>
      </w:r>
      <w:r>
        <w:t xml:space="preserve"> </w:t>
      </w:r>
      <w:r>
        <w:rPr>
          <w:i/>
          <w:iCs/>
        </w:rPr>
        <w:t xml:space="preserve">κ</w:t>
      </w:r>
      <w:r>
        <w:t xml:space="preserve"> </w:t>
      </w:r>
      <w:r>
        <w:t xml:space="preserve">with a smearing correction changes the derived R</w:t>
      </w:r>
      <w:r>
        <w:rPr>
          <w:vertAlign w:val="superscript"/>
        </w:rPr>
        <w:t xml:space="preserve">2</w:t>
      </w:r>
      <w:r>
        <w:t xml:space="preserve"> </w:t>
      </w:r>
      <w:r>
        <w:t xml:space="preserve">by</w:t>
      </w:r>
      <w:r>
        <w:t xml:space="preserve"> </w:t>
      </w:r>
      <w:r>
        <w:t xml:space="preserve">−0.005</w:t>
      </w:r>
      <w:r>
        <w:t xml:space="preserve">, too little to alter the comparison. The individual component models remain useful diagnostically: a material predicted to have high S but low</w:t>
      </w:r>
      <w:r>
        <w:t xml:space="preserve"> </w:t>
      </w:r>
      <w:r>
        <w:rPr>
          <w:i/>
          <w:iCs/>
        </w:rPr>
        <w:t xml:space="preserve">σ</w:t>
      </w:r>
      <w:r>
        <w:t xml:space="preserve">, for example, may benefit from carrier-concentration optimization through doping. The comparison was repeated under random row-level validation (shuffled 5-fold, five repeats, the same</w:t>
      </w:r>
      <w:r>
        <w:t xml:space="preserve"> </w:t>
      </w:r>
      <w:r>
        <w:t xml:space="preserve">56,088</w:t>
      </w:r>
      <w:r>
        <w:t xml:space="preserve"> </w:t>
      </w:r>
      <w:r>
        <w:t xml:space="preserve">rows and the same frozen hyperparameters; Supplementary Table S5). Direct prediction is again more accurate (R</w:t>
      </w:r>
      <w:r>
        <w:rPr>
          <w:vertAlign w:val="superscript"/>
        </w:rPr>
        <w:t xml:space="preserve">2</w:t>
      </w:r>
      <w:r>
        <w:t xml:space="preserve"> </w:t>
      </w:r>
      <w:r>
        <w:t xml:space="preserve">=</w:t>
      </w:r>
      <w:r>
        <w:t xml:space="preserve"> </w:t>
      </w:r>
      <w:r>
        <w:t xml:space="preserve">0.917</w:t>
      </w:r>
      <w:r>
        <w:t xml:space="preserve"> </w:t>
      </w:r>
      <w:r>
        <w:t xml:space="preserve">vs</w:t>
      </w:r>
      <w:r>
        <w:t xml:space="preserve"> </w:t>
      </w:r>
      <w:r>
        <w:t xml:space="preserve">0.880</w:t>
      </w:r>
      <w:r>
        <w:t xml:space="preserve">), so the ordering does not depend on grouped validation. The size of the advantage does: the gap between the two pathways is</w:t>
      </w:r>
      <w:r>
        <w:t xml:space="preserve"> </w:t>
      </w:r>
      <w:r>
        <w:t xml:space="preserve">0.036</w:t>
      </w:r>
      <w:r>
        <w:t xml:space="preserve"> </w:t>
      </w:r>
      <w:r>
        <w:t xml:space="preserve">under random validation and</w:t>
      </w:r>
      <w:r>
        <w:t xml:space="preserve"> </w:t>
      </w:r>
      <w:r>
        <w:t xml:space="preserve">0.186</w:t>
      </w:r>
      <w:r>
        <w:t xml:space="preserve"> </w:t>
      </w:r>
      <w:r>
        <w:t xml:space="preserve">under chemistry-cluster validation (differences of unrounded R</w:t>
      </w:r>
      <w:r>
        <w:rPr>
          <w:vertAlign w:val="superscript"/>
        </w:rPr>
        <w:t xml:space="preserve">2</w:t>
      </w:r>
      <w:r>
        <w:t xml:space="preserve">), a factor of</w:t>
      </w:r>
      <w:r>
        <w:t xml:space="preserve"> </w:t>
      </w:r>
      <w:r>
        <w:t xml:space="preserve">5.1</w:t>
      </w:r>
      <w:r>
        <w:t xml:space="preserve">. Random validation therefore understates how much the derived route loses when it has to generalize to unseen chemistry.</w:t>
      </w:r>
    </w:p>
    <w:p>
      <w:pPr>
        <w:pStyle w:val="BodyText"/>
      </w:pPr>
      <w:r>
        <w:rPr>
          <w:b/>
          <w:bCs/>
        </w:rPr>
        <w:t xml:space="preserve">Supplementary Table S5:</w:t>
      </w:r>
      <w:r>
        <w:t xml:space="preserve"> </w:t>
      </w:r>
      <w:r>
        <w:t xml:space="preserve">Direct versus component-wise zT prediction on the 56,088 rows with all four properties present (4,139 chemistry clusters); each model uses its own target’s frozen hyperparameters. Chemistry-cluster CV is 5 repeats x 5 folds of grouped folds; random CV is 5 repeats x 5 folds of shuffled row-level folds; both pool the out-of-fold predictions (n = 280,440).</w:t>
      </w:r>
    </w:p>
    <w:tbl>
      <w:tblPr>
        <w:tblStyle w:val="Table"/>
        <w:tblW w:type="pct" w:w="5000"/>
        <w:tblLayout w:type="fixed"/>
        <w:tblLook w:firstRow="1" w:lastRow="0" w:firstColumn="0" w:lastColumn="0" w:noHBand="0" w:noVBand="0" w:val="0020"/>
      </w:tblPr>
      <w:tblGrid>
        <w:gridCol w:w="3065"/>
        <w:gridCol w:w="1277"/>
        <w:gridCol w:w="1149"/>
        <w:gridCol w:w="1277"/>
        <w:gridCol w:w="1149"/>
      </w:tblGrid>
      <w:tr>
        <w:trPr>
          <w:tblHeader w:val="on"/>
        </w:trPr>
        <w:tc>
          <w:tcPr/>
          <w:p>
            <w:pPr>
              <w:pStyle w:val="Compact"/>
            </w:pPr>
            <w:r>
              <w:rPr>
                <w:b/>
                <w:bCs/>
              </w:rPr>
              <w:t xml:space="preserve">Pathway</w:t>
            </w:r>
          </w:p>
        </w:tc>
        <w:tc>
          <w:tcPr/>
          <w:p>
            <w:pPr>
              <w:pStyle w:val="Compact"/>
            </w:pPr>
            <w:r>
              <w:rPr>
                <w:b/>
                <w:bCs/>
              </w:rPr>
              <w:t xml:space="preserve">R</w:t>
            </w:r>
            <w:r>
              <w:rPr>
                <w:b/>
                <w:bCs/>
                <w:vertAlign w:val="superscript"/>
              </w:rPr>
              <w:t xml:space="preserve">2</w:t>
            </w:r>
            <w:r>
              <w:rPr>
                <w:b/>
                <w:bCs/>
              </w:rPr>
              <w:t xml:space="preserve"> </w:t>
            </w:r>
            <w:r>
              <w:rPr>
                <w:b/>
                <w:bCs/>
              </w:rPr>
              <w:t xml:space="preserve">(chemistry-cluster)</w:t>
            </w:r>
          </w:p>
        </w:tc>
        <w:tc>
          <w:tcPr/>
          <w:p>
            <w:pPr>
              <w:pStyle w:val="Compact"/>
            </w:pPr>
            <w:r>
              <w:rPr>
                <w:b/>
                <w:bCs/>
              </w:rPr>
              <w:t xml:space="preserve">MAE (chemistry-cluster)</w:t>
            </w:r>
          </w:p>
        </w:tc>
        <w:tc>
          <w:tcPr/>
          <w:p>
            <w:pPr>
              <w:pStyle w:val="Compact"/>
            </w:pPr>
            <w:r>
              <w:rPr>
                <w:b/>
                <w:bCs/>
              </w:rPr>
              <w:t xml:space="preserve">R</w:t>
            </w:r>
            <w:r>
              <w:rPr>
                <w:b/>
                <w:bCs/>
                <w:vertAlign w:val="superscript"/>
              </w:rPr>
              <w:t xml:space="preserve">2</w:t>
            </w:r>
            <w:r>
              <w:rPr>
                <w:b/>
                <w:bCs/>
              </w:rPr>
              <w:t xml:space="preserve"> </w:t>
            </w:r>
            <w:r>
              <w:rPr>
                <w:b/>
                <w:bCs/>
              </w:rPr>
              <w:t xml:space="preserve">(random)</w:t>
            </w:r>
          </w:p>
        </w:tc>
        <w:tc>
          <w:tcPr/>
          <w:p>
            <w:pPr>
              <w:pStyle w:val="Compact"/>
            </w:pPr>
            <w:r>
              <w:rPr>
                <w:b/>
                <w:bCs/>
              </w:rPr>
              <w:t xml:space="preserve">MAE (random)</w:t>
            </w:r>
          </w:p>
        </w:tc>
      </w:tr>
      <w:tr>
        <w:tc>
          <w:tcPr/>
          <w:p>
            <w:pPr>
              <w:pStyle w:val="Compact"/>
            </w:pPr>
            <w:r>
              <w:t xml:space="preserve">Direct (features → zT)</w:t>
            </w:r>
          </w:p>
        </w:tc>
        <w:tc>
          <w:tcPr/>
          <w:p>
            <w:pPr>
              <w:pStyle w:val="Compact"/>
            </w:pPr>
            <w:r>
              <w:t xml:space="preserve">0.727</w:t>
            </w:r>
          </w:p>
        </w:tc>
        <w:tc>
          <w:tcPr/>
          <w:p>
            <w:pPr>
              <w:pStyle w:val="Compact"/>
            </w:pPr>
            <w:r>
              <w:t xml:space="preserve">0.132</w:t>
            </w:r>
          </w:p>
        </w:tc>
        <w:tc>
          <w:tcPr/>
          <w:p>
            <w:pPr>
              <w:pStyle w:val="Compact"/>
            </w:pPr>
            <w:r>
              <w:t xml:space="preserve">0.917</w:t>
            </w:r>
          </w:p>
        </w:tc>
        <w:tc>
          <w:tcPr/>
          <w:p>
            <w:pPr>
              <w:pStyle w:val="Compact"/>
            </w:pPr>
            <w:r>
              <w:t xml:space="preserve">0.072</w:t>
            </w:r>
          </w:p>
        </w:tc>
      </w:tr>
      <w:tr>
        <w:tc>
          <w:tcPr/>
          <w:p>
            <w:pPr>
              <w:pStyle w:val="Compact"/>
            </w:pPr>
            <w:r>
              <w:t xml:space="preserve">Derived (S</w:t>
            </w:r>
            <w:r>
              <w:rPr>
                <w:vertAlign w:val="superscript"/>
              </w:rPr>
              <w:t xml:space="preserve">2</w:t>
            </w:r>
            <w:r>
              <w:rPr>
                <w:i/>
                <w:iCs/>
              </w:rPr>
              <w:t xml:space="preserve">σ</w:t>
            </w:r>
            <w:r>
              <w:t xml:space="preserve">T/</w:t>
            </w:r>
            <w:r>
              <w:rPr>
                <w:i/>
                <w:iCs/>
              </w:rPr>
              <w:t xml:space="preserve">κ</w:t>
            </w:r>
            <w:r>
              <w:t xml:space="preserve">)</w:t>
            </w:r>
          </w:p>
        </w:tc>
        <w:tc>
          <w:tcPr/>
          <w:p>
            <w:pPr>
              <w:pStyle w:val="Compact"/>
            </w:pPr>
            <w:r>
              <w:t xml:space="preserve">0.540</w:t>
            </w:r>
          </w:p>
        </w:tc>
        <w:tc>
          <w:tcPr/>
          <w:p>
            <w:pPr>
              <w:pStyle w:val="Compact"/>
            </w:pPr>
            <w:r>
              <w:t xml:space="preserve">0.166</w:t>
            </w:r>
          </w:p>
        </w:tc>
        <w:tc>
          <w:tcPr/>
          <w:p>
            <w:pPr>
              <w:pStyle w:val="Compact"/>
            </w:pPr>
            <w:r>
              <w:t xml:space="preserve">0.880</w:t>
            </w:r>
          </w:p>
        </w:tc>
        <w:tc>
          <w:tcPr/>
          <w:p>
            <w:pPr>
              <w:pStyle w:val="Compact"/>
            </w:pPr>
            <w:r>
              <w:t xml:space="preserve">0.083</w:t>
            </w:r>
          </w:p>
        </w:tc>
      </w:tr>
    </w:tbl>
    <w:bookmarkEnd w:id="38"/>
    <w:bookmarkStart w:id="39" w:name="X09c77683faca862ce9cf75846b7b68b0a7dd5a1"/>
    <w:p>
      <w:pPr>
        <w:pStyle w:val="Heading2"/>
      </w:pPr>
      <w:r>
        <w:t xml:space="preserve">Supplementary Note S10: The literature comparison per paper (supplement to Section 3.4)</w:t>
      </w:r>
    </w:p>
    <w:p>
      <w:pPr>
        <w:pStyle w:val="FirstParagraph"/>
      </w:pPr>
      <w:r>
        <w:rPr>
          <w:b/>
          <w:bCs/>
        </w:rPr>
        <w:t xml:space="preserve">Supplementary Table S6:</w:t>
      </w:r>
      <w:r>
        <w:t xml:space="preserve"> </w:t>
      </w:r>
      <w:r>
        <w:t xml:space="preserve">Comparison of out-of-fold predictions with published measurements, per paper. n: values compared; inside: values whose absolute relative error is within the relative uncertainty of the measurement (S 0.06,</w:t>
      </w:r>
      <w:r>
        <w:t xml:space="preserve"> </w:t>
      </w:r>
      <w:r>
        <w:rPr>
          <w:i/>
          <w:iCs/>
        </w:rPr>
        <w:t xml:space="preserve">σ</w:t>
      </w:r>
      <w:r>
        <w:t xml:space="preserve"> </w:t>
      </w:r>
      <w:r>
        <w:t xml:space="preserve">0.08,</w:t>
      </w:r>
      <w:r>
        <w:t xml:space="preserve"> </w:t>
      </w:r>
      <w:r>
        <w:rPr>
          <w:i/>
          <w:iCs/>
        </w:rPr>
        <w:t xml:space="preserve">κ</w:t>
      </w:r>
      <w:r>
        <w:t xml:space="preserve"> </w:t>
      </w:r>
      <w:r>
        <w:t xml:space="preserve">0.11, zT 0.19), with the fraction; median abs. rel. error: median absolute relative error (linear units); log</w:t>
      </w:r>
      <w:r>
        <w:rPr>
          <w:vertAlign w:val="subscript"/>
        </w:rPr>
        <w:t xml:space="preserve">10</w:t>
      </w:r>
      <w:r>
        <w:t xml:space="preserve"> </w:t>
      </w:r>
      <w:r>
        <w:t xml:space="preserve">ratio: median absolute and signed median of log</w:t>
      </w:r>
      <w:r>
        <w:rPr>
          <w:vertAlign w:val="subscript"/>
        </w:rPr>
        <w:t xml:space="preserve">10</w:t>
      </w:r>
      <w:r>
        <w:t xml:space="preserve">(prediction) − log</w:t>
      </w:r>
      <w:r>
        <w:rPr>
          <w:vertAlign w:val="subscript"/>
        </w:rPr>
        <w:t xml:space="preserve">10</w:t>
      </w:r>
      <w:r>
        <w:t xml:space="preserve">(literature) for</w:t>
      </w:r>
      <w:r>
        <w:t xml:space="preserve"> </w:t>
      </w:r>
      <w:r>
        <w:rPr>
          <w:i/>
          <w:iCs/>
        </w:rPr>
        <w:t xml:space="preserve">σ</w:t>
      </w:r>
      <w:r>
        <w:t xml:space="preserve"> </w:t>
      </w:r>
      <w:r>
        <w:t xml:space="preserve">and</w:t>
      </w:r>
      <w:r>
        <w:t xml:space="preserve"> </w:t>
      </w:r>
      <w:r>
        <w:rPr>
          <w:i/>
          <w:iCs/>
        </w:rPr>
        <w:t xml:space="preserve">κ</w:t>
      </w:r>
      <w:r>
        <w:t xml:space="preserve">. Exact level: the same composition at the same temperature bin; cluster level: the mean of the held-out predictions of the sample’s chemistry cluster at that bin (a family average). Part A: the independent papers; Part B: the papers whose DOI is among the DOIs of the training data (training sources), not pooled with part A.</w:t>
      </w:r>
    </w:p>
    <w:p>
      <w:pPr>
        <w:pStyle w:val="BodyText"/>
      </w:pPr>
      <w:r>
        <w:rPr>
          <w:i/>
          <w:iCs/>
        </w:rPr>
        <w:t xml:space="preserve">Part A: independent papers.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Paper</w:t>
            </w:r>
          </w:p>
        </w:tc>
        <w:tc>
          <w:tcPr/>
          <w:p>
            <w:pPr>
              <w:pStyle w:val="Compact"/>
            </w:pPr>
            <w:r>
              <w:rPr>
                <w:b/>
                <w:bCs/>
              </w:rPr>
              <w:t xml:space="preserve">Level</w:t>
            </w:r>
          </w:p>
        </w:tc>
        <w:tc>
          <w:tcPr/>
          <w:p>
            <w:pPr>
              <w:pStyle w:val="Compact"/>
            </w:pPr>
            <w:r>
              <w:rPr>
                <w:b/>
                <w:bCs/>
              </w:rPr>
              <w:t xml:space="preserve">Property</w:t>
            </w:r>
          </w:p>
        </w:tc>
        <w:tc>
          <w:tcPr/>
          <w:p>
            <w:pPr>
              <w:pStyle w:val="Compact"/>
            </w:pPr>
            <w:r>
              <w:rPr>
                <w:b/>
                <w:bCs/>
              </w:rPr>
              <w:t xml:space="preserve">n</w:t>
            </w:r>
          </w:p>
        </w:tc>
        <w:tc>
          <w:tcPr/>
          <w:p>
            <w:pPr>
              <w:pStyle w:val="Compact"/>
            </w:pPr>
            <w:r>
              <w:rPr>
                <w:b/>
                <w:bCs/>
              </w:rPr>
              <w:t xml:space="preserve">Inside (fraction)</w:t>
            </w:r>
          </w:p>
        </w:tc>
        <w:tc>
          <w:tcPr/>
          <w:p>
            <w:pPr>
              <w:pStyle w:val="Compact"/>
            </w:pPr>
            <w:r>
              <w:rPr>
                <w:b/>
                <w:bCs/>
              </w:rPr>
              <w:t xml:space="preserve">Median abs. rel. error</w:t>
            </w:r>
          </w:p>
        </w:tc>
        <w:tc>
          <w:tcPr/>
          <w:p>
            <w:pPr>
              <w:pStyle w:val="Compact"/>
            </w:pPr>
            <w:r>
              <w:rPr>
                <w:b/>
                <w:bCs/>
              </w:rPr>
              <w:t xml:space="preserve">Median abs. log</w:t>
            </w:r>
            <w:r>
              <w:rPr>
                <w:b/>
                <w:bCs/>
                <w:vertAlign w:val="subscript"/>
              </w:rPr>
              <w:t xml:space="preserve">10</w:t>
            </w:r>
            <w:r>
              <w:rPr>
                <w:b/>
                <w:bCs/>
              </w:rPr>
              <w:t xml:space="preserve"> </w:t>
            </w:r>
            <w:r>
              <w:rPr>
                <w:b/>
                <w:bCs/>
              </w:rPr>
              <w:t xml:space="preserve">ratio</w:t>
            </w:r>
          </w:p>
        </w:tc>
        <w:tc>
          <w:tcPr/>
          <w:p>
            <w:pPr>
              <w:pStyle w:val="Compact"/>
            </w:pPr>
            <w:r>
              <w:rPr>
                <w:b/>
                <w:bCs/>
              </w:rPr>
              <w:t xml:space="preserve">Signed median log</w:t>
            </w:r>
            <w:r>
              <w:rPr>
                <w:b/>
                <w:bCs/>
                <w:vertAlign w:val="subscript"/>
              </w:rPr>
              <w:t xml:space="preserve">10</w:t>
            </w:r>
            <w:r>
              <w:rPr>
                <w:b/>
                <w:bCs/>
              </w:rPr>
              <w:t xml:space="preserve"> </w:t>
            </w:r>
            <w:r>
              <w:rPr>
                <w:b/>
                <w:bCs/>
              </w:rPr>
              <w:t xml:space="preserve">ratio</w:t>
            </w:r>
          </w:p>
        </w:tc>
      </w:tr>
      <w:tr>
        <w:tc>
          <w:tcPr/>
          <w:p>
            <w:pPr>
              <w:pStyle w:val="Compact"/>
            </w:pPr>
            <w:r>
              <w:t xml:space="preserve">Ohtaki et al.</w:t>
            </w:r>
            <w:r>
              <w:rPr>
                <w:vertAlign w:val="superscript"/>
              </w:rPr>
              <w:t xml:space="preserve">49</w:t>
            </w:r>
          </w:p>
        </w:tc>
        <w:tc>
          <w:tcPr/>
          <w:p>
            <w:pPr>
              <w:pStyle w:val="Compact"/>
            </w:pPr>
            <w:r>
              <w:t xml:space="preserve">exact</w:t>
            </w:r>
          </w:p>
        </w:tc>
        <w:tc>
          <w:tcPr/>
          <w:p>
            <w:pPr>
              <w:pStyle w:val="Compact"/>
            </w:pPr>
            <w:r>
              <w:t xml:space="preserve">S</w:t>
            </w:r>
          </w:p>
        </w:tc>
        <w:tc>
          <w:tcPr/>
          <w:p>
            <w:pPr>
              <w:pStyle w:val="Compact"/>
            </w:pPr>
            <w:r>
              <w:t xml:space="preserve">10</w:t>
            </w:r>
          </w:p>
        </w:tc>
        <w:tc>
          <w:tcPr/>
          <w:p>
            <w:pPr>
              <w:pStyle w:val="Compact"/>
            </w:pPr>
            <w:r>
              <w:t xml:space="preserve">3 (0.300)</w:t>
            </w:r>
          </w:p>
        </w:tc>
        <w:tc>
          <w:tcPr/>
          <w:p>
            <w:pPr>
              <w:pStyle w:val="Compact"/>
            </w:pPr>
            <w:r>
              <w:t xml:space="preserve">0.086</w:t>
            </w:r>
          </w:p>
        </w:tc>
        <w:tc>
          <w:tcPr/>
          <w:p>
            <w:pPr>
              <w:pStyle w:val="Compact"/>
            </w:pPr>
            <w:r>
              <w:t xml:space="preserve">–</w:t>
            </w:r>
          </w:p>
        </w:tc>
        <w:tc>
          <w:tcPr/>
          <w:p>
            <w:pPr>
              <w:pStyle w:val="Compact"/>
            </w:pPr>
            <w:r>
              <w:t xml:space="preserve">–</w:t>
            </w:r>
          </w:p>
        </w:tc>
      </w:tr>
      <w:tr>
        <w:tc>
          <w:tcPr/>
          <w:p>
            <w:pPr>
              <w:pStyle w:val="Compact"/>
            </w:pPr>
            <w:r>
              <w:t xml:space="preserve">Ohtaki et al.</w:t>
            </w:r>
            <w:r>
              <w:rPr>
                <w:vertAlign w:val="superscript"/>
              </w:rPr>
              <w:t xml:space="preserve">49</w:t>
            </w:r>
          </w:p>
        </w:tc>
        <w:tc>
          <w:tcPr/>
          <w:p>
            <w:pPr>
              <w:pStyle w:val="Compact"/>
            </w:pPr>
            <w:r>
              <w:t xml:space="preserve">exact</w:t>
            </w:r>
          </w:p>
        </w:tc>
        <w:tc>
          <w:tcPr/>
          <w:p>
            <w:pPr>
              <w:pStyle w:val="Compact"/>
            </w:pPr>
            <w:r>
              <w:rPr>
                <w:i/>
                <w:iCs/>
              </w:rPr>
              <w:t xml:space="preserve">σ</w:t>
            </w:r>
          </w:p>
        </w:tc>
        <w:tc>
          <w:tcPr/>
          <w:p>
            <w:pPr>
              <w:pStyle w:val="Compact"/>
            </w:pPr>
            <w:r>
              <w:t xml:space="preserve">22</w:t>
            </w:r>
          </w:p>
        </w:tc>
        <w:tc>
          <w:tcPr/>
          <w:p>
            <w:pPr>
              <w:pStyle w:val="Compact"/>
            </w:pPr>
            <w:r>
              <w:t xml:space="preserve">0 (0.000)</w:t>
            </w:r>
          </w:p>
        </w:tc>
        <w:tc>
          <w:tcPr/>
          <w:p>
            <w:pPr>
              <w:pStyle w:val="Compact"/>
            </w:pPr>
            <w:r>
              <w:t xml:space="preserve">0.416</w:t>
            </w:r>
          </w:p>
        </w:tc>
        <w:tc>
          <w:tcPr/>
          <w:p>
            <w:pPr>
              <w:pStyle w:val="Compact"/>
            </w:pPr>
            <w:r>
              <w:t xml:space="preserve">0.206</w:t>
            </w:r>
          </w:p>
        </w:tc>
        <w:tc>
          <w:tcPr/>
          <w:p>
            <w:pPr>
              <w:pStyle w:val="Compact"/>
            </w:pPr>
            <w:r>
              <w:t xml:space="preserve">−0.185</w:t>
            </w:r>
          </w:p>
        </w:tc>
      </w:tr>
      <w:tr>
        <w:tc>
          <w:tcPr/>
          <w:p>
            <w:pPr>
              <w:pStyle w:val="Compact"/>
            </w:pPr>
            <w:r>
              <w:t xml:space="preserve">Ohtaki et al.</w:t>
            </w:r>
            <w:r>
              <w:rPr>
                <w:vertAlign w:val="superscript"/>
              </w:rPr>
              <w:t xml:space="preserve">49</w:t>
            </w:r>
          </w:p>
        </w:tc>
        <w:tc>
          <w:tcPr/>
          <w:p>
            <w:pPr>
              <w:pStyle w:val="Compact"/>
            </w:pPr>
            <w:r>
              <w:t xml:space="preserve">exact</w:t>
            </w:r>
          </w:p>
        </w:tc>
        <w:tc>
          <w:tcPr/>
          <w:p>
            <w:pPr>
              <w:pStyle w:val="Compact"/>
            </w:pPr>
            <w:r>
              <w:rPr>
                <w:i/>
                <w:iCs/>
              </w:rPr>
              <w:t xml:space="preserve">κ</w:t>
            </w:r>
          </w:p>
        </w:tc>
        <w:tc>
          <w:tcPr/>
          <w:p>
            <w:pPr>
              <w:pStyle w:val="Compact"/>
            </w:pPr>
            <w:r>
              <w:t xml:space="preserve">2</w:t>
            </w:r>
          </w:p>
        </w:tc>
        <w:tc>
          <w:tcPr/>
          <w:p>
            <w:pPr>
              <w:pStyle w:val="Compact"/>
            </w:pPr>
            <w:r>
              <w:t xml:space="preserve">0 (0.000)</w:t>
            </w:r>
          </w:p>
        </w:tc>
        <w:tc>
          <w:tcPr/>
          <w:p>
            <w:pPr>
              <w:pStyle w:val="Compact"/>
            </w:pPr>
            <w:r>
              <w:t xml:space="preserve">0.362</w:t>
            </w:r>
          </w:p>
        </w:tc>
        <w:tc>
          <w:tcPr/>
          <w:p>
            <w:pPr>
              <w:pStyle w:val="Compact"/>
            </w:pPr>
            <w:r>
              <w:t xml:space="preserve">0.195</w:t>
            </w:r>
          </w:p>
        </w:tc>
        <w:tc>
          <w:tcPr/>
          <w:p>
            <w:pPr>
              <w:pStyle w:val="Compact"/>
            </w:pPr>
            <w:r>
              <w:t xml:space="preserve">−0.195</w:t>
            </w:r>
          </w:p>
        </w:tc>
      </w:tr>
      <w:tr>
        <w:tc>
          <w:tcPr/>
          <w:p>
            <w:pPr>
              <w:pStyle w:val="Compact"/>
            </w:pPr>
            <w:r>
              <w:t xml:space="preserve">Ohtaki et al.</w:t>
            </w:r>
            <w:r>
              <w:rPr>
                <w:vertAlign w:val="superscript"/>
              </w:rPr>
              <w:t xml:space="preserve">49</w:t>
            </w:r>
          </w:p>
        </w:tc>
        <w:tc>
          <w:tcPr/>
          <w:p>
            <w:pPr>
              <w:pStyle w:val="Compact"/>
            </w:pPr>
            <w:r>
              <w:t xml:space="preserve">exact</w:t>
            </w:r>
          </w:p>
        </w:tc>
        <w:tc>
          <w:tcPr/>
          <w:p>
            <w:pPr>
              <w:pStyle w:val="Compact"/>
            </w:pPr>
            <w:r>
              <w:t xml:space="preserve">zT</w:t>
            </w:r>
          </w:p>
        </w:tc>
        <w:tc>
          <w:tcPr/>
          <w:p>
            <w:pPr>
              <w:pStyle w:val="Compact"/>
            </w:pPr>
            <w:r>
              <w:t xml:space="preserve">3</w:t>
            </w:r>
          </w:p>
        </w:tc>
        <w:tc>
          <w:tcPr/>
          <w:p>
            <w:pPr>
              <w:pStyle w:val="Compact"/>
            </w:pPr>
            <w:r>
              <w:t xml:space="preserve">0 (0.000)</w:t>
            </w:r>
          </w:p>
        </w:tc>
        <w:tc>
          <w:tcPr/>
          <w:p>
            <w:pPr>
              <w:pStyle w:val="Compact"/>
            </w:pPr>
            <w:r>
              <w:t xml:space="preserve">1.139</w:t>
            </w:r>
          </w:p>
        </w:tc>
        <w:tc>
          <w:tcPr/>
          <w:p>
            <w:pPr>
              <w:pStyle w:val="Compact"/>
            </w:pPr>
            <w:r>
              <w:t xml:space="preserve">–</w:t>
            </w:r>
          </w:p>
        </w:tc>
        <w:tc>
          <w:tcPr/>
          <w:p>
            <w:pPr>
              <w:pStyle w:val="Compact"/>
            </w:pPr>
            <w:r>
              <w:t xml:space="preserve">–</w:t>
            </w:r>
          </w:p>
        </w:tc>
      </w:tr>
      <w:tr>
        <w:tc>
          <w:tcPr/>
          <w:p>
            <w:pPr>
              <w:pStyle w:val="Compact"/>
            </w:pPr>
            <w:r>
              <w:t xml:space="preserve">Sebastia-Luna et al.</w:t>
            </w:r>
            <w:r>
              <w:rPr>
                <w:vertAlign w:val="superscript"/>
              </w:rPr>
              <w:t xml:space="preserve">50</w:t>
            </w:r>
          </w:p>
        </w:tc>
        <w:tc>
          <w:tcPr/>
          <w:p>
            <w:pPr>
              <w:pStyle w:val="Compact"/>
            </w:pPr>
            <w:r>
              <w:t xml:space="preserve">exact</w:t>
            </w:r>
          </w:p>
        </w:tc>
        <w:tc>
          <w:tcPr/>
          <w:p>
            <w:pPr>
              <w:pStyle w:val="Compact"/>
            </w:pPr>
            <w:r>
              <w:t xml:space="preserve">S</w:t>
            </w:r>
          </w:p>
        </w:tc>
        <w:tc>
          <w:tcPr/>
          <w:p>
            <w:pPr>
              <w:pStyle w:val="Compact"/>
            </w:pPr>
            <w:r>
              <w:t xml:space="preserve">3</w:t>
            </w:r>
          </w:p>
        </w:tc>
        <w:tc>
          <w:tcPr/>
          <w:p>
            <w:pPr>
              <w:pStyle w:val="Compact"/>
            </w:pPr>
            <w:r>
              <w:t xml:space="preserve">0 (0.000)</w:t>
            </w:r>
          </w:p>
        </w:tc>
        <w:tc>
          <w:tcPr/>
          <w:p>
            <w:pPr>
              <w:pStyle w:val="Compact"/>
            </w:pPr>
            <w:r>
              <w:t xml:space="preserve">0.449</w:t>
            </w:r>
          </w:p>
        </w:tc>
        <w:tc>
          <w:tcPr/>
          <w:p>
            <w:pPr>
              <w:pStyle w:val="Compact"/>
            </w:pPr>
            <w:r>
              <w:t xml:space="preserve">–</w:t>
            </w:r>
          </w:p>
        </w:tc>
        <w:tc>
          <w:tcPr/>
          <w:p>
            <w:pPr>
              <w:pStyle w:val="Compact"/>
            </w:pPr>
            <w:r>
              <w:t xml:space="preserve">–</w:t>
            </w:r>
          </w:p>
        </w:tc>
      </w:tr>
      <w:tr>
        <w:tc>
          <w:tcPr/>
          <w:p>
            <w:pPr>
              <w:pStyle w:val="Compact"/>
            </w:pPr>
            <w:r>
              <w:t xml:space="preserve">Sebastia-Luna et al.</w:t>
            </w:r>
            <w:r>
              <w:rPr>
                <w:vertAlign w:val="superscript"/>
              </w:rPr>
              <w:t xml:space="preserve">50</w:t>
            </w:r>
          </w:p>
        </w:tc>
        <w:tc>
          <w:tcPr/>
          <w:p>
            <w:pPr>
              <w:pStyle w:val="Compact"/>
            </w:pPr>
            <w:r>
              <w:t xml:space="preserve">exact</w:t>
            </w:r>
          </w:p>
        </w:tc>
        <w:tc>
          <w:tcPr/>
          <w:p>
            <w:pPr>
              <w:pStyle w:val="Compact"/>
            </w:pPr>
            <w:r>
              <w:rPr>
                <w:i/>
                <w:iCs/>
              </w:rPr>
              <w:t xml:space="preserve">σ</w:t>
            </w:r>
          </w:p>
        </w:tc>
        <w:tc>
          <w:tcPr/>
          <w:p>
            <w:pPr>
              <w:pStyle w:val="Compact"/>
            </w:pPr>
            <w:r>
              <w:t xml:space="preserve">3</w:t>
            </w:r>
          </w:p>
        </w:tc>
        <w:tc>
          <w:tcPr/>
          <w:p>
            <w:pPr>
              <w:pStyle w:val="Compact"/>
            </w:pPr>
            <w:r>
              <w:t xml:space="preserve">0 (0.000)</w:t>
            </w:r>
          </w:p>
        </w:tc>
        <w:tc>
          <w:tcPr/>
          <w:p>
            <w:pPr>
              <w:pStyle w:val="Compact"/>
            </w:pPr>
            <w:r>
              <w:t xml:space="preserve">4.896</w:t>
            </w:r>
          </w:p>
        </w:tc>
        <w:tc>
          <w:tcPr/>
          <w:p>
            <w:pPr>
              <w:pStyle w:val="Compact"/>
            </w:pPr>
            <w:r>
              <w:t xml:space="preserve">0.768</w:t>
            </w:r>
          </w:p>
        </w:tc>
        <w:tc>
          <w:tcPr/>
          <w:p>
            <w:pPr>
              <w:pStyle w:val="Compact"/>
            </w:pPr>
            <w:r>
              <w:t xml:space="preserve">+0.768</w:t>
            </w:r>
          </w:p>
        </w:tc>
      </w:tr>
      <w:tr>
        <w:tc>
          <w:tcPr/>
          <w:p>
            <w:pPr>
              <w:pStyle w:val="Compact"/>
            </w:pPr>
            <w:r>
              <w:t xml:space="preserve">Sebastia-Luna et al.</w:t>
            </w:r>
            <w:r>
              <w:rPr>
                <w:vertAlign w:val="superscript"/>
              </w:rPr>
              <w:t xml:space="preserve">50</w:t>
            </w:r>
          </w:p>
        </w:tc>
        <w:tc>
          <w:tcPr/>
          <w:p>
            <w:pPr>
              <w:pStyle w:val="Compact"/>
            </w:pPr>
            <w:r>
              <w:t xml:space="preserve">exact</w:t>
            </w:r>
          </w:p>
        </w:tc>
        <w:tc>
          <w:tcPr/>
          <w:p>
            <w:pPr>
              <w:pStyle w:val="Compact"/>
            </w:pPr>
            <w:r>
              <w:rPr>
                <w:i/>
                <w:iCs/>
              </w:rPr>
              <w:t xml:space="preserve">κ</w:t>
            </w:r>
          </w:p>
        </w:tc>
        <w:tc>
          <w:tcPr/>
          <w:p>
            <w:pPr>
              <w:pStyle w:val="Compact"/>
            </w:pPr>
            <w:r>
              <w:t xml:space="preserve">3</w:t>
            </w:r>
          </w:p>
        </w:tc>
        <w:tc>
          <w:tcPr/>
          <w:p>
            <w:pPr>
              <w:pStyle w:val="Compact"/>
            </w:pPr>
            <w:r>
              <w:t xml:space="preserve">0 (0.000)</w:t>
            </w:r>
          </w:p>
        </w:tc>
        <w:tc>
          <w:tcPr/>
          <w:p>
            <w:pPr>
              <w:pStyle w:val="Compact"/>
            </w:pPr>
            <w:r>
              <w:t xml:space="preserve">0.160</w:t>
            </w:r>
          </w:p>
        </w:tc>
        <w:tc>
          <w:tcPr/>
          <w:p>
            <w:pPr>
              <w:pStyle w:val="Compact"/>
            </w:pPr>
            <w:r>
              <w:t xml:space="preserve">0.062</w:t>
            </w:r>
          </w:p>
        </w:tc>
        <w:tc>
          <w:tcPr/>
          <w:p>
            <w:pPr>
              <w:pStyle w:val="Compact"/>
            </w:pPr>
            <w:r>
              <w:t xml:space="preserve">+0.062</w:t>
            </w:r>
          </w:p>
        </w:tc>
      </w:tr>
      <w:tr>
        <w:tc>
          <w:tcPr/>
          <w:p>
            <w:pPr>
              <w:pStyle w:val="Compact"/>
            </w:pPr>
            <w:r>
              <w:t xml:space="preserve">Sebastia-Luna et al.</w:t>
            </w:r>
            <w:r>
              <w:rPr>
                <w:vertAlign w:val="superscript"/>
              </w:rPr>
              <w:t xml:space="preserve">50</w:t>
            </w:r>
          </w:p>
        </w:tc>
        <w:tc>
          <w:tcPr/>
          <w:p>
            <w:pPr>
              <w:pStyle w:val="Compact"/>
            </w:pPr>
            <w:r>
              <w:t xml:space="preserve">exact</w:t>
            </w:r>
          </w:p>
        </w:tc>
        <w:tc>
          <w:tcPr/>
          <w:p>
            <w:pPr>
              <w:pStyle w:val="Compact"/>
            </w:pPr>
            <w:r>
              <w:t xml:space="preserve">zT</w:t>
            </w:r>
          </w:p>
        </w:tc>
        <w:tc>
          <w:tcPr/>
          <w:p>
            <w:pPr>
              <w:pStyle w:val="Compact"/>
            </w:pPr>
            <w:r>
              <w:t xml:space="preserve">3</w:t>
            </w:r>
          </w:p>
        </w:tc>
        <w:tc>
          <w:tcPr/>
          <w:p>
            <w:pPr>
              <w:pStyle w:val="Compact"/>
            </w:pPr>
            <w:r>
              <w:t xml:space="preserve">0 (0.000)</w:t>
            </w:r>
          </w:p>
        </w:tc>
        <w:tc>
          <w:tcPr/>
          <w:p>
            <w:pPr>
              <w:pStyle w:val="Compact"/>
            </w:pPr>
            <w:r>
              <w:t xml:space="preserve">5.194</w:t>
            </w:r>
          </w:p>
        </w:tc>
        <w:tc>
          <w:tcPr/>
          <w:p>
            <w:pPr>
              <w:pStyle w:val="Compact"/>
            </w:pPr>
            <w:r>
              <w:t xml:space="preserve">–</w:t>
            </w:r>
          </w:p>
        </w:tc>
        <w:tc>
          <w:tcPr/>
          <w:p>
            <w:pPr>
              <w:pStyle w:val="Compact"/>
            </w:pPr>
            <w:r>
              <w:t xml:space="preserve">–</w:t>
            </w:r>
          </w:p>
        </w:tc>
      </w:tr>
      <w:tr>
        <w:tc>
          <w:tcPr/>
          <w:p>
            <w:pPr>
              <w:pStyle w:val="Compact"/>
            </w:pPr>
            <w:r>
              <w:t xml:space="preserve">Singh and Pandey</w:t>
            </w:r>
            <w:r>
              <w:rPr>
                <w:vertAlign w:val="superscript"/>
              </w:rPr>
              <w:t xml:space="preserve">51</w:t>
            </w:r>
          </w:p>
        </w:tc>
        <w:tc>
          <w:tcPr/>
          <w:p>
            <w:pPr>
              <w:pStyle w:val="Compact"/>
            </w:pPr>
            <w:r>
              <w:t xml:space="preserve">exact</w:t>
            </w:r>
          </w:p>
        </w:tc>
        <w:tc>
          <w:tcPr/>
          <w:p>
            <w:pPr>
              <w:pStyle w:val="Compact"/>
            </w:pPr>
            <w:r>
              <w:t xml:space="preserve">S</w:t>
            </w:r>
          </w:p>
        </w:tc>
        <w:tc>
          <w:tcPr/>
          <w:p>
            <w:pPr>
              <w:pStyle w:val="Compact"/>
            </w:pPr>
            <w:r>
              <w:t xml:space="preserve">3</w:t>
            </w:r>
          </w:p>
        </w:tc>
        <w:tc>
          <w:tcPr/>
          <w:p>
            <w:pPr>
              <w:pStyle w:val="Compact"/>
            </w:pPr>
            <w:r>
              <w:t xml:space="preserve">1 (0.333)</w:t>
            </w:r>
          </w:p>
        </w:tc>
        <w:tc>
          <w:tcPr/>
          <w:p>
            <w:pPr>
              <w:pStyle w:val="Compact"/>
            </w:pPr>
            <w:r>
              <w:t xml:space="preserve">0.145</w:t>
            </w:r>
          </w:p>
        </w:tc>
        <w:tc>
          <w:tcPr/>
          <w:p>
            <w:pPr>
              <w:pStyle w:val="Compact"/>
            </w:pPr>
            <w:r>
              <w:t xml:space="preserve">–</w:t>
            </w:r>
          </w:p>
        </w:tc>
        <w:tc>
          <w:tcPr/>
          <w:p>
            <w:pPr>
              <w:pStyle w:val="Compact"/>
            </w:pPr>
            <w:r>
              <w:t xml:space="preserve">–</w:t>
            </w:r>
          </w:p>
        </w:tc>
      </w:tr>
      <w:tr>
        <w:tc>
          <w:tcPr/>
          <w:p>
            <w:pPr>
              <w:pStyle w:val="Compact"/>
            </w:pPr>
            <w:r>
              <w:t xml:space="preserve">Ohtaki et al.</w:t>
            </w:r>
            <w:r>
              <w:rPr>
                <w:vertAlign w:val="superscript"/>
              </w:rPr>
              <w:t xml:space="preserve">49</w:t>
            </w:r>
          </w:p>
        </w:tc>
        <w:tc>
          <w:tcPr/>
          <w:p>
            <w:pPr>
              <w:pStyle w:val="Compact"/>
            </w:pPr>
            <w:r>
              <w:t xml:space="preserve">cluster</w:t>
            </w:r>
          </w:p>
        </w:tc>
        <w:tc>
          <w:tcPr/>
          <w:p>
            <w:pPr>
              <w:pStyle w:val="Compact"/>
            </w:pPr>
            <w:r>
              <w:t xml:space="preserve">S</w:t>
            </w:r>
          </w:p>
        </w:tc>
        <w:tc>
          <w:tcPr/>
          <w:p>
            <w:pPr>
              <w:pStyle w:val="Compact"/>
            </w:pPr>
            <w:r>
              <w:t xml:space="preserve">40</w:t>
            </w:r>
          </w:p>
        </w:tc>
        <w:tc>
          <w:tcPr/>
          <w:p>
            <w:pPr>
              <w:pStyle w:val="Compact"/>
            </w:pPr>
            <w:r>
              <w:t xml:space="preserve">0 (0.000)</w:t>
            </w:r>
          </w:p>
        </w:tc>
        <w:tc>
          <w:tcPr/>
          <w:p>
            <w:pPr>
              <w:pStyle w:val="Compact"/>
            </w:pPr>
            <w:r>
              <w:t xml:space="preserve">0.596</w:t>
            </w:r>
          </w:p>
        </w:tc>
        <w:tc>
          <w:tcPr/>
          <w:p>
            <w:pPr>
              <w:pStyle w:val="Compact"/>
            </w:pPr>
            <w:r>
              <w:t xml:space="preserve">–</w:t>
            </w:r>
          </w:p>
        </w:tc>
        <w:tc>
          <w:tcPr/>
          <w:p>
            <w:pPr>
              <w:pStyle w:val="Compact"/>
            </w:pPr>
            <w:r>
              <w:t xml:space="preserve">–</w:t>
            </w:r>
          </w:p>
        </w:tc>
      </w:tr>
      <w:tr>
        <w:tc>
          <w:tcPr/>
          <w:p>
            <w:pPr>
              <w:pStyle w:val="Compact"/>
            </w:pPr>
            <w:r>
              <w:t xml:space="preserve">Ohtaki et al.</w:t>
            </w:r>
            <w:r>
              <w:rPr>
                <w:vertAlign w:val="superscript"/>
              </w:rPr>
              <w:t xml:space="preserve">49</w:t>
            </w:r>
          </w:p>
        </w:tc>
        <w:tc>
          <w:tcPr/>
          <w:p>
            <w:pPr>
              <w:pStyle w:val="Compact"/>
            </w:pPr>
            <w:r>
              <w:t xml:space="preserve">cluster</w:t>
            </w:r>
          </w:p>
        </w:tc>
        <w:tc>
          <w:tcPr/>
          <w:p>
            <w:pPr>
              <w:pStyle w:val="Compact"/>
            </w:pPr>
            <w:r>
              <w:rPr>
                <w:i/>
                <w:iCs/>
              </w:rPr>
              <w:t xml:space="preserve">σ</w:t>
            </w:r>
          </w:p>
        </w:tc>
        <w:tc>
          <w:tcPr/>
          <w:p>
            <w:pPr>
              <w:pStyle w:val="Compact"/>
            </w:pPr>
            <w:r>
              <w:t xml:space="preserve">66</w:t>
            </w:r>
          </w:p>
        </w:tc>
        <w:tc>
          <w:tcPr/>
          <w:p>
            <w:pPr>
              <w:pStyle w:val="Compact"/>
            </w:pPr>
            <w:r>
              <w:t xml:space="preserve">7 (0.106)</w:t>
            </w:r>
          </w:p>
        </w:tc>
        <w:tc>
          <w:tcPr/>
          <w:p>
            <w:pPr>
              <w:pStyle w:val="Compact"/>
            </w:pPr>
            <w:r>
              <w:t xml:space="preserve">6.105</w:t>
            </w:r>
          </w:p>
        </w:tc>
        <w:tc>
          <w:tcPr/>
          <w:p>
            <w:pPr>
              <w:pStyle w:val="Compact"/>
            </w:pPr>
            <w:r>
              <w:t xml:space="preserve">0.851</w:t>
            </w:r>
          </w:p>
        </w:tc>
        <w:tc>
          <w:tcPr/>
          <w:p>
            <w:pPr>
              <w:pStyle w:val="Compact"/>
            </w:pPr>
            <w:r>
              <w:t xml:space="preserve">+0.851</w:t>
            </w:r>
          </w:p>
        </w:tc>
      </w:tr>
      <w:tr>
        <w:tc>
          <w:tcPr/>
          <w:p>
            <w:pPr>
              <w:pStyle w:val="Compact"/>
            </w:pPr>
            <w:r>
              <w:t xml:space="preserve">Ohtaki et al.</w:t>
            </w:r>
            <w:r>
              <w:rPr>
                <w:vertAlign w:val="superscript"/>
              </w:rPr>
              <w:t xml:space="preserve">49</w:t>
            </w:r>
          </w:p>
        </w:tc>
        <w:tc>
          <w:tcPr/>
          <w:p>
            <w:pPr>
              <w:pStyle w:val="Compact"/>
            </w:pPr>
            <w:r>
              <w:t xml:space="preserve">cluster</w:t>
            </w:r>
          </w:p>
        </w:tc>
        <w:tc>
          <w:tcPr/>
          <w:p>
            <w:pPr>
              <w:pStyle w:val="Compact"/>
            </w:pPr>
            <w:r>
              <w:rPr>
                <w:i/>
                <w:iCs/>
              </w:rPr>
              <w:t xml:space="preserve">κ</w:t>
            </w:r>
          </w:p>
        </w:tc>
        <w:tc>
          <w:tcPr/>
          <w:p>
            <w:pPr>
              <w:pStyle w:val="Compact"/>
            </w:pPr>
            <w:r>
              <w:t xml:space="preserve">5</w:t>
            </w:r>
          </w:p>
        </w:tc>
        <w:tc>
          <w:tcPr/>
          <w:p>
            <w:pPr>
              <w:pStyle w:val="Compact"/>
            </w:pPr>
            <w:r>
              <w:t xml:space="preserve">1 (0.200)</w:t>
            </w:r>
          </w:p>
        </w:tc>
        <w:tc>
          <w:tcPr/>
          <w:p>
            <w:pPr>
              <w:pStyle w:val="Compact"/>
            </w:pPr>
            <w:r>
              <w:t xml:space="preserve">0.248</w:t>
            </w:r>
          </w:p>
        </w:tc>
        <w:tc>
          <w:tcPr/>
          <w:p>
            <w:pPr>
              <w:pStyle w:val="Compact"/>
            </w:pPr>
            <w:r>
              <w:t xml:space="preserve">0.124</w:t>
            </w:r>
          </w:p>
        </w:tc>
        <w:tc>
          <w:tcPr/>
          <w:p>
            <w:pPr>
              <w:pStyle w:val="Compact"/>
            </w:pPr>
            <w:r>
              <w:t xml:space="preserve">−0.124</w:t>
            </w:r>
          </w:p>
        </w:tc>
      </w:tr>
      <w:tr>
        <w:tc>
          <w:tcPr/>
          <w:p>
            <w:pPr>
              <w:pStyle w:val="Compact"/>
            </w:pPr>
            <w:r>
              <w:t xml:space="preserve">Ohtaki et al.</w:t>
            </w:r>
            <w:r>
              <w:rPr>
                <w:vertAlign w:val="superscript"/>
              </w:rPr>
              <w:t xml:space="preserve">49</w:t>
            </w:r>
          </w:p>
        </w:tc>
        <w:tc>
          <w:tcPr/>
          <w:p>
            <w:pPr>
              <w:pStyle w:val="Compact"/>
            </w:pPr>
            <w:r>
              <w:t xml:space="preserve">cluster</w:t>
            </w:r>
          </w:p>
        </w:tc>
        <w:tc>
          <w:tcPr/>
          <w:p>
            <w:pPr>
              <w:pStyle w:val="Compact"/>
            </w:pPr>
            <w:r>
              <w:t xml:space="preserve">zT</w:t>
            </w:r>
          </w:p>
        </w:tc>
        <w:tc>
          <w:tcPr/>
          <w:p>
            <w:pPr>
              <w:pStyle w:val="Compact"/>
            </w:pPr>
            <w:r>
              <w:t xml:space="preserve">5</w:t>
            </w:r>
          </w:p>
        </w:tc>
        <w:tc>
          <w:tcPr/>
          <w:p>
            <w:pPr>
              <w:pStyle w:val="Compact"/>
            </w:pPr>
            <w:r>
              <w:t xml:space="preserve">0 (0.000)</w:t>
            </w:r>
          </w:p>
        </w:tc>
        <w:tc>
          <w:tcPr/>
          <w:p>
            <w:pPr>
              <w:pStyle w:val="Compact"/>
            </w:pPr>
            <w:r>
              <w:t xml:space="preserve">0.917</w:t>
            </w:r>
          </w:p>
        </w:tc>
        <w:tc>
          <w:tcPr/>
          <w:p>
            <w:pPr>
              <w:pStyle w:val="Compact"/>
            </w:pPr>
            <w:r>
              <w:t xml:space="preserve">–</w:t>
            </w:r>
          </w:p>
        </w:tc>
        <w:tc>
          <w:tcPr/>
          <w:p>
            <w:pPr>
              <w:pStyle w:val="Compact"/>
            </w:pPr>
            <w:r>
              <w:t xml:space="preserve">–</w:t>
            </w:r>
          </w:p>
        </w:tc>
      </w:tr>
      <w:tr>
        <w:tc>
          <w:tcPr/>
          <w:p>
            <w:pPr>
              <w:pStyle w:val="Compact"/>
            </w:pPr>
            <w:r>
              <w:t xml:space="preserve">Sebastia-Luna et al.</w:t>
            </w:r>
            <w:r>
              <w:rPr>
                <w:vertAlign w:val="superscript"/>
              </w:rPr>
              <w:t xml:space="preserve">50</w:t>
            </w:r>
          </w:p>
        </w:tc>
        <w:tc>
          <w:tcPr/>
          <w:p>
            <w:pPr>
              <w:pStyle w:val="Compact"/>
            </w:pPr>
            <w:r>
              <w:t xml:space="preserve">cluster</w:t>
            </w:r>
          </w:p>
        </w:tc>
        <w:tc>
          <w:tcPr/>
          <w:p>
            <w:pPr>
              <w:pStyle w:val="Compact"/>
            </w:pPr>
            <w:r>
              <w:t xml:space="preserve">S</w:t>
            </w:r>
          </w:p>
        </w:tc>
        <w:tc>
          <w:tcPr/>
          <w:p>
            <w:pPr>
              <w:pStyle w:val="Compact"/>
            </w:pPr>
            <w:r>
              <w:t xml:space="preserve">3</w:t>
            </w:r>
          </w:p>
        </w:tc>
        <w:tc>
          <w:tcPr/>
          <w:p>
            <w:pPr>
              <w:pStyle w:val="Compact"/>
            </w:pPr>
            <w:r>
              <w:t xml:space="preserve">0 (0.000)</w:t>
            </w:r>
          </w:p>
        </w:tc>
        <w:tc>
          <w:tcPr/>
          <w:p>
            <w:pPr>
              <w:pStyle w:val="Compact"/>
            </w:pPr>
            <w:r>
              <w:t xml:space="preserve">0.504</w:t>
            </w:r>
          </w:p>
        </w:tc>
        <w:tc>
          <w:tcPr/>
          <w:p>
            <w:pPr>
              <w:pStyle w:val="Compact"/>
            </w:pPr>
            <w:r>
              <w:t xml:space="preserve">–</w:t>
            </w:r>
          </w:p>
        </w:tc>
        <w:tc>
          <w:tcPr/>
          <w:p>
            <w:pPr>
              <w:pStyle w:val="Compact"/>
            </w:pPr>
            <w:r>
              <w:t xml:space="preserve">–</w:t>
            </w:r>
          </w:p>
        </w:tc>
      </w:tr>
      <w:tr>
        <w:tc>
          <w:tcPr/>
          <w:p>
            <w:pPr>
              <w:pStyle w:val="Compact"/>
            </w:pPr>
            <w:r>
              <w:t xml:space="preserve">Sebastia-Luna et al.</w:t>
            </w:r>
            <w:r>
              <w:rPr>
                <w:vertAlign w:val="superscript"/>
              </w:rPr>
              <w:t xml:space="preserve">50</w:t>
            </w:r>
          </w:p>
        </w:tc>
        <w:tc>
          <w:tcPr/>
          <w:p>
            <w:pPr>
              <w:pStyle w:val="Compact"/>
            </w:pPr>
            <w:r>
              <w:t xml:space="preserve">cluster</w:t>
            </w:r>
          </w:p>
        </w:tc>
        <w:tc>
          <w:tcPr/>
          <w:p>
            <w:pPr>
              <w:pStyle w:val="Compact"/>
            </w:pPr>
            <w:r>
              <w:rPr>
                <w:i/>
                <w:iCs/>
              </w:rPr>
              <w:t xml:space="preserve">σ</w:t>
            </w:r>
          </w:p>
        </w:tc>
        <w:tc>
          <w:tcPr/>
          <w:p>
            <w:pPr>
              <w:pStyle w:val="Compact"/>
            </w:pPr>
            <w:r>
              <w:t xml:space="preserve">3</w:t>
            </w:r>
          </w:p>
        </w:tc>
        <w:tc>
          <w:tcPr/>
          <w:p>
            <w:pPr>
              <w:pStyle w:val="Compact"/>
            </w:pPr>
            <w:r>
              <w:t xml:space="preserve">0 (0.000)</w:t>
            </w:r>
          </w:p>
        </w:tc>
        <w:tc>
          <w:tcPr/>
          <w:p>
            <w:pPr>
              <w:pStyle w:val="Compact"/>
            </w:pPr>
            <w:r>
              <w:t xml:space="preserve">5.230</w:t>
            </w:r>
          </w:p>
        </w:tc>
        <w:tc>
          <w:tcPr/>
          <w:p>
            <w:pPr>
              <w:pStyle w:val="Compact"/>
            </w:pPr>
            <w:r>
              <w:t xml:space="preserve">0.793</w:t>
            </w:r>
          </w:p>
        </w:tc>
        <w:tc>
          <w:tcPr/>
          <w:p>
            <w:pPr>
              <w:pStyle w:val="Compact"/>
            </w:pPr>
            <w:r>
              <w:t xml:space="preserve">+0.793</w:t>
            </w:r>
          </w:p>
        </w:tc>
      </w:tr>
      <w:tr>
        <w:tc>
          <w:tcPr/>
          <w:p>
            <w:pPr>
              <w:pStyle w:val="Compact"/>
            </w:pPr>
            <w:r>
              <w:t xml:space="preserve">Sebastia-Luna et al.</w:t>
            </w:r>
            <w:r>
              <w:rPr>
                <w:vertAlign w:val="superscript"/>
              </w:rPr>
              <w:t xml:space="preserve">50</w:t>
            </w:r>
          </w:p>
        </w:tc>
        <w:tc>
          <w:tcPr/>
          <w:p>
            <w:pPr>
              <w:pStyle w:val="Compact"/>
            </w:pPr>
            <w:r>
              <w:t xml:space="preserve">cluster</w:t>
            </w:r>
          </w:p>
        </w:tc>
        <w:tc>
          <w:tcPr/>
          <w:p>
            <w:pPr>
              <w:pStyle w:val="Compact"/>
            </w:pPr>
            <w:r>
              <w:rPr>
                <w:i/>
                <w:iCs/>
              </w:rPr>
              <w:t xml:space="preserve">κ</w:t>
            </w:r>
          </w:p>
        </w:tc>
        <w:tc>
          <w:tcPr/>
          <w:p>
            <w:pPr>
              <w:pStyle w:val="Compact"/>
            </w:pPr>
            <w:r>
              <w:t xml:space="preserve">3</w:t>
            </w:r>
          </w:p>
        </w:tc>
        <w:tc>
          <w:tcPr/>
          <w:p>
            <w:pPr>
              <w:pStyle w:val="Compact"/>
            </w:pPr>
            <w:r>
              <w:t xml:space="preserve">0 (0.000)</w:t>
            </w:r>
          </w:p>
        </w:tc>
        <w:tc>
          <w:tcPr/>
          <w:p>
            <w:pPr>
              <w:pStyle w:val="Compact"/>
            </w:pPr>
            <w:r>
              <w:t xml:space="preserve">0.137</w:t>
            </w:r>
          </w:p>
        </w:tc>
        <w:tc>
          <w:tcPr/>
          <w:p>
            <w:pPr>
              <w:pStyle w:val="Compact"/>
            </w:pPr>
            <w:r>
              <w:t xml:space="preserve">0.054</w:t>
            </w:r>
          </w:p>
        </w:tc>
        <w:tc>
          <w:tcPr/>
          <w:p>
            <w:pPr>
              <w:pStyle w:val="Compact"/>
            </w:pPr>
            <w:r>
              <w:t xml:space="preserve">+0.054</w:t>
            </w:r>
          </w:p>
        </w:tc>
      </w:tr>
      <w:tr>
        <w:tc>
          <w:tcPr/>
          <w:p>
            <w:pPr>
              <w:pStyle w:val="Compact"/>
            </w:pPr>
            <w:r>
              <w:t xml:space="preserve">Sebastia-Luna et al.</w:t>
            </w:r>
            <w:r>
              <w:rPr>
                <w:vertAlign w:val="superscript"/>
              </w:rPr>
              <w:t xml:space="preserve">50</w:t>
            </w:r>
          </w:p>
        </w:tc>
        <w:tc>
          <w:tcPr/>
          <w:p>
            <w:pPr>
              <w:pStyle w:val="Compact"/>
            </w:pPr>
            <w:r>
              <w:t xml:space="preserve">cluster</w:t>
            </w:r>
          </w:p>
        </w:tc>
        <w:tc>
          <w:tcPr/>
          <w:p>
            <w:pPr>
              <w:pStyle w:val="Compact"/>
            </w:pPr>
            <w:r>
              <w:t xml:space="preserve">zT</w:t>
            </w:r>
          </w:p>
        </w:tc>
        <w:tc>
          <w:tcPr/>
          <w:p>
            <w:pPr>
              <w:pStyle w:val="Compact"/>
            </w:pPr>
            <w:r>
              <w:t xml:space="preserve">3</w:t>
            </w:r>
          </w:p>
        </w:tc>
        <w:tc>
          <w:tcPr/>
          <w:p>
            <w:pPr>
              <w:pStyle w:val="Compact"/>
            </w:pPr>
            <w:r>
              <w:t xml:space="preserve">0 (0.000)</w:t>
            </w:r>
          </w:p>
        </w:tc>
        <w:tc>
          <w:tcPr/>
          <w:p>
            <w:pPr>
              <w:pStyle w:val="Compact"/>
            </w:pPr>
            <w:r>
              <w:t xml:space="preserve">4.485</w:t>
            </w:r>
          </w:p>
        </w:tc>
        <w:tc>
          <w:tcPr/>
          <w:p>
            <w:pPr>
              <w:pStyle w:val="Compact"/>
            </w:pPr>
            <w:r>
              <w:t xml:space="preserve">–</w:t>
            </w:r>
          </w:p>
        </w:tc>
        <w:tc>
          <w:tcPr/>
          <w:p>
            <w:pPr>
              <w:pStyle w:val="Compact"/>
            </w:pPr>
            <w:r>
              <w:t xml:space="preserve">–</w:t>
            </w:r>
          </w:p>
        </w:tc>
      </w:tr>
      <w:tr>
        <w:tc>
          <w:tcPr/>
          <w:p>
            <w:pPr>
              <w:pStyle w:val="Compact"/>
            </w:pPr>
            <w:r>
              <w:t xml:space="preserve">Singh and Pandey</w:t>
            </w:r>
            <w:r>
              <w:rPr>
                <w:vertAlign w:val="superscript"/>
              </w:rPr>
              <w:t xml:space="preserve">51</w:t>
            </w:r>
          </w:p>
        </w:tc>
        <w:tc>
          <w:tcPr/>
          <w:p>
            <w:pPr>
              <w:pStyle w:val="Compact"/>
            </w:pPr>
            <w:r>
              <w:t xml:space="preserve">cluster</w:t>
            </w:r>
          </w:p>
        </w:tc>
        <w:tc>
          <w:tcPr/>
          <w:p>
            <w:pPr>
              <w:pStyle w:val="Compact"/>
            </w:pPr>
            <w:r>
              <w:t xml:space="preserve">S</w:t>
            </w:r>
          </w:p>
        </w:tc>
        <w:tc>
          <w:tcPr/>
          <w:p>
            <w:pPr>
              <w:pStyle w:val="Compact"/>
            </w:pPr>
            <w:r>
              <w:t xml:space="preserve">13</w:t>
            </w:r>
          </w:p>
        </w:tc>
        <w:tc>
          <w:tcPr/>
          <w:p>
            <w:pPr>
              <w:pStyle w:val="Compact"/>
            </w:pPr>
            <w:r>
              <w:t xml:space="preserve">0 (0.000)</w:t>
            </w:r>
          </w:p>
        </w:tc>
        <w:tc>
          <w:tcPr/>
          <w:p>
            <w:pPr>
              <w:pStyle w:val="Compact"/>
            </w:pPr>
            <w:r>
              <w:t xml:space="preserve">0.354</w:t>
            </w:r>
          </w:p>
        </w:tc>
        <w:tc>
          <w:tcPr/>
          <w:p>
            <w:pPr>
              <w:pStyle w:val="Compact"/>
            </w:pPr>
            <w:r>
              <w:t xml:space="preserve">–</w:t>
            </w:r>
          </w:p>
        </w:tc>
        <w:tc>
          <w:tcPr/>
          <w:p>
            <w:pPr>
              <w:pStyle w:val="Compact"/>
            </w:pPr>
            <w:r>
              <w:t xml:space="preserve">–</w:t>
            </w:r>
          </w:p>
        </w:tc>
      </w:tr>
    </w:tbl>
    <w:p>
      <w:pPr>
        <w:pStyle w:val="BodyText"/>
      </w:pPr>
      <w:r>
        <w:rPr>
          <w:i/>
          <w:iCs/>
        </w:rPr>
        <w:t xml:space="preserve">Overall, independent papers: papers weigh equally (the mean over papers of the fraction inside the band; the median over papers of each paper’s median).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Level</w:t>
            </w:r>
          </w:p>
        </w:tc>
        <w:tc>
          <w:tcPr/>
          <w:p>
            <w:pPr>
              <w:pStyle w:val="Compact"/>
            </w:pPr>
            <w:r>
              <w:rPr>
                <w:b/>
                <w:bCs/>
              </w:rPr>
              <w:t xml:space="preserve">Property</w:t>
            </w:r>
          </w:p>
        </w:tc>
        <w:tc>
          <w:tcPr/>
          <w:p>
            <w:pPr>
              <w:pStyle w:val="Compact"/>
            </w:pPr>
            <w:r>
              <w:rPr>
                <w:b/>
                <w:bCs/>
              </w:rPr>
              <w:t xml:space="preserve">Papers</w:t>
            </w:r>
          </w:p>
        </w:tc>
        <w:tc>
          <w:tcPr/>
          <w:p>
            <w:pPr>
              <w:pStyle w:val="Compact"/>
            </w:pPr>
            <w:r>
              <w:rPr>
                <w:b/>
                <w:bCs/>
              </w:rPr>
              <w:t xml:space="preserve">Mean fraction inside</w:t>
            </w:r>
          </w:p>
        </w:tc>
        <w:tc>
          <w:tcPr/>
          <w:p>
            <w:pPr>
              <w:pStyle w:val="Compact"/>
            </w:pPr>
            <w:r>
              <w:rPr>
                <w:b/>
                <w:bCs/>
              </w:rPr>
              <w:t xml:space="preserve">Median of median abs. rel. error</w:t>
            </w:r>
          </w:p>
        </w:tc>
        <w:tc>
          <w:tcPr/>
          <w:p>
            <w:pPr>
              <w:pStyle w:val="Compact"/>
            </w:pPr>
            <w:r>
              <w:rPr>
                <w:b/>
                <w:bCs/>
              </w:rPr>
              <w:t xml:space="preserve">Median of median abs. log</w:t>
            </w:r>
            <w:r>
              <w:rPr>
                <w:b/>
                <w:bCs/>
                <w:vertAlign w:val="subscript"/>
              </w:rPr>
              <w:t xml:space="preserve">10</w:t>
            </w:r>
            <w:r>
              <w:rPr>
                <w:b/>
                <w:bCs/>
              </w:rPr>
              <w:t xml:space="preserve"> </w:t>
            </w:r>
            <w:r>
              <w:rPr>
                <w:b/>
                <w:bCs/>
              </w:rPr>
              <w:t xml:space="preserve">ratio</w:t>
            </w:r>
          </w:p>
        </w:tc>
        <w:tc>
          <w:tcPr/>
          <w:p>
            <w:pPr>
              <w:pStyle w:val="Compact"/>
            </w:pPr>
            <w:r>
              <w:rPr>
                <w:b/>
                <w:bCs/>
              </w:rPr>
              <w:t xml:space="preserve">Median of signed median log</w:t>
            </w:r>
            <w:r>
              <w:rPr>
                <w:b/>
                <w:bCs/>
                <w:vertAlign w:val="subscript"/>
              </w:rPr>
              <w:t xml:space="preserve">10</w:t>
            </w:r>
            <w:r>
              <w:rPr>
                <w:b/>
                <w:bCs/>
              </w:rPr>
              <w:t xml:space="preserve"> </w:t>
            </w:r>
            <w:r>
              <w:rPr>
                <w:b/>
                <w:bCs/>
              </w:rPr>
              <w:t xml:space="preserve">ratio</w:t>
            </w:r>
          </w:p>
        </w:tc>
      </w:tr>
      <w:tr>
        <w:tc>
          <w:tcPr/>
          <w:p>
            <w:pPr>
              <w:pStyle w:val="Compact"/>
            </w:pPr>
            <w:r>
              <w:t xml:space="preserve">exact</w:t>
            </w:r>
          </w:p>
        </w:tc>
        <w:tc>
          <w:tcPr/>
          <w:p>
            <w:pPr>
              <w:pStyle w:val="Compact"/>
            </w:pPr>
            <w:r>
              <w:t xml:space="preserve">S</w:t>
            </w:r>
          </w:p>
        </w:tc>
        <w:tc>
          <w:tcPr/>
          <w:p>
            <w:pPr>
              <w:pStyle w:val="Compact"/>
            </w:pPr>
            <w:r>
              <w:t xml:space="preserve">3</w:t>
            </w:r>
          </w:p>
        </w:tc>
        <w:tc>
          <w:tcPr/>
          <w:p>
            <w:pPr>
              <w:pStyle w:val="Compact"/>
            </w:pPr>
            <w:r>
              <w:t xml:space="preserve">0.211</w:t>
            </w:r>
          </w:p>
        </w:tc>
        <w:tc>
          <w:tcPr/>
          <w:p>
            <w:pPr>
              <w:pStyle w:val="Compact"/>
            </w:pPr>
            <w:r>
              <w:t xml:space="preserve">0.145</w:t>
            </w:r>
          </w:p>
        </w:tc>
        <w:tc>
          <w:tcPr/>
          <w:p>
            <w:pPr>
              <w:pStyle w:val="Compact"/>
            </w:pPr>
            <w:r>
              <w:t xml:space="preserve">–</w:t>
            </w:r>
          </w:p>
        </w:tc>
        <w:tc>
          <w:tcPr/>
          <w:p>
            <w:pPr>
              <w:pStyle w:val="Compact"/>
            </w:pPr>
            <w:r>
              <w:t xml:space="preserve">–</w:t>
            </w:r>
          </w:p>
        </w:tc>
      </w:tr>
      <w:tr>
        <w:tc>
          <w:tcPr/>
          <w:p>
            <w:pPr>
              <w:pStyle w:val="Compact"/>
            </w:pPr>
            <w:r>
              <w:t xml:space="preserve">exact</w:t>
            </w:r>
          </w:p>
        </w:tc>
        <w:tc>
          <w:tcPr/>
          <w:p>
            <w:pPr>
              <w:pStyle w:val="Compact"/>
            </w:pPr>
            <w:r>
              <w:rPr>
                <w:i/>
                <w:iCs/>
              </w:rPr>
              <w:t xml:space="preserve">σ</w:t>
            </w:r>
          </w:p>
        </w:tc>
        <w:tc>
          <w:tcPr/>
          <w:p>
            <w:pPr>
              <w:pStyle w:val="Compact"/>
            </w:pPr>
            <w:r>
              <w:t xml:space="preserve">2</w:t>
            </w:r>
          </w:p>
        </w:tc>
        <w:tc>
          <w:tcPr/>
          <w:p>
            <w:pPr>
              <w:pStyle w:val="Compact"/>
            </w:pPr>
            <w:r>
              <w:t xml:space="preserve">0.000</w:t>
            </w:r>
          </w:p>
        </w:tc>
        <w:tc>
          <w:tcPr/>
          <w:p>
            <w:pPr>
              <w:pStyle w:val="Compact"/>
            </w:pPr>
            <w:r>
              <w:t xml:space="preserve">2.656</w:t>
            </w:r>
          </w:p>
        </w:tc>
        <w:tc>
          <w:tcPr/>
          <w:p>
            <w:pPr>
              <w:pStyle w:val="Compact"/>
            </w:pPr>
            <w:r>
              <w:t xml:space="preserve">0.487</w:t>
            </w:r>
          </w:p>
        </w:tc>
        <w:tc>
          <w:tcPr/>
          <w:p>
            <w:pPr>
              <w:pStyle w:val="Compact"/>
            </w:pPr>
            <w:r>
              <w:t xml:space="preserve">+0.291</w:t>
            </w:r>
          </w:p>
        </w:tc>
      </w:tr>
      <w:tr>
        <w:tc>
          <w:tcPr/>
          <w:p>
            <w:pPr>
              <w:pStyle w:val="Compact"/>
            </w:pPr>
            <w:r>
              <w:t xml:space="preserve">exact</w:t>
            </w:r>
          </w:p>
        </w:tc>
        <w:tc>
          <w:tcPr/>
          <w:p>
            <w:pPr>
              <w:pStyle w:val="Compact"/>
            </w:pPr>
            <w:r>
              <w:rPr>
                <w:i/>
                <w:iCs/>
              </w:rPr>
              <w:t xml:space="preserve">κ</w:t>
            </w:r>
          </w:p>
        </w:tc>
        <w:tc>
          <w:tcPr/>
          <w:p>
            <w:pPr>
              <w:pStyle w:val="Compact"/>
            </w:pPr>
            <w:r>
              <w:t xml:space="preserve">2</w:t>
            </w:r>
          </w:p>
        </w:tc>
        <w:tc>
          <w:tcPr/>
          <w:p>
            <w:pPr>
              <w:pStyle w:val="Compact"/>
            </w:pPr>
            <w:r>
              <w:t xml:space="preserve">0.000</w:t>
            </w:r>
          </w:p>
        </w:tc>
        <w:tc>
          <w:tcPr/>
          <w:p>
            <w:pPr>
              <w:pStyle w:val="Compact"/>
            </w:pPr>
            <w:r>
              <w:t xml:space="preserve">0.261</w:t>
            </w:r>
          </w:p>
        </w:tc>
        <w:tc>
          <w:tcPr/>
          <w:p>
            <w:pPr>
              <w:pStyle w:val="Compact"/>
            </w:pPr>
            <w:r>
              <w:t xml:space="preserve">0.128</w:t>
            </w:r>
          </w:p>
        </w:tc>
        <w:tc>
          <w:tcPr/>
          <w:p>
            <w:pPr>
              <w:pStyle w:val="Compact"/>
            </w:pPr>
            <w:r>
              <w:t xml:space="preserve">−0.067</w:t>
            </w:r>
          </w:p>
        </w:tc>
      </w:tr>
      <w:tr>
        <w:tc>
          <w:tcPr/>
          <w:p>
            <w:pPr>
              <w:pStyle w:val="Compact"/>
            </w:pPr>
            <w:r>
              <w:t xml:space="preserve">exact</w:t>
            </w:r>
          </w:p>
        </w:tc>
        <w:tc>
          <w:tcPr/>
          <w:p>
            <w:pPr>
              <w:pStyle w:val="Compact"/>
            </w:pPr>
            <w:r>
              <w:t xml:space="preserve">zT</w:t>
            </w:r>
          </w:p>
        </w:tc>
        <w:tc>
          <w:tcPr/>
          <w:p>
            <w:pPr>
              <w:pStyle w:val="Compact"/>
            </w:pPr>
            <w:r>
              <w:t xml:space="preserve">2</w:t>
            </w:r>
          </w:p>
        </w:tc>
        <w:tc>
          <w:tcPr/>
          <w:p>
            <w:pPr>
              <w:pStyle w:val="Compact"/>
            </w:pPr>
            <w:r>
              <w:t xml:space="preserve">0.000</w:t>
            </w:r>
          </w:p>
        </w:tc>
        <w:tc>
          <w:tcPr/>
          <w:p>
            <w:pPr>
              <w:pStyle w:val="Compact"/>
            </w:pPr>
            <w:r>
              <w:t xml:space="preserve">3.166</w:t>
            </w:r>
          </w:p>
        </w:tc>
        <w:tc>
          <w:tcPr/>
          <w:p>
            <w:pPr>
              <w:pStyle w:val="Compact"/>
            </w:pPr>
            <w:r>
              <w:t xml:space="preserve">–</w:t>
            </w:r>
          </w:p>
        </w:tc>
        <w:tc>
          <w:tcPr/>
          <w:p>
            <w:pPr>
              <w:pStyle w:val="Compact"/>
            </w:pPr>
            <w:r>
              <w:t xml:space="preserve">–</w:t>
            </w:r>
          </w:p>
        </w:tc>
      </w:tr>
      <w:tr>
        <w:tc>
          <w:tcPr/>
          <w:p>
            <w:pPr>
              <w:pStyle w:val="Compact"/>
            </w:pPr>
            <w:r>
              <w:t xml:space="preserve">cluster</w:t>
            </w:r>
          </w:p>
        </w:tc>
        <w:tc>
          <w:tcPr/>
          <w:p>
            <w:pPr>
              <w:pStyle w:val="Compact"/>
            </w:pPr>
            <w:r>
              <w:t xml:space="preserve">S</w:t>
            </w:r>
          </w:p>
        </w:tc>
        <w:tc>
          <w:tcPr/>
          <w:p>
            <w:pPr>
              <w:pStyle w:val="Compact"/>
            </w:pPr>
            <w:r>
              <w:t xml:space="preserve">3</w:t>
            </w:r>
          </w:p>
        </w:tc>
        <w:tc>
          <w:tcPr/>
          <w:p>
            <w:pPr>
              <w:pStyle w:val="Compact"/>
            </w:pPr>
            <w:r>
              <w:t xml:space="preserve">0.000</w:t>
            </w:r>
          </w:p>
        </w:tc>
        <w:tc>
          <w:tcPr/>
          <w:p>
            <w:pPr>
              <w:pStyle w:val="Compact"/>
            </w:pPr>
            <w:r>
              <w:t xml:space="preserve">0.504</w:t>
            </w:r>
          </w:p>
        </w:tc>
        <w:tc>
          <w:tcPr/>
          <w:p>
            <w:pPr>
              <w:pStyle w:val="Compact"/>
            </w:pPr>
            <w:r>
              <w:t xml:space="preserve">–</w:t>
            </w:r>
          </w:p>
        </w:tc>
        <w:tc>
          <w:tcPr/>
          <w:p>
            <w:pPr>
              <w:pStyle w:val="Compact"/>
            </w:pPr>
            <w:r>
              <w:t xml:space="preserve">–</w:t>
            </w:r>
          </w:p>
        </w:tc>
      </w:tr>
      <w:tr>
        <w:tc>
          <w:tcPr/>
          <w:p>
            <w:pPr>
              <w:pStyle w:val="Compact"/>
            </w:pPr>
            <w:r>
              <w:t xml:space="preserve">cluster</w:t>
            </w:r>
          </w:p>
        </w:tc>
        <w:tc>
          <w:tcPr/>
          <w:p>
            <w:pPr>
              <w:pStyle w:val="Compact"/>
            </w:pPr>
            <w:r>
              <w:rPr>
                <w:i/>
                <w:iCs/>
              </w:rPr>
              <w:t xml:space="preserve">σ</w:t>
            </w:r>
          </w:p>
        </w:tc>
        <w:tc>
          <w:tcPr/>
          <w:p>
            <w:pPr>
              <w:pStyle w:val="Compact"/>
            </w:pPr>
            <w:r>
              <w:t xml:space="preserve">2</w:t>
            </w:r>
          </w:p>
        </w:tc>
        <w:tc>
          <w:tcPr/>
          <w:p>
            <w:pPr>
              <w:pStyle w:val="Compact"/>
            </w:pPr>
            <w:r>
              <w:t xml:space="preserve">0.053</w:t>
            </w:r>
          </w:p>
        </w:tc>
        <w:tc>
          <w:tcPr/>
          <w:p>
            <w:pPr>
              <w:pStyle w:val="Compact"/>
            </w:pPr>
            <w:r>
              <w:t xml:space="preserve">5.668</w:t>
            </w:r>
          </w:p>
        </w:tc>
        <w:tc>
          <w:tcPr/>
          <w:p>
            <w:pPr>
              <w:pStyle w:val="Compact"/>
            </w:pPr>
            <w:r>
              <w:t xml:space="preserve">0.822</w:t>
            </w:r>
          </w:p>
        </w:tc>
        <w:tc>
          <w:tcPr/>
          <w:p>
            <w:pPr>
              <w:pStyle w:val="Compact"/>
            </w:pPr>
            <w:r>
              <w:t xml:space="preserve">+0.822</w:t>
            </w:r>
          </w:p>
        </w:tc>
      </w:tr>
      <w:tr>
        <w:tc>
          <w:tcPr/>
          <w:p>
            <w:pPr>
              <w:pStyle w:val="Compact"/>
            </w:pPr>
            <w:r>
              <w:t xml:space="preserve">cluster</w:t>
            </w:r>
          </w:p>
        </w:tc>
        <w:tc>
          <w:tcPr/>
          <w:p>
            <w:pPr>
              <w:pStyle w:val="Compact"/>
            </w:pPr>
            <w:r>
              <w:rPr>
                <w:i/>
                <w:iCs/>
              </w:rPr>
              <w:t xml:space="preserve">κ</w:t>
            </w:r>
          </w:p>
        </w:tc>
        <w:tc>
          <w:tcPr/>
          <w:p>
            <w:pPr>
              <w:pStyle w:val="Compact"/>
            </w:pPr>
            <w:r>
              <w:t xml:space="preserve">2</w:t>
            </w:r>
          </w:p>
        </w:tc>
        <w:tc>
          <w:tcPr/>
          <w:p>
            <w:pPr>
              <w:pStyle w:val="Compact"/>
            </w:pPr>
            <w:r>
              <w:t xml:space="preserve">0.100</w:t>
            </w:r>
          </w:p>
        </w:tc>
        <w:tc>
          <w:tcPr/>
          <w:p>
            <w:pPr>
              <w:pStyle w:val="Compact"/>
            </w:pPr>
            <w:r>
              <w:t xml:space="preserve">0.193</w:t>
            </w:r>
          </w:p>
        </w:tc>
        <w:tc>
          <w:tcPr/>
          <w:p>
            <w:pPr>
              <w:pStyle w:val="Compact"/>
            </w:pPr>
            <w:r>
              <w:t xml:space="preserve">0.089</w:t>
            </w:r>
          </w:p>
        </w:tc>
        <w:tc>
          <w:tcPr/>
          <w:p>
            <w:pPr>
              <w:pStyle w:val="Compact"/>
            </w:pPr>
            <w:r>
              <w:t xml:space="preserve">−0.035</w:t>
            </w:r>
          </w:p>
        </w:tc>
      </w:tr>
      <w:tr>
        <w:tc>
          <w:tcPr/>
          <w:p>
            <w:pPr>
              <w:pStyle w:val="Compact"/>
            </w:pPr>
            <w:r>
              <w:t xml:space="preserve">cluster</w:t>
            </w:r>
          </w:p>
        </w:tc>
        <w:tc>
          <w:tcPr/>
          <w:p>
            <w:pPr>
              <w:pStyle w:val="Compact"/>
            </w:pPr>
            <w:r>
              <w:t xml:space="preserve">zT</w:t>
            </w:r>
          </w:p>
        </w:tc>
        <w:tc>
          <w:tcPr/>
          <w:p>
            <w:pPr>
              <w:pStyle w:val="Compact"/>
            </w:pPr>
            <w:r>
              <w:t xml:space="preserve">2</w:t>
            </w:r>
          </w:p>
        </w:tc>
        <w:tc>
          <w:tcPr/>
          <w:p>
            <w:pPr>
              <w:pStyle w:val="Compact"/>
            </w:pPr>
            <w:r>
              <w:t xml:space="preserve">0.000</w:t>
            </w:r>
          </w:p>
        </w:tc>
        <w:tc>
          <w:tcPr/>
          <w:p>
            <w:pPr>
              <w:pStyle w:val="Compact"/>
            </w:pPr>
            <w:r>
              <w:t xml:space="preserve">2.701</w:t>
            </w:r>
          </w:p>
        </w:tc>
        <w:tc>
          <w:tcPr/>
          <w:p>
            <w:pPr>
              <w:pStyle w:val="Compact"/>
            </w:pPr>
            <w:r>
              <w:t xml:space="preserve">–</w:t>
            </w:r>
          </w:p>
        </w:tc>
        <w:tc>
          <w:tcPr/>
          <w:p>
            <w:pPr>
              <w:pStyle w:val="Compact"/>
            </w:pPr>
            <w:r>
              <w:t xml:space="preserve">–</w:t>
            </w:r>
          </w:p>
        </w:tc>
      </w:tr>
    </w:tbl>
    <w:p>
      <w:pPr>
        <w:pStyle w:val="BodyText"/>
      </w:pPr>
      <w:r>
        <w:rPr>
          <w:i/>
          <w:iCs/>
        </w:rPr>
        <w:t xml:space="preserve">Part B: training-source papers (not pooled with part 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Paper</w:t>
            </w:r>
          </w:p>
        </w:tc>
        <w:tc>
          <w:tcPr/>
          <w:p>
            <w:pPr>
              <w:pStyle w:val="Compact"/>
            </w:pPr>
            <w:r>
              <w:rPr>
                <w:b/>
                <w:bCs/>
              </w:rPr>
              <w:t xml:space="preserve">Level</w:t>
            </w:r>
          </w:p>
        </w:tc>
        <w:tc>
          <w:tcPr/>
          <w:p>
            <w:pPr>
              <w:pStyle w:val="Compact"/>
            </w:pPr>
            <w:r>
              <w:rPr>
                <w:b/>
                <w:bCs/>
              </w:rPr>
              <w:t xml:space="preserve">Property</w:t>
            </w:r>
          </w:p>
        </w:tc>
        <w:tc>
          <w:tcPr/>
          <w:p>
            <w:pPr>
              <w:pStyle w:val="Compact"/>
            </w:pPr>
            <w:r>
              <w:rPr>
                <w:b/>
                <w:bCs/>
              </w:rPr>
              <w:t xml:space="preserve">n</w:t>
            </w:r>
          </w:p>
        </w:tc>
        <w:tc>
          <w:tcPr/>
          <w:p>
            <w:pPr>
              <w:pStyle w:val="Compact"/>
            </w:pPr>
            <w:r>
              <w:rPr>
                <w:b/>
                <w:bCs/>
              </w:rPr>
              <w:t xml:space="preserve">Inside (fraction)</w:t>
            </w:r>
          </w:p>
        </w:tc>
        <w:tc>
          <w:tcPr/>
          <w:p>
            <w:pPr>
              <w:pStyle w:val="Compact"/>
            </w:pPr>
            <w:r>
              <w:rPr>
                <w:b/>
                <w:bCs/>
              </w:rPr>
              <w:t xml:space="preserve">Median abs. rel. error</w:t>
            </w:r>
          </w:p>
        </w:tc>
        <w:tc>
          <w:tcPr/>
          <w:p>
            <w:pPr>
              <w:pStyle w:val="Compact"/>
            </w:pPr>
            <w:r>
              <w:rPr>
                <w:b/>
                <w:bCs/>
              </w:rPr>
              <w:t xml:space="preserve">Median abs. log</w:t>
            </w:r>
            <w:r>
              <w:rPr>
                <w:b/>
                <w:bCs/>
                <w:vertAlign w:val="subscript"/>
              </w:rPr>
              <w:t xml:space="preserve">10</w:t>
            </w:r>
            <w:r>
              <w:rPr>
                <w:b/>
                <w:bCs/>
              </w:rPr>
              <w:t xml:space="preserve"> </w:t>
            </w:r>
            <w:r>
              <w:rPr>
                <w:b/>
                <w:bCs/>
              </w:rPr>
              <w:t xml:space="preserve">ratio</w:t>
            </w:r>
          </w:p>
        </w:tc>
        <w:tc>
          <w:tcPr/>
          <w:p>
            <w:pPr>
              <w:pStyle w:val="Compact"/>
            </w:pPr>
            <w:r>
              <w:rPr>
                <w:b/>
                <w:bCs/>
              </w:rPr>
              <w:t xml:space="preserve">Signed median log</w:t>
            </w:r>
            <w:r>
              <w:rPr>
                <w:b/>
                <w:bCs/>
                <w:vertAlign w:val="subscript"/>
              </w:rPr>
              <w:t xml:space="preserve">10</w:t>
            </w:r>
            <w:r>
              <w:rPr>
                <w:b/>
                <w:bCs/>
              </w:rPr>
              <w:t xml:space="preserve"> </w:t>
            </w:r>
            <w:r>
              <w:rPr>
                <w:b/>
                <w:bCs/>
              </w:rPr>
              <w:t xml:space="preserve">ratio</w:t>
            </w:r>
          </w:p>
        </w:tc>
      </w:tr>
      <w:tr>
        <w:tc>
          <w:tcPr/>
          <w:p>
            <w:pPr>
              <w:pStyle w:val="Compact"/>
            </w:pPr>
            <w:r>
              <w:t xml:space="preserve">Flahaut et al.</w:t>
            </w:r>
            <w:r>
              <w:rPr>
                <w:vertAlign w:val="superscript"/>
              </w:rPr>
              <w:t xml:space="preserve">11</w:t>
            </w:r>
          </w:p>
        </w:tc>
        <w:tc>
          <w:tcPr/>
          <w:p>
            <w:pPr>
              <w:pStyle w:val="Compact"/>
            </w:pPr>
            <w:r>
              <w:t xml:space="preserve">exact</w:t>
            </w:r>
          </w:p>
        </w:tc>
        <w:tc>
          <w:tcPr/>
          <w:p>
            <w:pPr>
              <w:pStyle w:val="Compact"/>
            </w:pPr>
            <w:r>
              <w:rPr>
                <w:i/>
                <w:iCs/>
              </w:rPr>
              <w:t xml:space="preserve">σ</w:t>
            </w:r>
          </w:p>
        </w:tc>
        <w:tc>
          <w:tcPr/>
          <w:p>
            <w:pPr>
              <w:pStyle w:val="Compact"/>
            </w:pPr>
            <w:r>
              <w:t xml:space="preserve">4</w:t>
            </w:r>
          </w:p>
        </w:tc>
        <w:tc>
          <w:tcPr/>
          <w:p>
            <w:pPr>
              <w:pStyle w:val="Compact"/>
            </w:pPr>
            <w:r>
              <w:t xml:space="preserve">0 (0.000)</w:t>
            </w:r>
          </w:p>
        </w:tc>
        <w:tc>
          <w:tcPr/>
          <w:p>
            <w:pPr>
              <w:pStyle w:val="Compact"/>
            </w:pPr>
            <w:r>
              <w:t xml:space="preserve">0.550</w:t>
            </w:r>
          </w:p>
        </w:tc>
        <w:tc>
          <w:tcPr/>
          <w:p>
            <w:pPr>
              <w:pStyle w:val="Compact"/>
            </w:pPr>
            <w:r>
              <w:t xml:space="preserve">0.348</w:t>
            </w:r>
          </w:p>
        </w:tc>
        <w:tc>
          <w:tcPr/>
          <w:p>
            <w:pPr>
              <w:pStyle w:val="Compact"/>
            </w:pPr>
            <w:r>
              <w:t xml:space="preserve">−0.348</w:t>
            </w:r>
          </w:p>
        </w:tc>
      </w:tr>
      <w:tr>
        <w:tc>
          <w:tcPr/>
          <w:p>
            <w:pPr>
              <w:pStyle w:val="Compact"/>
            </w:pPr>
            <w:r>
              <w:t xml:space="preserve">Shibasaki et al.</w:t>
            </w:r>
            <w:r>
              <w:rPr>
                <w:vertAlign w:val="superscript"/>
              </w:rPr>
              <w:t xml:space="preserve">52</w:t>
            </w:r>
          </w:p>
        </w:tc>
        <w:tc>
          <w:tcPr/>
          <w:p>
            <w:pPr>
              <w:pStyle w:val="Compact"/>
            </w:pPr>
            <w:r>
              <w:t xml:space="preserve">exact</w:t>
            </w:r>
          </w:p>
        </w:tc>
        <w:tc>
          <w:tcPr/>
          <w:p>
            <w:pPr>
              <w:pStyle w:val="Compact"/>
            </w:pPr>
            <w:r>
              <w:t xml:space="preserve">S</w:t>
            </w:r>
          </w:p>
        </w:tc>
        <w:tc>
          <w:tcPr/>
          <w:p>
            <w:pPr>
              <w:pStyle w:val="Compact"/>
            </w:pPr>
            <w:r>
              <w:t xml:space="preserve">1</w:t>
            </w:r>
          </w:p>
        </w:tc>
        <w:tc>
          <w:tcPr/>
          <w:p>
            <w:pPr>
              <w:pStyle w:val="Compact"/>
            </w:pPr>
            <w:r>
              <w:t xml:space="preserve">0 (0.000)</w:t>
            </w:r>
          </w:p>
        </w:tc>
        <w:tc>
          <w:tcPr/>
          <w:p>
            <w:pPr>
              <w:pStyle w:val="Compact"/>
            </w:pPr>
            <w:r>
              <w:t xml:space="preserve">0.601</w:t>
            </w:r>
          </w:p>
        </w:tc>
        <w:tc>
          <w:tcPr/>
          <w:p>
            <w:pPr>
              <w:pStyle w:val="Compact"/>
            </w:pPr>
            <w:r>
              <w:t xml:space="preserve">–</w:t>
            </w:r>
          </w:p>
        </w:tc>
        <w:tc>
          <w:tcPr/>
          <w:p>
            <w:pPr>
              <w:pStyle w:val="Compact"/>
            </w:pPr>
            <w:r>
              <w:t xml:space="preserve">–</w:t>
            </w:r>
          </w:p>
        </w:tc>
      </w:tr>
      <w:tr>
        <w:tc>
          <w:tcPr/>
          <w:p>
            <w:pPr>
              <w:pStyle w:val="Compact"/>
            </w:pPr>
            <w:r>
              <w:t xml:space="preserve">Flahaut et al.</w:t>
            </w:r>
            <w:r>
              <w:rPr>
                <w:vertAlign w:val="superscript"/>
              </w:rPr>
              <w:t xml:space="preserve">11</w:t>
            </w:r>
          </w:p>
        </w:tc>
        <w:tc>
          <w:tcPr/>
          <w:p>
            <w:pPr>
              <w:pStyle w:val="Compact"/>
            </w:pPr>
            <w:r>
              <w:t xml:space="preserve">cluster</w:t>
            </w:r>
          </w:p>
        </w:tc>
        <w:tc>
          <w:tcPr/>
          <w:p>
            <w:pPr>
              <w:pStyle w:val="Compact"/>
            </w:pPr>
            <w:r>
              <w:t xml:space="preserve">S</w:t>
            </w:r>
          </w:p>
        </w:tc>
        <w:tc>
          <w:tcPr/>
          <w:p>
            <w:pPr>
              <w:pStyle w:val="Compact"/>
            </w:pPr>
            <w:r>
              <w:t xml:space="preserve">6</w:t>
            </w:r>
          </w:p>
        </w:tc>
        <w:tc>
          <w:tcPr/>
          <w:p>
            <w:pPr>
              <w:pStyle w:val="Compact"/>
            </w:pPr>
            <w:r>
              <w:t xml:space="preserve">0 (0.000)</w:t>
            </w:r>
          </w:p>
        </w:tc>
        <w:tc>
          <w:tcPr/>
          <w:p>
            <w:pPr>
              <w:pStyle w:val="Compact"/>
            </w:pPr>
            <w:r>
              <w:t xml:space="preserve">0.846</w:t>
            </w:r>
          </w:p>
        </w:tc>
        <w:tc>
          <w:tcPr/>
          <w:p>
            <w:pPr>
              <w:pStyle w:val="Compact"/>
            </w:pPr>
            <w:r>
              <w:t xml:space="preserve">–</w:t>
            </w:r>
          </w:p>
        </w:tc>
        <w:tc>
          <w:tcPr/>
          <w:p>
            <w:pPr>
              <w:pStyle w:val="Compact"/>
            </w:pPr>
            <w:r>
              <w:t xml:space="preserve">–</w:t>
            </w:r>
          </w:p>
        </w:tc>
      </w:tr>
      <w:tr>
        <w:tc>
          <w:tcPr/>
          <w:p>
            <w:pPr>
              <w:pStyle w:val="Compact"/>
            </w:pPr>
            <w:r>
              <w:t xml:space="preserve">Flahaut et al.</w:t>
            </w:r>
            <w:r>
              <w:rPr>
                <w:vertAlign w:val="superscript"/>
              </w:rPr>
              <w:t xml:space="preserve">11</w:t>
            </w:r>
          </w:p>
        </w:tc>
        <w:tc>
          <w:tcPr/>
          <w:p>
            <w:pPr>
              <w:pStyle w:val="Compact"/>
            </w:pPr>
            <w:r>
              <w:t xml:space="preserve">cluster</w:t>
            </w:r>
          </w:p>
        </w:tc>
        <w:tc>
          <w:tcPr/>
          <w:p>
            <w:pPr>
              <w:pStyle w:val="Compact"/>
            </w:pPr>
            <w:r>
              <w:rPr>
                <w:i/>
                <w:iCs/>
              </w:rPr>
              <w:t xml:space="preserve">σ</w:t>
            </w:r>
          </w:p>
        </w:tc>
        <w:tc>
          <w:tcPr/>
          <w:p>
            <w:pPr>
              <w:pStyle w:val="Compact"/>
            </w:pPr>
            <w:r>
              <w:t xml:space="preserve">13</w:t>
            </w:r>
          </w:p>
        </w:tc>
        <w:tc>
          <w:tcPr/>
          <w:p>
            <w:pPr>
              <w:pStyle w:val="Compact"/>
            </w:pPr>
            <w:r>
              <w:t xml:space="preserve">1 (0.077)</w:t>
            </w:r>
          </w:p>
        </w:tc>
        <w:tc>
          <w:tcPr/>
          <w:p>
            <w:pPr>
              <w:pStyle w:val="Compact"/>
            </w:pPr>
            <w:r>
              <w:t xml:space="preserve">0.331</w:t>
            </w:r>
          </w:p>
        </w:tc>
        <w:tc>
          <w:tcPr/>
          <w:p>
            <w:pPr>
              <w:pStyle w:val="Compact"/>
            </w:pPr>
            <w:r>
              <w:t xml:space="preserve">0.175</w:t>
            </w:r>
          </w:p>
        </w:tc>
        <w:tc>
          <w:tcPr/>
          <w:p>
            <w:pPr>
              <w:pStyle w:val="Compact"/>
            </w:pPr>
            <w:r>
              <w:t xml:space="preserve">−0.175</w:t>
            </w:r>
          </w:p>
        </w:tc>
      </w:tr>
      <w:tr>
        <w:tc>
          <w:tcPr/>
          <w:p>
            <w:pPr>
              <w:pStyle w:val="Compact"/>
            </w:pPr>
            <w:r>
              <w:t xml:space="preserve">Flahaut et al.</w:t>
            </w:r>
            <w:r>
              <w:rPr>
                <w:vertAlign w:val="superscript"/>
              </w:rPr>
              <w:t xml:space="preserve">11</w:t>
            </w:r>
          </w:p>
        </w:tc>
        <w:tc>
          <w:tcPr/>
          <w:p>
            <w:pPr>
              <w:pStyle w:val="Compact"/>
            </w:pPr>
            <w:r>
              <w:t xml:space="preserve">cluster</w:t>
            </w:r>
          </w:p>
        </w:tc>
        <w:tc>
          <w:tcPr/>
          <w:p>
            <w:pPr>
              <w:pStyle w:val="Compact"/>
            </w:pPr>
            <w:r>
              <w:rPr>
                <w:i/>
                <w:iCs/>
              </w:rPr>
              <w:t xml:space="preserve">κ</w:t>
            </w:r>
          </w:p>
        </w:tc>
        <w:tc>
          <w:tcPr/>
          <w:p>
            <w:pPr>
              <w:pStyle w:val="Compact"/>
            </w:pPr>
            <w:r>
              <w:t xml:space="preserve">15</w:t>
            </w:r>
          </w:p>
        </w:tc>
        <w:tc>
          <w:tcPr/>
          <w:p>
            <w:pPr>
              <w:pStyle w:val="Compact"/>
            </w:pPr>
            <w:r>
              <w:t xml:space="preserve">2 (0.133)</w:t>
            </w:r>
          </w:p>
        </w:tc>
        <w:tc>
          <w:tcPr/>
          <w:p>
            <w:pPr>
              <w:pStyle w:val="Compact"/>
            </w:pPr>
            <w:r>
              <w:t xml:space="preserve">0.271</w:t>
            </w:r>
          </w:p>
        </w:tc>
        <w:tc>
          <w:tcPr/>
          <w:p>
            <w:pPr>
              <w:pStyle w:val="Compact"/>
            </w:pPr>
            <w:r>
              <w:t xml:space="preserve">0.104</w:t>
            </w:r>
          </w:p>
        </w:tc>
        <w:tc>
          <w:tcPr/>
          <w:p>
            <w:pPr>
              <w:pStyle w:val="Compact"/>
            </w:pPr>
            <w:r>
              <w:t xml:space="preserve">+0.104</w:t>
            </w:r>
          </w:p>
        </w:tc>
      </w:tr>
      <w:tr>
        <w:tc>
          <w:tcPr/>
          <w:p>
            <w:pPr>
              <w:pStyle w:val="Compact"/>
            </w:pPr>
            <w:r>
              <w:t xml:space="preserve">Flahaut et al.</w:t>
            </w:r>
            <w:r>
              <w:rPr>
                <w:vertAlign w:val="superscript"/>
              </w:rPr>
              <w:t xml:space="preserve">11</w:t>
            </w:r>
          </w:p>
        </w:tc>
        <w:tc>
          <w:tcPr/>
          <w:p>
            <w:pPr>
              <w:pStyle w:val="Compact"/>
            </w:pPr>
            <w:r>
              <w:t xml:space="preserve">cluster</w:t>
            </w:r>
          </w:p>
        </w:tc>
        <w:tc>
          <w:tcPr/>
          <w:p>
            <w:pPr>
              <w:pStyle w:val="Compact"/>
            </w:pPr>
            <w:r>
              <w:t xml:space="preserve">zT</w:t>
            </w:r>
          </w:p>
        </w:tc>
        <w:tc>
          <w:tcPr/>
          <w:p>
            <w:pPr>
              <w:pStyle w:val="Compact"/>
            </w:pPr>
            <w:r>
              <w:t xml:space="preserve">12</w:t>
            </w:r>
          </w:p>
        </w:tc>
        <w:tc>
          <w:tcPr/>
          <w:p>
            <w:pPr>
              <w:pStyle w:val="Compact"/>
            </w:pPr>
            <w:r>
              <w:t xml:space="preserve">4 (0.333)</w:t>
            </w:r>
          </w:p>
        </w:tc>
        <w:tc>
          <w:tcPr/>
          <w:p>
            <w:pPr>
              <w:pStyle w:val="Compact"/>
            </w:pPr>
            <w:r>
              <w:t xml:space="preserve">0.629</w:t>
            </w:r>
          </w:p>
        </w:tc>
        <w:tc>
          <w:tcPr/>
          <w:p>
            <w:pPr>
              <w:pStyle w:val="Compact"/>
            </w:pPr>
            <w:r>
              <w:t xml:space="preserve">–</w:t>
            </w:r>
          </w:p>
        </w:tc>
        <w:tc>
          <w:tcPr/>
          <w:p>
            <w:pPr>
              <w:pStyle w:val="Compact"/>
            </w:pPr>
            <w:r>
              <w:t xml:space="preserve">–</w:t>
            </w:r>
          </w:p>
        </w:tc>
      </w:tr>
      <w:tr>
        <w:tc>
          <w:tcPr/>
          <w:p>
            <w:pPr>
              <w:pStyle w:val="Compact"/>
            </w:pPr>
            <w:r>
              <w:t xml:space="preserve">Ohta et al.</w:t>
            </w:r>
            <w:r>
              <w:rPr>
                <w:vertAlign w:val="superscript"/>
              </w:rPr>
              <w:t xml:space="preserve">10</w:t>
            </w:r>
          </w:p>
        </w:tc>
        <w:tc>
          <w:tcPr/>
          <w:p>
            <w:pPr>
              <w:pStyle w:val="Compact"/>
            </w:pPr>
            <w:r>
              <w:t xml:space="preserve">cluster</w:t>
            </w:r>
          </w:p>
        </w:tc>
        <w:tc>
          <w:tcPr/>
          <w:p>
            <w:pPr>
              <w:pStyle w:val="Compact"/>
            </w:pPr>
            <w:r>
              <w:t xml:space="preserve">S</w:t>
            </w:r>
          </w:p>
        </w:tc>
        <w:tc>
          <w:tcPr/>
          <w:p>
            <w:pPr>
              <w:pStyle w:val="Compact"/>
            </w:pPr>
            <w:r>
              <w:t xml:space="preserve">35</w:t>
            </w:r>
          </w:p>
        </w:tc>
        <w:tc>
          <w:tcPr/>
          <w:p>
            <w:pPr>
              <w:pStyle w:val="Compact"/>
            </w:pPr>
            <w:r>
              <w:t xml:space="preserve">0 (0.000)</w:t>
            </w:r>
          </w:p>
        </w:tc>
        <w:tc>
          <w:tcPr/>
          <w:p>
            <w:pPr>
              <w:pStyle w:val="Compact"/>
            </w:pPr>
            <w:r>
              <w:t xml:space="preserve">0.544</w:t>
            </w:r>
          </w:p>
        </w:tc>
        <w:tc>
          <w:tcPr/>
          <w:p>
            <w:pPr>
              <w:pStyle w:val="Compact"/>
            </w:pPr>
            <w:r>
              <w:t xml:space="preserve">–</w:t>
            </w:r>
          </w:p>
        </w:tc>
        <w:tc>
          <w:tcPr/>
          <w:p>
            <w:pPr>
              <w:pStyle w:val="Compact"/>
            </w:pPr>
            <w:r>
              <w:t xml:space="preserve">–</w:t>
            </w:r>
          </w:p>
        </w:tc>
      </w:tr>
      <w:tr>
        <w:tc>
          <w:tcPr/>
          <w:p>
            <w:pPr>
              <w:pStyle w:val="Compact"/>
            </w:pPr>
            <w:r>
              <w:t xml:space="preserve">Ohta et al.</w:t>
            </w:r>
            <w:r>
              <w:rPr>
                <w:vertAlign w:val="superscript"/>
              </w:rPr>
              <w:t xml:space="preserve">10</w:t>
            </w:r>
          </w:p>
        </w:tc>
        <w:tc>
          <w:tcPr/>
          <w:p>
            <w:pPr>
              <w:pStyle w:val="Compact"/>
            </w:pPr>
            <w:r>
              <w:t xml:space="preserve">cluster</w:t>
            </w:r>
          </w:p>
        </w:tc>
        <w:tc>
          <w:tcPr/>
          <w:p>
            <w:pPr>
              <w:pStyle w:val="Compact"/>
            </w:pPr>
            <w:r>
              <w:rPr>
                <w:i/>
                <w:iCs/>
              </w:rPr>
              <w:t xml:space="preserve">σ</w:t>
            </w:r>
          </w:p>
        </w:tc>
        <w:tc>
          <w:tcPr/>
          <w:p>
            <w:pPr>
              <w:pStyle w:val="Compact"/>
            </w:pPr>
            <w:r>
              <w:t xml:space="preserve">34</w:t>
            </w:r>
          </w:p>
        </w:tc>
        <w:tc>
          <w:tcPr/>
          <w:p>
            <w:pPr>
              <w:pStyle w:val="Compact"/>
            </w:pPr>
            <w:r>
              <w:t xml:space="preserve">0 (0.000)</w:t>
            </w:r>
          </w:p>
        </w:tc>
        <w:tc>
          <w:tcPr/>
          <w:p>
            <w:pPr>
              <w:pStyle w:val="Compact"/>
            </w:pPr>
            <w:r>
              <w:t xml:space="preserve">0.874</w:t>
            </w:r>
          </w:p>
        </w:tc>
        <w:tc>
          <w:tcPr/>
          <w:p>
            <w:pPr>
              <w:pStyle w:val="Compact"/>
            </w:pPr>
            <w:r>
              <w:t xml:space="preserve">0.388</w:t>
            </w:r>
          </w:p>
        </w:tc>
        <w:tc>
          <w:tcPr/>
          <w:p>
            <w:pPr>
              <w:pStyle w:val="Compact"/>
            </w:pPr>
            <w:r>
              <w:t xml:space="preserve">+0.269</w:t>
            </w:r>
          </w:p>
        </w:tc>
      </w:tr>
      <w:tr>
        <w:tc>
          <w:tcPr/>
          <w:p>
            <w:pPr>
              <w:pStyle w:val="Compact"/>
            </w:pPr>
            <w:r>
              <w:t xml:space="preserve">Ohta et al.</w:t>
            </w:r>
            <w:r>
              <w:rPr>
                <w:vertAlign w:val="superscript"/>
              </w:rPr>
              <w:t xml:space="preserve">10</w:t>
            </w:r>
          </w:p>
        </w:tc>
        <w:tc>
          <w:tcPr/>
          <w:p>
            <w:pPr>
              <w:pStyle w:val="Compact"/>
            </w:pPr>
            <w:r>
              <w:t xml:space="preserve">cluster</w:t>
            </w:r>
          </w:p>
        </w:tc>
        <w:tc>
          <w:tcPr/>
          <w:p>
            <w:pPr>
              <w:pStyle w:val="Compact"/>
            </w:pPr>
            <w:r>
              <w:rPr>
                <w:i/>
                <w:iCs/>
              </w:rPr>
              <w:t xml:space="preserve">κ</w:t>
            </w:r>
          </w:p>
        </w:tc>
        <w:tc>
          <w:tcPr/>
          <w:p>
            <w:pPr>
              <w:pStyle w:val="Compact"/>
            </w:pPr>
            <w:r>
              <w:t xml:space="preserve">16</w:t>
            </w:r>
          </w:p>
        </w:tc>
        <w:tc>
          <w:tcPr/>
          <w:p>
            <w:pPr>
              <w:pStyle w:val="Compact"/>
            </w:pPr>
            <w:r>
              <w:t xml:space="preserve">10 (0.625)</w:t>
            </w:r>
          </w:p>
        </w:tc>
        <w:tc>
          <w:tcPr/>
          <w:p>
            <w:pPr>
              <w:pStyle w:val="Compact"/>
            </w:pPr>
            <w:r>
              <w:t xml:space="preserve">0.091</w:t>
            </w:r>
          </w:p>
        </w:tc>
        <w:tc>
          <w:tcPr/>
          <w:p>
            <w:pPr>
              <w:pStyle w:val="Compact"/>
            </w:pPr>
            <w:r>
              <w:t xml:space="preserve">0.039</w:t>
            </w:r>
          </w:p>
        </w:tc>
        <w:tc>
          <w:tcPr/>
          <w:p>
            <w:pPr>
              <w:pStyle w:val="Compact"/>
            </w:pPr>
            <w:r>
              <w:t xml:space="preserve">−0.020</w:t>
            </w:r>
          </w:p>
        </w:tc>
      </w:tr>
      <w:tr>
        <w:tc>
          <w:tcPr/>
          <w:p>
            <w:pPr>
              <w:pStyle w:val="Compact"/>
            </w:pPr>
            <w:r>
              <w:t xml:space="preserve">Ohta et al.</w:t>
            </w:r>
            <w:r>
              <w:rPr>
                <w:vertAlign w:val="superscript"/>
              </w:rPr>
              <w:t xml:space="preserve">10</w:t>
            </w:r>
          </w:p>
        </w:tc>
        <w:tc>
          <w:tcPr/>
          <w:p>
            <w:pPr>
              <w:pStyle w:val="Compact"/>
            </w:pPr>
            <w:r>
              <w:t xml:space="preserve">cluster</w:t>
            </w:r>
          </w:p>
        </w:tc>
        <w:tc>
          <w:tcPr/>
          <w:p>
            <w:pPr>
              <w:pStyle w:val="Compact"/>
            </w:pPr>
            <w:r>
              <w:t xml:space="preserve">zT</w:t>
            </w:r>
          </w:p>
        </w:tc>
        <w:tc>
          <w:tcPr/>
          <w:p>
            <w:pPr>
              <w:pStyle w:val="Compact"/>
            </w:pPr>
            <w:r>
              <w:t xml:space="preserve">19</w:t>
            </w:r>
          </w:p>
        </w:tc>
        <w:tc>
          <w:tcPr/>
          <w:p>
            <w:pPr>
              <w:pStyle w:val="Compact"/>
            </w:pPr>
            <w:r>
              <w:t xml:space="preserve">2 (0.105)</w:t>
            </w:r>
          </w:p>
        </w:tc>
        <w:tc>
          <w:tcPr/>
          <w:p>
            <w:pPr>
              <w:pStyle w:val="Compact"/>
            </w:pPr>
            <w:r>
              <w:t xml:space="preserve">0.473</w:t>
            </w:r>
          </w:p>
        </w:tc>
        <w:tc>
          <w:tcPr/>
          <w:p>
            <w:pPr>
              <w:pStyle w:val="Compact"/>
            </w:pPr>
            <w:r>
              <w:t xml:space="preserve">–</w:t>
            </w:r>
          </w:p>
        </w:tc>
        <w:tc>
          <w:tcPr/>
          <w:p>
            <w:pPr>
              <w:pStyle w:val="Compact"/>
            </w:pPr>
            <w:r>
              <w:t xml:space="preserve">–</w:t>
            </w:r>
          </w:p>
        </w:tc>
      </w:tr>
      <w:tr>
        <w:tc>
          <w:tcPr/>
          <w:p>
            <w:pPr>
              <w:pStyle w:val="Compact"/>
            </w:pPr>
            <w:r>
              <w:t xml:space="preserve">Rajasekaran et al.</w:t>
            </w:r>
            <w:r>
              <w:rPr>
                <w:vertAlign w:val="superscript"/>
              </w:rPr>
              <w:t xml:space="preserve">53</w:t>
            </w:r>
          </w:p>
        </w:tc>
        <w:tc>
          <w:tcPr/>
          <w:p>
            <w:pPr>
              <w:pStyle w:val="Compact"/>
            </w:pPr>
            <w:r>
              <w:t xml:space="preserve">cluster</w:t>
            </w:r>
          </w:p>
        </w:tc>
        <w:tc>
          <w:tcPr/>
          <w:p>
            <w:pPr>
              <w:pStyle w:val="Compact"/>
            </w:pPr>
            <w:r>
              <w:t xml:space="preserve">S</w:t>
            </w:r>
          </w:p>
        </w:tc>
        <w:tc>
          <w:tcPr/>
          <w:p>
            <w:pPr>
              <w:pStyle w:val="Compact"/>
            </w:pPr>
            <w:r>
              <w:t xml:space="preserve">5</w:t>
            </w:r>
          </w:p>
        </w:tc>
        <w:tc>
          <w:tcPr/>
          <w:p>
            <w:pPr>
              <w:pStyle w:val="Compact"/>
            </w:pPr>
            <w:r>
              <w:t xml:space="preserve">0 (0.000)</w:t>
            </w:r>
          </w:p>
        </w:tc>
        <w:tc>
          <w:tcPr/>
          <w:p>
            <w:pPr>
              <w:pStyle w:val="Compact"/>
            </w:pPr>
            <w:r>
              <w:t xml:space="preserve">0.433</w:t>
            </w:r>
          </w:p>
        </w:tc>
        <w:tc>
          <w:tcPr/>
          <w:p>
            <w:pPr>
              <w:pStyle w:val="Compact"/>
            </w:pPr>
            <w:r>
              <w:t xml:space="preserve">–</w:t>
            </w:r>
          </w:p>
        </w:tc>
        <w:tc>
          <w:tcPr/>
          <w:p>
            <w:pPr>
              <w:pStyle w:val="Compact"/>
            </w:pPr>
            <w:r>
              <w:t xml:space="preserve">–</w:t>
            </w:r>
          </w:p>
        </w:tc>
      </w:tr>
      <w:tr>
        <w:tc>
          <w:tcPr/>
          <w:p>
            <w:pPr>
              <w:pStyle w:val="Compact"/>
            </w:pPr>
            <w:r>
              <w:t xml:space="preserve">Rajasekaran et al.</w:t>
            </w:r>
            <w:r>
              <w:rPr>
                <w:vertAlign w:val="superscript"/>
              </w:rPr>
              <w:t xml:space="preserve">53</w:t>
            </w:r>
          </w:p>
        </w:tc>
        <w:tc>
          <w:tcPr/>
          <w:p>
            <w:pPr>
              <w:pStyle w:val="Compact"/>
            </w:pPr>
            <w:r>
              <w:t xml:space="preserve">cluster</w:t>
            </w:r>
          </w:p>
        </w:tc>
        <w:tc>
          <w:tcPr/>
          <w:p>
            <w:pPr>
              <w:pStyle w:val="Compact"/>
            </w:pPr>
            <w:r>
              <w:rPr>
                <w:i/>
                <w:iCs/>
              </w:rPr>
              <w:t xml:space="preserve">σ</w:t>
            </w:r>
          </w:p>
        </w:tc>
        <w:tc>
          <w:tcPr/>
          <w:p>
            <w:pPr>
              <w:pStyle w:val="Compact"/>
            </w:pPr>
            <w:r>
              <w:t xml:space="preserve">2</w:t>
            </w:r>
          </w:p>
        </w:tc>
        <w:tc>
          <w:tcPr/>
          <w:p>
            <w:pPr>
              <w:pStyle w:val="Compact"/>
            </w:pPr>
            <w:r>
              <w:t xml:space="preserve">0 (0.000)</w:t>
            </w:r>
          </w:p>
        </w:tc>
        <w:tc>
          <w:tcPr/>
          <w:p>
            <w:pPr>
              <w:pStyle w:val="Compact"/>
            </w:pPr>
            <w:r>
              <w:t xml:space="preserve">16.319</w:t>
            </w:r>
          </w:p>
        </w:tc>
        <w:tc>
          <w:tcPr/>
          <w:p>
            <w:pPr>
              <w:pStyle w:val="Compact"/>
            </w:pPr>
            <w:r>
              <w:t xml:space="preserve">1.173</w:t>
            </w:r>
          </w:p>
        </w:tc>
        <w:tc>
          <w:tcPr/>
          <w:p>
            <w:pPr>
              <w:pStyle w:val="Compact"/>
            </w:pPr>
            <w:r>
              <w:t xml:space="preserve">+1.173</w:t>
            </w:r>
          </w:p>
        </w:tc>
      </w:tr>
      <w:tr>
        <w:tc>
          <w:tcPr/>
          <w:p>
            <w:pPr>
              <w:pStyle w:val="Compact"/>
            </w:pPr>
            <w:r>
              <w:t xml:space="preserve">Shibasaki et al.</w:t>
            </w:r>
            <w:r>
              <w:rPr>
                <w:vertAlign w:val="superscript"/>
              </w:rPr>
              <w:t xml:space="preserve">52</w:t>
            </w:r>
          </w:p>
        </w:tc>
        <w:tc>
          <w:tcPr/>
          <w:p>
            <w:pPr>
              <w:pStyle w:val="Compact"/>
            </w:pPr>
            <w:r>
              <w:t xml:space="preserve">cluster</w:t>
            </w:r>
          </w:p>
        </w:tc>
        <w:tc>
          <w:tcPr/>
          <w:p>
            <w:pPr>
              <w:pStyle w:val="Compact"/>
            </w:pPr>
            <w:r>
              <w:t xml:space="preserve">S</w:t>
            </w:r>
          </w:p>
        </w:tc>
        <w:tc>
          <w:tcPr/>
          <w:p>
            <w:pPr>
              <w:pStyle w:val="Compact"/>
            </w:pPr>
            <w:r>
              <w:t xml:space="preserve">1</w:t>
            </w:r>
          </w:p>
        </w:tc>
        <w:tc>
          <w:tcPr/>
          <w:p>
            <w:pPr>
              <w:pStyle w:val="Compact"/>
            </w:pPr>
            <w:r>
              <w:t xml:space="preserve">0 (0.000)</w:t>
            </w:r>
          </w:p>
        </w:tc>
        <w:tc>
          <w:tcPr/>
          <w:p>
            <w:pPr>
              <w:pStyle w:val="Compact"/>
            </w:pPr>
            <w:r>
              <w:t xml:space="preserve">0.601</w:t>
            </w:r>
          </w:p>
        </w:tc>
        <w:tc>
          <w:tcPr/>
          <w:p>
            <w:pPr>
              <w:pStyle w:val="Compact"/>
            </w:pPr>
            <w:r>
              <w:t xml:space="preserve">–</w:t>
            </w:r>
          </w:p>
        </w:tc>
        <w:tc>
          <w:tcPr/>
          <w:p>
            <w:pPr>
              <w:pStyle w:val="Compact"/>
            </w:pPr>
            <w:r>
              <w:t xml:space="preserve">–</w:t>
            </w:r>
          </w:p>
        </w:tc>
      </w:tr>
    </w:tbl>
    <w:p>
      <w:pPr>
        <w:pStyle w:val="BodyText"/>
      </w:pPr>
      <w:r>
        <w:rPr>
          <w:b/>
          <w:bCs/>
        </w:rPr>
        <w:t xml:space="preserve">Supplementary Table S7:</w:t>
      </w:r>
      <w:r>
        <w:t xml:space="preserve"> </w:t>
      </w:r>
      <w:r>
        <w:t xml:space="preserve">Edge sensitivity: the overall summary of the independent papers (papers weigh equally) with every value that lies within twice the calibration uncertainty of a temperature-bin edge evaluated in its floor bin (headline) and in the neighbouring bin.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Level</w:t>
            </w:r>
          </w:p>
        </w:tc>
        <w:tc>
          <w:tcPr/>
          <w:p>
            <w:pPr>
              <w:pStyle w:val="Compact"/>
            </w:pPr>
            <w:r>
              <w:rPr>
                <w:b/>
                <w:bCs/>
              </w:rPr>
              <w:t xml:space="preserve">Property</w:t>
            </w:r>
          </w:p>
        </w:tc>
        <w:tc>
          <w:tcPr/>
          <w:p>
            <w:pPr>
              <w:pStyle w:val="Compact"/>
            </w:pPr>
            <w:r>
              <w:rPr>
                <w:b/>
                <w:bCs/>
              </w:rPr>
              <w:t xml:space="preserve">Fraction inside, headline</w:t>
            </w:r>
          </w:p>
        </w:tc>
        <w:tc>
          <w:tcPr/>
          <w:p>
            <w:pPr>
              <w:pStyle w:val="Compact"/>
            </w:pPr>
            <w:r>
              <w:rPr>
                <w:b/>
                <w:bCs/>
              </w:rPr>
              <w:t xml:space="preserve">Fraction inside, neighbouring bin</w:t>
            </w:r>
          </w:p>
        </w:tc>
        <w:tc>
          <w:tcPr/>
          <w:p>
            <w:pPr>
              <w:pStyle w:val="Compact"/>
            </w:pPr>
            <w:r>
              <w:rPr>
                <w:b/>
                <w:bCs/>
              </w:rPr>
              <w:t xml:space="preserve">Median abs. rel. error, headline</w:t>
            </w:r>
          </w:p>
        </w:tc>
        <w:tc>
          <w:tcPr/>
          <w:p>
            <w:pPr>
              <w:pStyle w:val="Compact"/>
            </w:pPr>
            <w:r>
              <w:rPr>
                <w:b/>
                <w:bCs/>
              </w:rPr>
              <w:t xml:space="preserve">Median abs. rel. error, neighbouring bin</w:t>
            </w:r>
          </w:p>
        </w:tc>
        <w:tc>
          <w:tcPr/>
          <w:p>
            <w:pPr>
              <w:pStyle w:val="Compact"/>
            </w:pPr>
            <w:r>
              <w:rPr>
                <w:b/>
                <w:bCs/>
              </w:rPr>
              <w:t xml:space="preserve">Median abs. log</w:t>
            </w:r>
            <w:r>
              <w:rPr>
                <w:b/>
                <w:bCs/>
                <w:vertAlign w:val="subscript"/>
              </w:rPr>
              <w:t xml:space="preserve">10</w:t>
            </w:r>
            <w:r>
              <w:rPr>
                <w:b/>
                <w:bCs/>
              </w:rPr>
              <w:t xml:space="preserve"> </w:t>
            </w:r>
            <w:r>
              <w:rPr>
                <w:b/>
                <w:bCs/>
              </w:rPr>
              <w:t xml:space="preserve">ratio, headline</w:t>
            </w:r>
          </w:p>
        </w:tc>
        <w:tc>
          <w:tcPr/>
          <w:p>
            <w:pPr>
              <w:pStyle w:val="Compact"/>
            </w:pPr>
            <w:r>
              <w:rPr>
                <w:b/>
                <w:bCs/>
              </w:rPr>
              <w:t xml:space="preserve">Median abs. log</w:t>
            </w:r>
            <w:r>
              <w:rPr>
                <w:b/>
                <w:bCs/>
                <w:vertAlign w:val="subscript"/>
              </w:rPr>
              <w:t xml:space="preserve">10</w:t>
            </w:r>
            <w:r>
              <w:rPr>
                <w:b/>
                <w:bCs/>
              </w:rPr>
              <w:t xml:space="preserve"> </w:t>
            </w:r>
            <w:r>
              <w:rPr>
                <w:b/>
                <w:bCs/>
              </w:rPr>
              <w:t xml:space="preserve">ratio, neighbouring bin</w:t>
            </w:r>
          </w:p>
        </w:tc>
      </w:tr>
      <w:tr>
        <w:tc>
          <w:tcPr/>
          <w:p>
            <w:pPr>
              <w:pStyle w:val="Compact"/>
            </w:pPr>
            <w:r>
              <w:t xml:space="preserve">exact</w:t>
            </w:r>
          </w:p>
        </w:tc>
        <w:tc>
          <w:tcPr/>
          <w:p>
            <w:pPr>
              <w:pStyle w:val="Compact"/>
            </w:pPr>
            <w:r>
              <w:t xml:space="preserve">S</w:t>
            </w:r>
          </w:p>
        </w:tc>
        <w:tc>
          <w:tcPr/>
          <w:p>
            <w:pPr>
              <w:pStyle w:val="Compact"/>
            </w:pPr>
            <w:r>
              <w:t xml:space="preserve">0.211</w:t>
            </w:r>
          </w:p>
        </w:tc>
        <w:tc>
          <w:tcPr/>
          <w:p>
            <w:pPr>
              <w:pStyle w:val="Compact"/>
            </w:pPr>
            <w:r>
              <w:t xml:space="preserve">0.111</w:t>
            </w:r>
          </w:p>
        </w:tc>
        <w:tc>
          <w:tcPr/>
          <w:p>
            <w:pPr>
              <w:pStyle w:val="Compact"/>
            </w:pPr>
            <w:r>
              <w:t xml:space="preserve">0.145</w:t>
            </w:r>
          </w:p>
        </w:tc>
        <w:tc>
          <w:tcPr/>
          <w:p>
            <w:pPr>
              <w:pStyle w:val="Compact"/>
            </w:pPr>
            <w:r>
              <w:t xml:space="preserve">0.313</w:t>
            </w:r>
          </w:p>
        </w:tc>
        <w:tc>
          <w:tcPr/>
          <w:p>
            <w:pPr>
              <w:pStyle w:val="Compact"/>
            </w:pPr>
            <w:r>
              <w:t xml:space="preserve">–</w:t>
            </w:r>
          </w:p>
        </w:tc>
        <w:tc>
          <w:tcPr/>
          <w:p>
            <w:pPr>
              <w:pStyle w:val="Compact"/>
            </w:pPr>
            <w:r>
              <w:t xml:space="preserve">–</w:t>
            </w:r>
          </w:p>
        </w:tc>
      </w:tr>
      <w:tr>
        <w:tc>
          <w:tcPr/>
          <w:p>
            <w:pPr>
              <w:pStyle w:val="Compact"/>
            </w:pPr>
            <w:r>
              <w:t xml:space="preserve">exact</w:t>
            </w:r>
          </w:p>
        </w:tc>
        <w:tc>
          <w:tcPr/>
          <w:p>
            <w:pPr>
              <w:pStyle w:val="Compact"/>
            </w:pPr>
            <w:r>
              <w:rPr>
                <w:i/>
                <w:iCs/>
              </w:rPr>
              <w:t xml:space="preserve">σ</w:t>
            </w:r>
          </w:p>
        </w:tc>
        <w:tc>
          <w:tcPr/>
          <w:p>
            <w:pPr>
              <w:pStyle w:val="Compact"/>
            </w:pPr>
            <w:r>
              <w:t xml:space="preserve">0.000</w:t>
            </w:r>
          </w:p>
        </w:tc>
        <w:tc>
          <w:tcPr/>
          <w:p>
            <w:pPr>
              <w:pStyle w:val="Compact"/>
            </w:pPr>
            <w:r>
              <w:t xml:space="preserve">0.000</w:t>
            </w:r>
          </w:p>
        </w:tc>
        <w:tc>
          <w:tcPr/>
          <w:p>
            <w:pPr>
              <w:pStyle w:val="Compact"/>
            </w:pPr>
            <w:r>
              <w:t xml:space="preserve">2.656</w:t>
            </w:r>
          </w:p>
        </w:tc>
        <w:tc>
          <w:tcPr/>
          <w:p>
            <w:pPr>
              <w:pStyle w:val="Compact"/>
            </w:pPr>
            <w:r>
              <w:t xml:space="preserve">2.659</w:t>
            </w:r>
          </w:p>
        </w:tc>
        <w:tc>
          <w:tcPr/>
          <w:p>
            <w:pPr>
              <w:pStyle w:val="Compact"/>
            </w:pPr>
            <w:r>
              <w:t xml:space="preserve">0.487</w:t>
            </w:r>
          </w:p>
        </w:tc>
        <w:tc>
          <w:tcPr/>
          <w:p>
            <w:pPr>
              <w:pStyle w:val="Compact"/>
            </w:pPr>
            <w:r>
              <w:t xml:space="preserve">0.488</w:t>
            </w:r>
          </w:p>
        </w:tc>
      </w:tr>
      <w:tr>
        <w:tc>
          <w:tcPr/>
          <w:p>
            <w:pPr>
              <w:pStyle w:val="Compact"/>
            </w:pPr>
            <w:r>
              <w:t xml:space="preserve">exact</w:t>
            </w:r>
          </w:p>
        </w:tc>
        <w:tc>
          <w:tcPr/>
          <w:p>
            <w:pPr>
              <w:pStyle w:val="Compact"/>
            </w:pPr>
            <w:r>
              <w:rPr>
                <w:i/>
                <w:iCs/>
              </w:rPr>
              <w:t xml:space="preserve">κ</w:t>
            </w:r>
          </w:p>
        </w:tc>
        <w:tc>
          <w:tcPr/>
          <w:p>
            <w:pPr>
              <w:pStyle w:val="Compact"/>
            </w:pPr>
            <w:r>
              <w:t xml:space="preserve">0.000</w:t>
            </w:r>
          </w:p>
        </w:tc>
        <w:tc>
          <w:tcPr/>
          <w:p>
            <w:pPr>
              <w:pStyle w:val="Compact"/>
            </w:pPr>
            <w:r>
              <w:t xml:space="preserve">0.000</w:t>
            </w:r>
          </w:p>
        </w:tc>
        <w:tc>
          <w:tcPr/>
          <w:p>
            <w:pPr>
              <w:pStyle w:val="Compact"/>
            </w:pPr>
            <w:r>
              <w:t xml:space="preserve">0.261</w:t>
            </w:r>
          </w:p>
        </w:tc>
        <w:tc>
          <w:tcPr/>
          <w:p>
            <w:pPr>
              <w:pStyle w:val="Compact"/>
            </w:pPr>
            <w:r>
              <w:t xml:space="preserve">0.265</w:t>
            </w:r>
          </w:p>
        </w:tc>
        <w:tc>
          <w:tcPr/>
          <w:p>
            <w:pPr>
              <w:pStyle w:val="Compact"/>
            </w:pPr>
            <w:r>
              <w:t xml:space="preserve">0.128</w:t>
            </w:r>
          </w:p>
        </w:tc>
        <w:tc>
          <w:tcPr/>
          <w:p>
            <w:pPr>
              <w:pStyle w:val="Compact"/>
            </w:pPr>
            <w:r>
              <w:t xml:space="preserve">0.131</w:t>
            </w:r>
          </w:p>
        </w:tc>
      </w:tr>
      <w:tr>
        <w:tc>
          <w:tcPr/>
          <w:p>
            <w:pPr>
              <w:pStyle w:val="Compact"/>
            </w:pPr>
            <w:r>
              <w:t xml:space="preserve">exact</w:t>
            </w:r>
          </w:p>
        </w:tc>
        <w:tc>
          <w:tcPr/>
          <w:p>
            <w:pPr>
              <w:pStyle w:val="Compact"/>
            </w:pPr>
            <w:r>
              <w:t xml:space="preserve">zT</w:t>
            </w:r>
          </w:p>
        </w:tc>
        <w:tc>
          <w:tcPr/>
          <w:p>
            <w:pPr>
              <w:pStyle w:val="Compact"/>
            </w:pPr>
            <w:r>
              <w:t xml:space="preserve">0.000</w:t>
            </w:r>
          </w:p>
        </w:tc>
        <w:tc>
          <w:tcPr/>
          <w:p>
            <w:pPr>
              <w:pStyle w:val="Compact"/>
            </w:pPr>
            <w:r>
              <w:t xml:space="preserve">0.000</w:t>
            </w:r>
          </w:p>
        </w:tc>
        <w:tc>
          <w:tcPr/>
          <w:p>
            <w:pPr>
              <w:pStyle w:val="Compact"/>
            </w:pPr>
            <w:r>
              <w:t xml:space="preserve">3.166</w:t>
            </w:r>
          </w:p>
        </w:tc>
        <w:tc>
          <w:tcPr/>
          <w:p>
            <w:pPr>
              <w:pStyle w:val="Compact"/>
            </w:pPr>
            <w:r>
              <w:t xml:space="preserve">3.098</w:t>
            </w:r>
          </w:p>
        </w:tc>
        <w:tc>
          <w:tcPr/>
          <w:p>
            <w:pPr>
              <w:pStyle w:val="Compact"/>
            </w:pPr>
            <w:r>
              <w:t xml:space="preserve">–</w:t>
            </w:r>
          </w:p>
        </w:tc>
        <w:tc>
          <w:tcPr/>
          <w:p>
            <w:pPr>
              <w:pStyle w:val="Compact"/>
            </w:pPr>
            <w:r>
              <w:t xml:space="preserve">–</w:t>
            </w:r>
          </w:p>
        </w:tc>
      </w:tr>
      <w:tr>
        <w:tc>
          <w:tcPr/>
          <w:p>
            <w:pPr>
              <w:pStyle w:val="Compact"/>
            </w:pPr>
            <w:r>
              <w:t xml:space="preserve">cluster</w:t>
            </w:r>
          </w:p>
        </w:tc>
        <w:tc>
          <w:tcPr/>
          <w:p>
            <w:pPr>
              <w:pStyle w:val="Compact"/>
            </w:pPr>
            <w:r>
              <w:t xml:space="preserve">S</w:t>
            </w:r>
          </w:p>
        </w:tc>
        <w:tc>
          <w:tcPr/>
          <w:p>
            <w:pPr>
              <w:pStyle w:val="Compact"/>
            </w:pPr>
            <w:r>
              <w:t xml:space="preserve">0.000</w:t>
            </w:r>
          </w:p>
        </w:tc>
        <w:tc>
          <w:tcPr/>
          <w:p>
            <w:pPr>
              <w:pStyle w:val="Compact"/>
            </w:pPr>
            <w:r>
              <w:t xml:space="preserve">0.000</w:t>
            </w:r>
          </w:p>
        </w:tc>
        <w:tc>
          <w:tcPr/>
          <w:p>
            <w:pPr>
              <w:pStyle w:val="Compact"/>
            </w:pPr>
            <w:r>
              <w:t xml:space="preserve">0.504</w:t>
            </w:r>
          </w:p>
        </w:tc>
        <w:tc>
          <w:tcPr/>
          <w:p>
            <w:pPr>
              <w:pStyle w:val="Compact"/>
            </w:pPr>
            <w:r>
              <w:t xml:space="preserve">0.504</w:t>
            </w:r>
          </w:p>
        </w:tc>
        <w:tc>
          <w:tcPr/>
          <w:p>
            <w:pPr>
              <w:pStyle w:val="Compact"/>
            </w:pPr>
            <w:r>
              <w:t xml:space="preserve">–</w:t>
            </w:r>
          </w:p>
        </w:tc>
        <w:tc>
          <w:tcPr/>
          <w:p>
            <w:pPr>
              <w:pStyle w:val="Compact"/>
            </w:pPr>
            <w:r>
              <w:t xml:space="preserve">–</w:t>
            </w:r>
          </w:p>
        </w:tc>
      </w:tr>
      <w:tr>
        <w:tc>
          <w:tcPr/>
          <w:p>
            <w:pPr>
              <w:pStyle w:val="Compact"/>
            </w:pPr>
            <w:r>
              <w:t xml:space="preserve">cluster</w:t>
            </w:r>
          </w:p>
        </w:tc>
        <w:tc>
          <w:tcPr/>
          <w:p>
            <w:pPr>
              <w:pStyle w:val="Compact"/>
            </w:pPr>
            <w:r>
              <w:rPr>
                <w:i/>
                <w:iCs/>
              </w:rPr>
              <w:t xml:space="preserve">σ</w:t>
            </w:r>
          </w:p>
        </w:tc>
        <w:tc>
          <w:tcPr/>
          <w:p>
            <w:pPr>
              <w:pStyle w:val="Compact"/>
            </w:pPr>
            <w:r>
              <w:t xml:space="preserve">0.053</w:t>
            </w:r>
          </w:p>
        </w:tc>
        <w:tc>
          <w:tcPr/>
          <w:p>
            <w:pPr>
              <w:pStyle w:val="Compact"/>
            </w:pPr>
            <w:r>
              <w:t xml:space="preserve">0.045</w:t>
            </w:r>
          </w:p>
        </w:tc>
        <w:tc>
          <w:tcPr/>
          <w:p>
            <w:pPr>
              <w:pStyle w:val="Compact"/>
            </w:pPr>
            <w:r>
              <w:t xml:space="preserve">5.668</w:t>
            </w:r>
          </w:p>
        </w:tc>
        <w:tc>
          <w:tcPr/>
          <w:p>
            <w:pPr>
              <w:pStyle w:val="Compact"/>
            </w:pPr>
            <w:r>
              <w:t xml:space="preserve">5.700</w:t>
            </w:r>
          </w:p>
        </w:tc>
        <w:tc>
          <w:tcPr/>
          <w:p>
            <w:pPr>
              <w:pStyle w:val="Compact"/>
            </w:pPr>
            <w:r>
              <w:t xml:space="preserve">0.822</w:t>
            </w:r>
          </w:p>
        </w:tc>
        <w:tc>
          <w:tcPr/>
          <w:p>
            <w:pPr>
              <w:pStyle w:val="Compact"/>
            </w:pPr>
            <w:r>
              <w:t xml:space="preserve">0.824</w:t>
            </w:r>
          </w:p>
        </w:tc>
      </w:tr>
      <w:tr>
        <w:tc>
          <w:tcPr/>
          <w:p>
            <w:pPr>
              <w:pStyle w:val="Compact"/>
            </w:pPr>
            <w:r>
              <w:t xml:space="preserve">cluster</w:t>
            </w:r>
          </w:p>
        </w:tc>
        <w:tc>
          <w:tcPr/>
          <w:p>
            <w:pPr>
              <w:pStyle w:val="Compact"/>
            </w:pPr>
            <w:r>
              <w:rPr>
                <w:i/>
                <w:iCs/>
              </w:rPr>
              <w:t xml:space="preserve">κ</w:t>
            </w:r>
          </w:p>
        </w:tc>
        <w:tc>
          <w:tcPr/>
          <w:p>
            <w:pPr>
              <w:pStyle w:val="Compact"/>
            </w:pPr>
            <w:r>
              <w:t xml:space="preserve">0.100</w:t>
            </w:r>
          </w:p>
        </w:tc>
        <w:tc>
          <w:tcPr/>
          <w:p>
            <w:pPr>
              <w:pStyle w:val="Compact"/>
            </w:pPr>
            <w:r>
              <w:t xml:space="preserve">0.125</w:t>
            </w:r>
          </w:p>
        </w:tc>
        <w:tc>
          <w:tcPr/>
          <w:p>
            <w:pPr>
              <w:pStyle w:val="Compact"/>
            </w:pPr>
            <w:r>
              <w:t xml:space="preserve">0.193</w:t>
            </w:r>
          </w:p>
        </w:tc>
        <w:tc>
          <w:tcPr/>
          <w:p>
            <w:pPr>
              <w:pStyle w:val="Compact"/>
            </w:pPr>
            <w:r>
              <w:t xml:space="preserve">0.189</w:t>
            </w:r>
          </w:p>
        </w:tc>
        <w:tc>
          <w:tcPr/>
          <w:p>
            <w:pPr>
              <w:pStyle w:val="Compact"/>
            </w:pPr>
            <w:r>
              <w:t xml:space="preserve">0.089</w:t>
            </w:r>
          </w:p>
        </w:tc>
        <w:tc>
          <w:tcPr/>
          <w:p>
            <w:pPr>
              <w:pStyle w:val="Compact"/>
            </w:pPr>
            <w:r>
              <w:t xml:space="preserve">0.088</w:t>
            </w:r>
          </w:p>
        </w:tc>
      </w:tr>
      <w:tr>
        <w:tc>
          <w:tcPr/>
          <w:p>
            <w:pPr>
              <w:pStyle w:val="Compact"/>
            </w:pPr>
            <w:r>
              <w:t xml:space="preserve">cluster</w:t>
            </w:r>
          </w:p>
        </w:tc>
        <w:tc>
          <w:tcPr/>
          <w:p>
            <w:pPr>
              <w:pStyle w:val="Compact"/>
            </w:pPr>
            <w:r>
              <w:t xml:space="preserve">zT</w:t>
            </w:r>
          </w:p>
        </w:tc>
        <w:tc>
          <w:tcPr/>
          <w:p>
            <w:pPr>
              <w:pStyle w:val="Compact"/>
            </w:pPr>
            <w:r>
              <w:t xml:space="preserve">0.000</w:t>
            </w:r>
          </w:p>
        </w:tc>
        <w:tc>
          <w:tcPr/>
          <w:p>
            <w:pPr>
              <w:pStyle w:val="Compact"/>
            </w:pPr>
            <w:r>
              <w:t xml:space="preserve">0.000</w:t>
            </w:r>
          </w:p>
        </w:tc>
        <w:tc>
          <w:tcPr/>
          <w:p>
            <w:pPr>
              <w:pStyle w:val="Compact"/>
            </w:pPr>
            <w:r>
              <w:t xml:space="preserve">2.701</w:t>
            </w:r>
          </w:p>
        </w:tc>
        <w:tc>
          <w:tcPr/>
          <w:p>
            <w:pPr>
              <w:pStyle w:val="Compact"/>
            </w:pPr>
            <w:r>
              <w:t xml:space="preserve">2.701</w:t>
            </w:r>
          </w:p>
        </w:tc>
        <w:tc>
          <w:tcPr/>
          <w:p>
            <w:pPr>
              <w:pStyle w:val="Compact"/>
            </w:pPr>
            <w:r>
              <w:t xml:space="preserve">–</w:t>
            </w:r>
          </w:p>
        </w:tc>
        <w:tc>
          <w:tcPr/>
          <w:p>
            <w:pPr>
              <w:pStyle w:val="Compact"/>
            </w:pPr>
            <w:r>
              <w:t xml:space="preserve">–</w:t>
            </w:r>
          </w:p>
        </w:tc>
      </w:tr>
    </w:tbl>
    <w:bookmarkEnd w:id="39"/>
    <w:bookmarkStart w:id="147" w:name="X719d341aadd0d29fb47443251661812d7356816"/>
    <w:p>
      <w:pPr>
        <w:pStyle w:val="Heading2"/>
      </w:pPr>
      <w:r>
        <w:t xml:space="preserve">Supplementary Note S11: Nomenclature and abbreviations</w:t>
      </w:r>
    </w:p>
    <w:p>
      <w:pPr>
        <w:pStyle w:val="FirstParagraph"/>
      </w:pPr>
      <w:r>
        <w:t xml:space="preserve">The symbols and abbreviations used in the manuscript are listed in Supplementary Table S8.</w:t>
      </w:r>
    </w:p>
    <w:p>
      <w:pPr>
        <w:pStyle w:val="BodyText"/>
      </w:pPr>
      <w:r>
        <w:rPr>
          <w:b/>
          <w:bCs/>
        </w:rPr>
        <w:t xml:space="preserve">Supplementary Table S8:</w:t>
      </w:r>
      <w:r>
        <w:t xml:space="preserve"> </w:t>
      </w:r>
      <w:r>
        <w:t xml:space="preserve">Symbols and abbreviations used in the manuscript.</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rPr>
                <w:b/>
                <w:bCs/>
              </w:rPr>
              <w:t xml:space="preserve">Symbol / abbreviation</w:t>
            </w:r>
          </w:p>
        </w:tc>
        <w:tc>
          <w:tcPr/>
          <w:p>
            <w:pPr>
              <w:pStyle w:val="Compact"/>
            </w:pPr>
            <w:r>
              <w:rPr>
                <w:b/>
                <w:bCs/>
              </w:rP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ML</w:t>
            </w:r>
          </w:p>
        </w:tc>
        <w:tc>
          <w:tcPr/>
          <w:p>
            <w:pPr>
              <w:pStyle w:val="Compact"/>
            </w:pPr>
            <w:r>
              <w:t xml:space="preserve">Machine learning</w:t>
            </w:r>
          </w:p>
        </w:tc>
      </w:tr>
      <w:tr>
        <w:tc>
          <w:tcPr/>
          <w:p>
            <w:pPr>
              <w:pStyle w:val="Compact"/>
            </w:pPr>
            <w:r>
              <w:t xml:space="preserve">DL</w:t>
            </w:r>
          </w:p>
        </w:tc>
        <w:tc>
          <w:tcPr/>
          <w:p>
            <w:pPr>
              <w:pStyle w:val="Compact"/>
            </w:pPr>
            <w:r>
              <w:t xml:space="preserve">Deep learning</w:t>
            </w:r>
          </w:p>
        </w:tc>
      </w:tr>
      <w:tr>
        <w:tc>
          <w:tcPr/>
          <w:p>
            <w:pPr>
              <w:pStyle w:val="Compact"/>
            </w:pPr>
            <w:r>
              <w:t xml:space="preserve">TE</w:t>
            </w:r>
          </w:p>
        </w:tc>
        <w:tc>
          <w:tcPr/>
          <w:p>
            <w:pPr>
              <w:pStyle w:val="Compact"/>
            </w:pPr>
            <w:r>
              <w:t xml:space="preserve">Thermoelectric</w:t>
            </w:r>
          </w:p>
        </w:tc>
      </w:tr>
      <w:tr>
        <w:tc>
          <w:tcPr/>
          <w:p>
            <w:pPr>
              <w:pStyle w:val="Compact"/>
            </w:pPr>
            <w:r>
              <w:t xml:space="preserve">DFT</w:t>
            </w:r>
          </w:p>
        </w:tc>
        <w:tc>
          <w:tcPr/>
          <w:p>
            <w:pPr>
              <w:pStyle w:val="Compact"/>
            </w:pPr>
            <w:r>
              <w:t xml:space="preserve">Density functional theory</w:t>
            </w:r>
          </w:p>
        </w:tc>
      </w:tr>
      <w:tr>
        <w:tc>
          <w:tcPr/>
          <w:p>
            <w:pPr>
              <w:pStyle w:val="Compact"/>
            </w:pPr>
            <w:r>
              <w:t xml:space="preserve">BTE</w:t>
            </w:r>
          </w:p>
        </w:tc>
        <w:tc>
          <w:tcPr/>
          <w:p>
            <w:pPr>
              <w:pStyle w:val="Compact"/>
            </w:pPr>
            <w:r>
              <w:t xml:space="preserve">Boltzmann transport equation</w:t>
            </w:r>
          </w:p>
        </w:tc>
      </w:tr>
      <w:tr>
        <w:tc>
          <w:tcPr/>
          <w:p>
            <w:pPr>
              <w:pStyle w:val="Compact"/>
            </w:pPr>
            <w:r>
              <w:t xml:space="preserve">PGEC</w:t>
            </w:r>
          </w:p>
        </w:tc>
        <w:tc>
          <w:tcPr/>
          <w:p>
            <w:pPr>
              <w:pStyle w:val="Compact"/>
            </w:pPr>
            <w:r>
              <w:t xml:space="preserve">Phonon-glass electron-crystal</w:t>
            </w:r>
          </w:p>
        </w:tc>
      </w:tr>
      <w:tr>
        <w:tc>
          <w:tcPr/>
          <w:p>
            <w:pPr>
              <w:pStyle w:val="Compact"/>
            </w:pPr>
            <w:r>
              <w:t xml:space="preserve">XGBoost</w:t>
            </w:r>
          </w:p>
        </w:tc>
        <w:tc>
          <w:tcPr/>
          <w:p>
            <w:pPr>
              <w:pStyle w:val="Compact"/>
            </w:pPr>
            <w:r>
              <w:t xml:space="preserve">Extreme gradient boosting</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GBDT</w:t>
            </w:r>
          </w:p>
        </w:tc>
        <w:tc>
          <w:tcPr/>
          <w:p>
            <w:pPr>
              <w:pStyle w:val="Compact"/>
            </w:pPr>
            <w:r>
              <w:t xml:space="preserve">Gradient-boosted decision trees</w:t>
            </w:r>
          </w:p>
        </w:tc>
      </w:tr>
      <w:tr>
        <w:tc>
          <w:tcPr/>
          <w:p>
            <w:pPr>
              <w:pStyle w:val="Compact"/>
            </w:pPr>
            <w:r>
              <w:t xml:space="preserve">RF</w:t>
            </w:r>
          </w:p>
        </w:tc>
        <w:tc>
          <w:tcPr/>
          <w:p>
            <w:pPr>
              <w:pStyle w:val="Compact"/>
            </w:pPr>
            <w:r>
              <w:t xml:space="preserve">Random forest</w:t>
            </w:r>
          </w:p>
        </w:tc>
      </w:tr>
      <w:tr>
        <w:tc>
          <w:tcPr/>
          <w:p>
            <w:pPr>
              <w:pStyle w:val="Compact"/>
            </w:pPr>
            <w:r>
              <w:t xml:space="preserve">DNN</w:t>
            </w:r>
          </w:p>
        </w:tc>
        <w:tc>
          <w:tcPr/>
          <w:p>
            <w:pPr>
              <w:pStyle w:val="Compact"/>
            </w:pPr>
            <w:r>
              <w:t xml:space="preserve">Deep neural network</w:t>
            </w:r>
          </w:p>
        </w:tc>
      </w:tr>
      <w:tr>
        <w:tc>
          <w:tcPr/>
          <w:p>
            <w:pPr>
              <w:pStyle w:val="Compact"/>
            </w:pPr>
            <w:r>
              <w:t xml:space="preserve">CGCNN</w:t>
            </w:r>
          </w:p>
        </w:tc>
        <w:tc>
          <w:tcPr/>
          <w:p>
            <w:pPr>
              <w:pStyle w:val="Compact"/>
            </w:pPr>
            <w:r>
              <w:t xml:space="preserve">Crystal graph convolutional neural network</w:t>
            </w:r>
          </w:p>
        </w:tc>
      </w:tr>
      <w:tr>
        <w:tc>
          <w:tcPr/>
          <w:p>
            <w:pPr>
              <w:pStyle w:val="Compact"/>
            </w:pPr>
            <w:r>
              <w:t xml:space="preserve">TabPFN</w:t>
            </w:r>
          </w:p>
        </w:tc>
        <w:tc>
          <w:tcPr/>
          <w:p>
            <w:pPr>
              <w:pStyle w:val="Compact"/>
            </w:pPr>
            <w:r>
              <w:t xml:space="preserve">Tabular prior-data fitted network</w:t>
            </w:r>
          </w:p>
        </w:tc>
      </w:tr>
      <w:tr>
        <w:tc>
          <w:tcPr/>
          <w:p>
            <w:pPr>
              <w:pStyle w:val="Compact"/>
            </w:pPr>
            <w:r>
              <w:t xml:space="preserve">CV</w:t>
            </w:r>
          </w:p>
        </w:tc>
        <w:tc>
          <w:tcPr/>
          <w:p>
            <w:pPr>
              <w:pStyle w:val="Compact"/>
            </w:pPr>
            <w:r>
              <w:t xml:space="preserve">Cross-validation (also coefficient of variation in Step 8)</w:t>
            </w:r>
          </w:p>
        </w:tc>
      </w:tr>
      <w:tr>
        <w:tc>
          <w:tcPr/>
          <w:p>
            <w:pPr>
              <w:pStyle w:val="Compact"/>
            </w:pPr>
            <w:r>
              <w:t xml:space="preserve">MAGPIE</w:t>
            </w:r>
          </w:p>
        </w:tc>
        <w:tc>
          <w:tcPr/>
          <w:p>
            <w:pPr>
              <w:pStyle w:val="Compact"/>
            </w:pPr>
            <w:r>
              <w:t xml:space="preserve">Materials-Agnostic Platform for Informatics and Exploration</w:t>
            </w:r>
          </w:p>
        </w:tc>
      </w:tr>
      <w:tr>
        <w:tc>
          <w:tcPr/>
          <w:p>
            <w:pPr>
              <w:pStyle w:val="Compact"/>
            </w:pPr>
            <w:r>
              <w:t xml:space="preserve">CBFV</w:t>
            </w:r>
          </w:p>
        </w:tc>
        <w:tc>
          <w:tcPr/>
          <w:p>
            <w:pPr>
              <w:pStyle w:val="Compact"/>
            </w:pPr>
            <w:r>
              <w:t xml:space="preserve">Composition-based feature vector</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LIME</w:t>
            </w:r>
          </w:p>
        </w:tc>
        <w:tc>
          <w:tcPr/>
          <w:p>
            <w:pPr>
              <w:pStyle w:val="Compact"/>
            </w:pPr>
            <w:r>
              <w:t xml:space="preserve">Local interpretable model-agnostic explanations</w:t>
            </w:r>
          </w:p>
        </w:tc>
      </w:tr>
      <w:tr>
        <w:tc>
          <w:tcPr/>
          <w:p>
            <w:pPr>
              <w:pStyle w:val="Compact"/>
            </w:pPr>
            <w:r>
              <w:t xml:space="preserve">MAE</w:t>
            </w:r>
          </w:p>
        </w:tc>
        <w:tc>
          <w:tcPr/>
          <w:p>
            <w:pPr>
              <w:pStyle w:val="Compact"/>
            </w:pPr>
            <w:r>
              <w:t xml:space="preserve">Mean absolute error</w:t>
            </w:r>
          </w:p>
        </w:tc>
      </w:tr>
      <w:tr>
        <w:tc>
          <w:tcPr/>
          <w:p>
            <w:pPr>
              <w:pStyle w:val="Compact"/>
            </w:pPr>
            <w:r>
              <w:t xml:space="preserve">MAD</w:t>
            </w:r>
          </w:p>
        </w:tc>
        <w:tc>
          <w:tcPr/>
          <w:p>
            <w:pPr>
              <w:pStyle w:val="Compact"/>
            </w:pPr>
            <w:r>
              <w:t xml:space="preserve">Median absolute deviation</w:t>
            </w:r>
          </w:p>
        </w:tc>
      </w:tr>
      <w:tr>
        <w:tc>
          <w:tcPr/>
          <w:p>
            <w:pPr>
              <w:pStyle w:val="Compact"/>
            </w:pPr>
            <w:r>
              <w:t xml:space="preserve">MP</w:t>
            </w:r>
          </w:p>
        </w:tc>
        <w:tc>
          <w:tcPr/>
          <w:p>
            <w:pPr>
              <w:pStyle w:val="Compact"/>
            </w:pPr>
            <w:r>
              <w:t xml:space="preserve">Materials Project</w:t>
            </w:r>
          </w:p>
        </w:tc>
      </w:tr>
      <w:tr>
        <w:tc>
          <w:tcPr/>
          <w:p>
            <w:pPr>
              <w:pStyle w:val="Compact"/>
            </w:pPr>
            <w:r>
              <w:t xml:space="preserve">ESTM</w:t>
            </w:r>
          </w:p>
        </w:tc>
        <w:tc>
          <w:tcPr/>
          <w:p>
            <w:pPr>
              <w:pStyle w:val="Compact"/>
            </w:pPr>
            <w:r>
              <w:t xml:space="preserve">Experimentally Synthesized Thermoelectric Materials (database)</w:t>
            </w:r>
          </w:p>
        </w:tc>
      </w:tr>
      <w:tr>
        <w:tc>
          <w:tcPr/>
          <w:p>
            <w:pPr>
              <w:pStyle w:val="Compact"/>
            </w:pPr>
            <w:r>
              <w:t xml:space="preserve">JARVIS</w:t>
            </w:r>
          </w:p>
        </w:tc>
        <w:tc>
          <w:tcPr/>
          <w:p>
            <w:pPr>
              <w:pStyle w:val="Compact"/>
            </w:pPr>
            <w:r>
              <w:t xml:space="preserve">Joint Automated Repository for Various Integrated Simulations</w:t>
            </w:r>
          </w:p>
        </w:tc>
      </w:tr>
      <w:tr>
        <w:tc>
          <w:tcPr/>
          <w:p>
            <w:pPr>
              <w:pStyle w:val="Compact"/>
            </w:pPr>
            <w:r>
              <w:t xml:space="preserve">VASP</w:t>
            </w:r>
          </w:p>
        </w:tc>
        <w:tc>
          <w:tcPr/>
          <w:p>
            <w:pPr>
              <w:pStyle w:val="Compact"/>
            </w:pPr>
            <w:r>
              <w:t xml:space="preserve">Vienna Ab initio Simulation Package</w:t>
            </w:r>
          </w:p>
        </w:tc>
      </w:tr>
      <w:tr>
        <w:tc>
          <w:tcPr/>
          <w:p>
            <w:pPr>
              <w:pStyle w:val="Compact"/>
            </w:pPr>
            <w:r>
              <w:t xml:space="preserve">KRICT</w:t>
            </w:r>
          </w:p>
        </w:tc>
        <w:tc>
          <w:tcPr/>
          <w:p>
            <w:pPr>
              <w:pStyle w:val="Compact"/>
            </w:pPr>
            <w:r>
              <w:t xml:space="preserve">Korea Research Institute of Chemical Technology</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zT</w:t>
            </w:r>
          </w:p>
        </w:tc>
        <w:tc>
          <w:tcPr/>
          <w:p>
            <w:pPr>
              <w:pStyle w:val="Compact"/>
            </w:pPr>
            <w:r>
              <w:t xml:space="preserve">Dimensionless figure of merit</w:t>
            </w:r>
          </w:p>
        </w:tc>
      </w:tr>
      <w:tr>
        <w:tc>
          <w:tcPr/>
          <w:p>
            <w:pPr>
              <w:pStyle w:val="Compact"/>
            </w:pPr>
            <w:r>
              <w:t xml:space="preserve">S</w:t>
            </w:r>
          </w:p>
        </w:tc>
        <w:tc>
          <w:tcPr/>
          <w:p>
            <w:pPr>
              <w:pStyle w:val="Compact"/>
            </w:pPr>
            <w:r>
              <w:t xml:space="preserve">Seebeck coefficient</w:t>
            </w:r>
          </w:p>
        </w:tc>
      </w:tr>
      <w:tr>
        <w:tc>
          <w:tcPr/>
          <w:p>
            <w:pPr>
              <w:pStyle w:val="Compact"/>
            </w:pPr>
            <w:r>
              <w:rPr>
                <w:i/>
                <w:iCs/>
              </w:rPr>
              <w:t xml:space="preserve">σ</w:t>
            </w:r>
          </w:p>
        </w:tc>
        <w:tc>
          <w:tcPr/>
          <w:p>
            <w:pPr>
              <w:pStyle w:val="Compact"/>
            </w:pPr>
            <w:r>
              <w:t xml:space="preserve">Electrical conductivity</w:t>
            </w:r>
          </w:p>
        </w:tc>
      </w:tr>
      <w:tr>
        <w:tc>
          <w:tcPr/>
          <w:p>
            <w:pPr>
              <w:pStyle w:val="Compact"/>
            </w:pPr>
            <w:r>
              <w:rPr>
                <w:i/>
                <w:iCs/>
              </w:rPr>
              <w:t xml:space="preserve">κ</w:t>
            </w:r>
            <w:r>
              <w:t xml:space="preserve">,</w:t>
            </w:r>
            <w:r>
              <w:t xml:space="preserve"> </w:t>
            </w:r>
            <w:r>
              <w:rPr>
                <w:i/>
                <w:iCs/>
              </w:rPr>
              <w:t xml:space="preserve">κ</w:t>
            </w:r>
            <w:r>
              <w:rPr>
                <w:vertAlign w:val="subscript"/>
              </w:rPr>
              <w:t xml:space="preserve">e</w:t>
            </w:r>
            <w:r>
              <w:t xml:space="preserve">,</w:t>
            </w:r>
            <w:r>
              <w:t xml:space="preserve"> </w:t>
            </w:r>
            <w:r>
              <w:rPr>
                <w:i/>
                <w:iCs/>
              </w:rPr>
              <w:t xml:space="preserve">κ</w:t>
            </w:r>
            <w:r>
              <w:rPr>
                <w:vertAlign w:val="subscript"/>
              </w:rPr>
              <w:t xml:space="preserve">l</w:t>
            </w:r>
          </w:p>
        </w:tc>
        <w:tc>
          <w:tcPr/>
          <w:p>
            <w:pPr>
              <w:pStyle w:val="Compact"/>
            </w:pPr>
            <w:r>
              <w:t xml:space="preserve">Total, electronic and lattice thermal conductivity</w:t>
            </w:r>
          </w:p>
        </w:tc>
      </w:tr>
      <w:tr>
        <w:tc>
          <w:tcPr/>
          <w:p>
            <w:pPr>
              <w:pStyle w:val="Compact"/>
            </w:pPr>
            <w:r>
              <w:t xml:space="preserve">PF</w:t>
            </w:r>
          </w:p>
        </w:tc>
        <w:tc>
          <w:tcPr/>
          <w:p>
            <w:pPr>
              <w:pStyle w:val="Compact"/>
            </w:pPr>
            <w:r>
              <w:t xml:space="preserve">Power factor (S</w:t>
            </w:r>
            <w:r>
              <w:rPr>
                <w:vertAlign w:val="superscript"/>
              </w:rPr>
              <w:t xml:space="preserve">2</w:t>
            </w:r>
            <w:r>
              <w:rPr>
                <w:i/>
                <w:iCs/>
              </w:rPr>
              <w:t xml:space="preserve">σ</w:t>
            </w:r>
            <w:r>
              <w:t xml:space="preserve">)</w:t>
            </w:r>
          </w:p>
        </w:tc>
      </w:tr>
      <w:tr>
        <w:tc>
          <w:tcPr/>
          <w:p>
            <w:pPr>
              <w:pStyle w:val="Compact"/>
            </w:pPr>
            <w:r>
              <w:t xml:space="preserve">L</w:t>
            </w:r>
          </w:p>
        </w:tc>
        <w:tc>
          <w:tcPr/>
          <w:p>
            <w:pPr>
              <w:pStyle w:val="Compact"/>
            </w:pPr>
            <w:r>
              <w:t xml:space="preserve">Lorenz number</w:t>
            </w:r>
          </w:p>
        </w:tc>
      </w:tr>
      <w:tr>
        <w:tc>
          <w:tcPr/>
          <w:p>
            <w:pPr>
              <w:pStyle w:val="Compact"/>
            </w:pPr>
            <w:r>
              <w:t xml:space="preserve">R</w:t>
            </w:r>
            <w:r>
              <w:rPr>
                <w:vertAlign w:val="superscript"/>
              </w:rPr>
              <w:t xml:space="preserve">2</w:t>
            </w:r>
          </w:p>
        </w:tc>
        <w:tc>
          <w:tcPr/>
          <w:p>
            <w:pPr>
              <w:pStyle w:val="Compact"/>
            </w:pPr>
            <w:r>
              <w:t xml:space="preserve">Coefficient of determination</w:t>
            </w:r>
          </w:p>
        </w:tc>
      </w:tr>
      <w:tr>
        <w:tc>
          <w:tcPr/>
          <w:p>
            <w:pPr>
              <w:pStyle w:val="Compact"/>
            </w:pPr>
            <w:r>
              <w:t xml:space="preserve">T</w:t>
            </w:r>
          </w:p>
        </w:tc>
        <w:tc>
          <w:tcPr/>
          <w:p>
            <w:pPr>
              <w:pStyle w:val="Compact"/>
            </w:pPr>
            <w:r>
              <w:t xml:space="preserve">Absolute temperature</w:t>
            </w:r>
          </w:p>
        </w:tc>
      </w:tr>
      <w:tr>
        <w:tc>
          <w:tcPr/>
          <w:p>
            <w:pPr>
              <w:pStyle w:val="Compact"/>
            </w:pPr>
            <w:r>
              <w:t xml:space="preserve">E</w:t>
            </w:r>
            <w:r>
              <w:rPr>
                <w:vertAlign w:val="subscript"/>
              </w:rPr>
              <w:t xml:space="preserve">hull</w:t>
            </w:r>
          </w:p>
        </w:tc>
        <w:tc>
          <w:tcPr/>
          <w:p>
            <w:pPr>
              <w:pStyle w:val="Compact"/>
            </w:pPr>
            <w:r>
              <w:t xml:space="preserve">Energy above the convex hull</w:t>
            </w:r>
          </w:p>
        </w:tc>
      </w:tr>
      <w:tr>
        <w:tc>
          <w:tcPr/>
          <w:p>
            <w:pPr>
              <w:pStyle w:val="Compact"/>
            </w:pPr>
            <w:r>
              <w:t xml:space="preserve">E</w:t>
            </w:r>
            <w:r>
              <w:rPr>
                <w:vertAlign w:val="subscript"/>
              </w:rPr>
              <w:t xml:space="preserve">g</w:t>
            </w:r>
          </w:p>
        </w:tc>
        <w:tc>
          <w:tcPr/>
          <w:p>
            <w:pPr>
              <w:pStyle w:val="Compact"/>
            </w:pPr>
            <w:r>
              <w:t xml:space="preserve">Band gap</w:t>
            </w:r>
          </w:p>
        </w:tc>
      </w:tr>
      <w:tr>
        <w:tc>
          <w:tcPr/>
          <w:p>
            <w:pPr>
              <w:pStyle w:val="Compact"/>
            </w:pPr>
            <w:r>
              <w:t xml:space="preserve">ABX</w:t>
            </w:r>
            <w:r>
              <w:rPr>
                <w:vertAlign w:val="subscript"/>
              </w:rPr>
              <w:t xml:space="preserve">3</w:t>
            </w:r>
          </w:p>
        </w:tc>
        <w:tc>
          <w:tcPr/>
          <w:p>
            <w:pPr>
              <w:pStyle w:val="Compact"/>
            </w:pPr>
            <w:r>
              <w:t xml:space="preserve">General perovskite stoichiometry</w:t>
            </w:r>
          </w:p>
        </w:tc>
      </w:tr>
    </w:tbl>
    <w:bookmarkStart w:id="146" w:name="refs"/>
    <w:bookmarkStart w:id="41" w:name="ref-rowe2018thermoelectrics"/>
    <w:p>
      <w:pPr>
        <w:pStyle w:val="Bibliography"/>
      </w:pPr>
      <w:r>
        <w:t xml:space="preserve">1.</w:t>
      </w:r>
      <w:r>
        <w:t xml:space="preserve"> </w:t>
      </w:r>
      <w:r>
        <w:t xml:space="preserve">	</w:t>
      </w:r>
      <w:r>
        <w:t xml:space="preserve">Rowe, D. M.</w:t>
      </w:r>
      <w:r>
        <w:t xml:space="preserve"> </w:t>
      </w:r>
      <w:r>
        <w:rPr>
          <w:i/>
          <w:iCs/>
        </w:rPr>
        <w:t xml:space="preserve">Thermoelectrics Handbook: Macro to Nano</w:t>
      </w:r>
      <w:r>
        <w:t xml:space="preserve">. (CRC Press, 2005). doi:</w:t>
      </w:r>
      <w:hyperlink r:id="rId40">
        <w:r>
          <w:rPr>
            <w:rStyle w:val="Hyperlink"/>
          </w:rPr>
          <w:t xml:space="preserve">10.1201/9781420038903</w:t>
        </w:r>
      </w:hyperlink>
      <w:r>
        <w:t xml:space="preserve">.</w:t>
      </w:r>
    </w:p>
    <w:bookmarkEnd w:id="41"/>
    <w:bookmarkStart w:id="43" w:name="ref-goldsmid2010introduction"/>
    <w:p>
      <w:pPr>
        <w:pStyle w:val="Bibliography"/>
      </w:pPr>
      <w:r>
        <w:t xml:space="preserve">2.</w:t>
      </w:r>
      <w:r>
        <w:t xml:space="preserve"> </w:t>
      </w:r>
      <w:r>
        <w:t xml:space="preserve">	</w:t>
      </w:r>
      <w:r>
        <w:t xml:space="preserve">Goldsmid, H. J.</w:t>
      </w:r>
      <w:r>
        <w:t xml:space="preserve"> </w:t>
      </w:r>
      <w:r>
        <w:rPr>
          <w:i/>
          <w:iCs/>
        </w:rPr>
        <w:t xml:space="preserve">Introduction to Thermoelectricity</w:t>
      </w:r>
      <w:r>
        <w:t xml:space="preserve">. (Springer Berlin Heidelberg, 2010). doi:</w:t>
      </w:r>
      <w:hyperlink r:id="rId42">
        <w:r>
          <w:rPr>
            <w:rStyle w:val="Hyperlink"/>
          </w:rPr>
          <w:t xml:space="preserve">10.1007/978-3-642-00716-3</w:t>
        </w:r>
      </w:hyperlink>
      <w:r>
        <w:t xml:space="preserve">.</w:t>
      </w:r>
    </w:p>
    <w:bookmarkEnd w:id="43"/>
    <w:bookmarkStart w:id="45" w:name="ref-snyder2008complex"/>
    <w:p>
      <w:pPr>
        <w:pStyle w:val="Bibliography"/>
      </w:pPr>
      <w:r>
        <w:t xml:space="preserve">3.</w:t>
      </w:r>
      <w:r>
        <w:t xml:space="preserve"> </w:t>
      </w:r>
      <w:r>
        <w:t xml:space="preserve">	</w:t>
      </w:r>
      <w:r>
        <w:t xml:space="preserve">Snyder, G. J. &amp; Toberer, E. S.</w:t>
      </w:r>
      <w:r>
        <w:t xml:space="preserve"> </w:t>
      </w:r>
      <w:hyperlink r:id="rId44">
        <w:r>
          <w:rPr>
            <w:rStyle w:val="Hyperlink"/>
          </w:rPr>
          <w:t xml:space="preserve">Complex thermoelectric materials</w:t>
        </w:r>
      </w:hyperlink>
      <w:r>
        <w:t xml:space="preserve">.</w:t>
      </w:r>
      <w:r>
        <w:t xml:space="preserve"> </w:t>
      </w:r>
      <w:r>
        <w:rPr>
          <w:i/>
          <w:iCs/>
        </w:rPr>
        <w:t xml:space="preserve">Nature Materials</w:t>
      </w:r>
      <w:r>
        <w:t xml:space="preserve"> </w:t>
      </w:r>
      <w:r>
        <w:rPr>
          <w:b/>
          <w:bCs/>
        </w:rPr>
        <w:t xml:space="preserve">7</w:t>
      </w:r>
      <w:r>
        <w:t xml:space="preserve">, 105–114 (2008).</w:t>
      </w:r>
    </w:p>
    <w:bookmarkEnd w:id="45"/>
    <w:bookmarkStart w:id="47" w:name="ref-slack1995materials"/>
    <w:p>
      <w:pPr>
        <w:pStyle w:val="Bibliography"/>
      </w:pPr>
      <w:r>
        <w:t xml:space="preserve">4.</w:t>
      </w:r>
      <w:r>
        <w:t xml:space="preserve"> </w:t>
      </w:r>
      <w:r>
        <w:t xml:space="preserve">	</w:t>
      </w:r>
      <w:r>
        <w:t xml:space="preserve">Slack, G. New materials and performance limits for thermoelectric cooling. in</w:t>
      </w:r>
      <w:r>
        <w:t xml:space="preserve"> </w:t>
      </w:r>
      <w:r>
        <w:rPr>
          <w:i/>
          <w:iCs/>
        </w:rPr>
        <w:t xml:space="preserve">CRC handbook of thermoelectrics</w:t>
      </w:r>
      <w:r>
        <w:t xml:space="preserve"> </w:t>
      </w:r>
      <w:r>
        <w:t xml:space="preserve">(CRC Press, 1995). doi:</w:t>
      </w:r>
      <w:hyperlink r:id="rId46">
        <w:r>
          <w:rPr>
            <w:rStyle w:val="Hyperlink"/>
          </w:rPr>
          <w:t xml:space="preserve">10.1201/9781420049718.ch34</w:t>
        </w:r>
      </w:hyperlink>
      <w:r>
        <w:t xml:space="preserve">.</w:t>
      </w:r>
    </w:p>
    <w:bookmarkEnd w:id="47"/>
    <w:bookmarkStart w:id="49" w:name="ref-pei2011convergence"/>
    <w:p>
      <w:pPr>
        <w:pStyle w:val="Bibliography"/>
      </w:pPr>
      <w:r>
        <w:t xml:space="preserve">5.</w:t>
      </w:r>
      <w:r>
        <w:t xml:space="preserve"> </w:t>
      </w:r>
      <w:r>
        <w:t xml:space="preserve">	</w:t>
      </w:r>
      <w:r>
        <w:t xml:space="preserve">Pei, Y.</w:t>
      </w:r>
      <w:r>
        <w:t xml:space="preserve"> </w:t>
      </w:r>
      <w:r>
        <w:rPr>
          <w:i/>
          <w:iCs/>
        </w:rPr>
        <w:t xml:space="preserve">et al.</w:t>
      </w:r>
      <w:r>
        <w:t xml:space="preserve"> </w:t>
      </w:r>
      <w:hyperlink r:id="rId48">
        <w:r>
          <w:rPr>
            <w:rStyle w:val="Hyperlink"/>
          </w:rPr>
          <w:t xml:space="preserve">Convergence of electronic bands for high performance bulk thermoelectrics</w:t>
        </w:r>
      </w:hyperlink>
      <w:r>
        <w:t xml:space="preserve">.</w:t>
      </w:r>
      <w:r>
        <w:t xml:space="preserve"> </w:t>
      </w:r>
      <w:r>
        <w:rPr>
          <w:i/>
          <w:iCs/>
        </w:rPr>
        <w:t xml:space="preserve">Nature</w:t>
      </w:r>
      <w:r>
        <w:t xml:space="preserve"> </w:t>
      </w:r>
      <w:r>
        <w:rPr>
          <w:b/>
          <w:bCs/>
        </w:rPr>
        <w:t xml:space="preserve">473</w:t>
      </w:r>
      <w:r>
        <w:t xml:space="preserve">, 66–69 (2011).</w:t>
      </w:r>
    </w:p>
    <w:bookmarkEnd w:id="49"/>
    <w:bookmarkStart w:id="51" w:name="ref-biswas2012performance"/>
    <w:p>
      <w:pPr>
        <w:pStyle w:val="Bibliography"/>
      </w:pPr>
      <w:r>
        <w:t xml:space="preserve">6.</w:t>
      </w:r>
      <w:r>
        <w:t xml:space="preserve"> </w:t>
      </w:r>
      <w:r>
        <w:t xml:space="preserve">	</w:t>
      </w:r>
      <w:r>
        <w:t xml:space="preserve">Biswas, K.</w:t>
      </w:r>
      <w:r>
        <w:t xml:space="preserve"> </w:t>
      </w:r>
      <w:r>
        <w:rPr>
          <w:i/>
          <w:iCs/>
        </w:rPr>
        <w:t xml:space="preserve">et al.</w:t>
      </w:r>
      <w:r>
        <w:t xml:space="preserve"> </w:t>
      </w:r>
      <w:hyperlink r:id="rId50">
        <w:r>
          <w:rPr>
            <w:rStyle w:val="Hyperlink"/>
          </w:rPr>
          <w:t xml:space="preserve">High-performance bulk thermoelectrics with all-scale hierarchical architectures</w:t>
        </w:r>
      </w:hyperlink>
      <w:r>
        <w:t xml:space="preserve">.</w:t>
      </w:r>
      <w:r>
        <w:t xml:space="preserve"> </w:t>
      </w:r>
      <w:r>
        <w:rPr>
          <w:i/>
          <w:iCs/>
        </w:rPr>
        <w:t xml:space="preserve">Nature</w:t>
      </w:r>
      <w:r>
        <w:t xml:space="preserve"> </w:t>
      </w:r>
      <w:r>
        <w:rPr>
          <w:b/>
          <w:bCs/>
        </w:rPr>
        <w:t xml:space="preserve">489</w:t>
      </w:r>
      <w:r>
        <w:t xml:space="preserve">, 414–418 (2012).</w:t>
      </w:r>
    </w:p>
    <w:bookmarkEnd w:id="51"/>
    <w:bookmarkStart w:id="53" w:name="ref-zhao2014ultralow"/>
    <w:p>
      <w:pPr>
        <w:pStyle w:val="Bibliography"/>
      </w:pPr>
      <w:r>
        <w:t xml:space="preserve">7.</w:t>
      </w:r>
      <w:r>
        <w:t xml:space="preserve"> </w:t>
      </w:r>
      <w:r>
        <w:t xml:space="preserve">	</w:t>
      </w:r>
      <w:r>
        <w:t xml:space="preserve">Zhao, L.-D.</w:t>
      </w:r>
      <w:r>
        <w:t xml:space="preserve"> </w:t>
      </w:r>
      <w:r>
        <w:rPr>
          <w:i/>
          <w:iCs/>
        </w:rPr>
        <w:t xml:space="preserve">et al.</w:t>
      </w:r>
      <w:r>
        <w:t xml:space="preserve"> </w:t>
      </w:r>
      <w:hyperlink r:id="rId52">
        <w:r>
          <w:rPr>
            <w:rStyle w:val="Hyperlink"/>
          </w:rPr>
          <w:t xml:space="preserve">Ultralow thermal conductivity and high thermoelectric figure of merit in SnSe crystals</w:t>
        </w:r>
      </w:hyperlink>
      <w:r>
        <w:t xml:space="preserve">.</w:t>
      </w:r>
      <w:r>
        <w:t xml:space="preserve"> </w:t>
      </w:r>
      <w:r>
        <w:rPr>
          <w:i/>
          <w:iCs/>
        </w:rPr>
        <w:t xml:space="preserve">Nature</w:t>
      </w:r>
      <w:r>
        <w:t xml:space="preserve"> </w:t>
      </w:r>
      <w:r>
        <w:rPr>
          <w:b/>
          <w:bCs/>
        </w:rPr>
        <w:t xml:space="preserve">508</w:t>
      </w:r>
      <w:r>
        <w:t xml:space="preserve">, 373–377 (2014).</w:t>
      </w:r>
    </w:p>
    <w:bookmarkEnd w:id="53"/>
    <w:bookmarkStart w:id="55" w:name="ref-goldschmidt1926die"/>
    <w:p>
      <w:pPr>
        <w:pStyle w:val="Bibliography"/>
      </w:pPr>
      <w:r>
        <w:t xml:space="preserve">8.</w:t>
      </w:r>
      <w:r>
        <w:t xml:space="preserve"> </w:t>
      </w:r>
      <w:r>
        <w:t xml:space="preserve">	</w:t>
      </w:r>
      <w:r>
        <w:t xml:space="preserve">Goldschmidt, V. M.</w:t>
      </w:r>
      <w:r>
        <w:t xml:space="preserve"> </w:t>
      </w:r>
      <w:hyperlink r:id="rId54">
        <w:r>
          <w:rPr>
            <w:rStyle w:val="Hyperlink"/>
          </w:rPr>
          <w:t xml:space="preserve">Die gesetze der krystallochemie</w:t>
        </w:r>
      </w:hyperlink>
      <w:r>
        <w:t xml:space="preserve">.</w:t>
      </w:r>
      <w:r>
        <w:t xml:space="preserve"> </w:t>
      </w:r>
      <w:r>
        <w:rPr>
          <w:i/>
          <w:iCs/>
        </w:rPr>
        <w:t xml:space="preserve">Die Naturwissenschaften</w:t>
      </w:r>
      <w:r>
        <w:t xml:space="preserve"> </w:t>
      </w:r>
      <w:r>
        <w:rPr>
          <w:b/>
          <w:bCs/>
        </w:rPr>
        <w:t xml:space="preserve">14</w:t>
      </w:r>
      <w:r>
        <w:t xml:space="preserve">, 477–485 (1926).</w:t>
      </w:r>
    </w:p>
    <w:bookmarkEnd w:id="55"/>
    <w:bookmarkStart w:id="57" w:name="ref-bartel2019tolerance"/>
    <w:p>
      <w:pPr>
        <w:pStyle w:val="Bibliography"/>
      </w:pPr>
      <w:r>
        <w:t xml:space="preserve">9.</w:t>
      </w:r>
      <w:r>
        <w:t xml:space="preserve"> </w:t>
      </w:r>
      <w:r>
        <w:t xml:space="preserve">	</w:t>
      </w:r>
      <w:r>
        <w:t xml:space="preserve">Bartel, C. J.</w:t>
      </w:r>
      <w:r>
        <w:t xml:space="preserve"> </w:t>
      </w:r>
      <w:r>
        <w:rPr>
          <w:i/>
          <w:iCs/>
        </w:rPr>
        <w:t xml:space="preserve">et al.</w:t>
      </w:r>
      <w:r>
        <w:t xml:space="preserve"> </w:t>
      </w:r>
      <w:hyperlink r:id="rId56">
        <w:r>
          <w:rPr>
            <w:rStyle w:val="Hyperlink"/>
          </w:rPr>
          <w:t xml:space="preserve">New tolerance factor to predict the stability of perovskite oxides and halides</w:t>
        </w:r>
      </w:hyperlink>
      <w:r>
        <w:t xml:space="preserve">.</w:t>
      </w:r>
      <w:r>
        <w:t xml:space="preserve"> </w:t>
      </w:r>
      <w:r>
        <w:rPr>
          <w:i/>
          <w:iCs/>
        </w:rPr>
        <w:t xml:space="preserve">Science Advances</w:t>
      </w:r>
      <w:r>
        <w:t xml:space="preserve"> </w:t>
      </w:r>
      <w:r>
        <w:rPr>
          <w:b/>
          <w:bCs/>
        </w:rPr>
        <w:t xml:space="preserve">5</w:t>
      </w:r>
      <w:r>
        <w:t xml:space="preserve">, eaav0693 (2019).</w:t>
      </w:r>
    </w:p>
    <w:bookmarkEnd w:id="57"/>
    <w:bookmarkStart w:id="59" w:name="ref-ohta2005temperature"/>
    <w:p>
      <w:pPr>
        <w:pStyle w:val="Bibliography"/>
      </w:pPr>
      <w:r>
        <w:t xml:space="preserve">10.</w:t>
      </w:r>
      <w:r>
        <w:t xml:space="preserve"> </w:t>
      </w:r>
      <w:r>
        <w:t xml:space="preserve">	</w:t>
      </w:r>
      <w:r>
        <w:t xml:space="preserve">Ohta, S., Nomura, T., Ohta, H. &amp; Koumoto, K.</w:t>
      </w:r>
      <w:r>
        <w:t xml:space="preserve"> </w:t>
      </w:r>
      <w:hyperlink r:id="rId58">
        <w:r>
          <w:rPr>
            <w:rStyle w:val="Hyperlink"/>
          </w:rPr>
          <w:t xml:space="preserve">High-temperature carrier transport and thermoelectric properties of heavily la- or nb-doped SrTiO3 single crystals</w:t>
        </w:r>
      </w:hyperlink>
      <w:r>
        <w:t xml:space="preserve">.</w:t>
      </w:r>
      <w:r>
        <w:t xml:space="preserve"> </w:t>
      </w:r>
      <w:r>
        <w:rPr>
          <w:i/>
          <w:iCs/>
        </w:rPr>
        <w:t xml:space="preserve">Journal of Applied Physics</w:t>
      </w:r>
      <w:r>
        <w:t xml:space="preserve"> </w:t>
      </w:r>
      <w:r>
        <w:rPr>
          <w:b/>
          <w:bCs/>
        </w:rPr>
        <w:t xml:space="preserve">97</w:t>
      </w:r>
      <w:r>
        <w:t xml:space="preserve">, 034106 (2005).</w:t>
      </w:r>
    </w:p>
    <w:bookmarkEnd w:id="59"/>
    <w:bookmarkStart w:id="61" w:name="ref-flahaut2006effect"/>
    <w:p>
      <w:pPr>
        <w:pStyle w:val="Bibliography"/>
      </w:pPr>
      <w:r>
        <w:t xml:space="preserve">11.</w:t>
      </w:r>
      <w:r>
        <w:t xml:space="preserve"> </w:t>
      </w:r>
      <w:r>
        <w:t xml:space="preserve">	</w:t>
      </w:r>
      <w:r>
        <w:t xml:space="preserve">Flahaut, D., Funahashi, R., Lee, K., Ohta, H. &amp; Koumoto, K. Effect of the yb substitutions on the thermoelectric properties of CaMnO3. in</w:t>
      </w:r>
      <w:r>
        <w:t xml:space="preserve"> </w:t>
      </w:r>
      <w:r>
        <w:rPr>
          <w:i/>
          <w:iCs/>
        </w:rPr>
        <w:t xml:space="preserve">2006 25th international conference on thermoelectrics</w:t>
      </w:r>
      <w:r>
        <w:t xml:space="preserve"> </w:t>
      </w:r>
      <w:r>
        <w:t xml:space="preserve">103–106 (IEEE, 2006). doi:</w:t>
      </w:r>
      <w:hyperlink r:id="rId60">
        <w:r>
          <w:rPr>
            <w:rStyle w:val="Hyperlink"/>
          </w:rPr>
          <w:t xml:space="preserve">10.1109/ict.2006.331291</w:t>
        </w:r>
      </w:hyperlink>
      <w:r>
        <w:t xml:space="preserve">.</w:t>
      </w:r>
    </w:p>
    <w:bookmarkEnd w:id="61"/>
    <w:bookmarkStart w:id="63" w:name="ref-androulakis2004coo"/>
    <w:p>
      <w:pPr>
        <w:pStyle w:val="Bibliography"/>
      </w:pPr>
      <w:r>
        <w:t xml:space="preserve">12.</w:t>
      </w:r>
      <w:r>
        <w:t xml:space="preserve"> </w:t>
      </w:r>
      <w:r>
        <w:t xml:space="preserve">	</w:t>
      </w:r>
      <w:r>
        <w:t xml:space="preserve">Androulakis, J., Migiakis, P. &amp; Giapintzakis, J.</w:t>
      </w:r>
      <w:r>
        <w:t xml:space="preserve"> </w:t>
      </w:r>
      <w:hyperlink r:id="rId62">
        <w:r>
          <w:rPr>
            <w:rStyle w:val="Hyperlink"/>
          </w:rPr>
          <w:t xml:space="preserve">La 0.95 sr 0.05 CoO 3 : An efficient room-temperature thermoelectric oxide</w:t>
        </w:r>
      </w:hyperlink>
      <w:r>
        <w:t xml:space="preserve">.</w:t>
      </w:r>
      <w:r>
        <w:t xml:space="preserve"> </w:t>
      </w:r>
      <w:r>
        <w:rPr>
          <w:i/>
          <w:iCs/>
        </w:rPr>
        <w:t xml:space="preserve">Applied Physics Letters</w:t>
      </w:r>
      <w:r>
        <w:t xml:space="preserve"> </w:t>
      </w:r>
      <w:r>
        <w:rPr>
          <w:b/>
          <w:bCs/>
        </w:rPr>
        <w:t xml:space="preserve">84</w:t>
      </w:r>
      <w:r>
        <w:t xml:space="preserve">, 1099–1101 (2004).</w:t>
      </w:r>
    </w:p>
    <w:bookmarkEnd w:id="63"/>
    <w:bookmarkStart w:id="65" w:name="ref-lee2017ultralow"/>
    <w:p>
      <w:pPr>
        <w:pStyle w:val="Bibliography"/>
      </w:pPr>
      <w:r>
        <w:t xml:space="preserve">13.</w:t>
      </w:r>
      <w:r>
        <w:t xml:space="preserve"> </w:t>
      </w:r>
      <w:r>
        <w:t xml:space="preserve">	</w:t>
      </w:r>
      <w:r>
        <w:t xml:space="preserve">Lee, W.</w:t>
      </w:r>
      <w:r>
        <w:t xml:space="preserve"> </w:t>
      </w:r>
      <w:r>
        <w:rPr>
          <w:i/>
          <w:iCs/>
        </w:rPr>
        <w:t xml:space="preserve">et al.</w:t>
      </w:r>
      <w:r>
        <w:t xml:space="preserve"> </w:t>
      </w:r>
      <w:hyperlink r:id="rId64">
        <w:r>
          <w:rPr>
            <w:rStyle w:val="Hyperlink"/>
          </w:rPr>
          <w:t xml:space="preserve">Ultralow thermal conductivity in all-inorganic halide perovskites</w:t>
        </w:r>
      </w:hyperlink>
      <w:r>
        <w:t xml:space="preserve">.</w:t>
      </w:r>
      <w:r>
        <w:t xml:space="preserve"> </w:t>
      </w:r>
      <w:r>
        <w:rPr>
          <w:i/>
          <w:iCs/>
        </w:rPr>
        <w:t xml:space="preserve">Proceedings of the National Academy of Sciences</w:t>
      </w:r>
      <w:r>
        <w:t xml:space="preserve"> </w:t>
      </w:r>
      <w:r>
        <w:rPr>
          <w:b/>
          <w:bCs/>
        </w:rPr>
        <w:t xml:space="preserve">114</w:t>
      </w:r>
      <w:r>
        <w:t xml:space="preserve">, 8693–8697 (2017).</w:t>
      </w:r>
    </w:p>
    <w:bookmarkEnd w:id="65"/>
    <w:bookmarkStart w:id="67" w:name="ref-xie2020all"/>
    <w:p>
      <w:pPr>
        <w:pStyle w:val="Bibliography"/>
      </w:pPr>
      <w:r>
        <w:t xml:space="preserve">14.</w:t>
      </w:r>
      <w:r>
        <w:t xml:space="preserve"> </w:t>
      </w:r>
      <w:r>
        <w:t xml:space="preserve">	</w:t>
      </w:r>
      <w:r>
        <w:t xml:space="preserve">Xie, H.</w:t>
      </w:r>
      <w:r>
        <w:t xml:space="preserve"> </w:t>
      </w:r>
      <w:r>
        <w:rPr>
          <w:i/>
          <w:iCs/>
        </w:rPr>
        <w:t xml:space="preserve">et al.</w:t>
      </w:r>
      <w:r>
        <w:t xml:space="preserve"> </w:t>
      </w:r>
      <w:hyperlink r:id="rId66">
        <w:r>
          <w:rPr>
            <w:rStyle w:val="Hyperlink"/>
          </w:rPr>
          <w:t xml:space="preserve">All-inorganic halide perovskites as potential thermoelectric materials: Dynamic cation off-centering induces ultralow thermal conductivity</w:t>
        </w:r>
      </w:hyperlink>
      <w:r>
        <w:t xml:space="preserve">.</w:t>
      </w:r>
      <w:r>
        <w:t xml:space="preserve"> </w:t>
      </w:r>
      <w:r>
        <w:rPr>
          <w:i/>
          <w:iCs/>
        </w:rPr>
        <w:t xml:space="preserve">Journal of the American Chemical Society</w:t>
      </w:r>
      <w:r>
        <w:t xml:space="preserve"> </w:t>
      </w:r>
      <w:r>
        <w:rPr>
          <w:b/>
          <w:bCs/>
        </w:rPr>
        <w:t xml:space="preserve">142</w:t>
      </w:r>
      <w:r>
        <w:t xml:space="preserve">, 9553–9563 (2020).</w:t>
      </w:r>
    </w:p>
    <w:bookmarkEnd w:id="67"/>
    <w:bookmarkStart w:id="69" w:name="ref-stoumpos2013semiconducting"/>
    <w:p>
      <w:pPr>
        <w:pStyle w:val="Bibliography"/>
      </w:pPr>
      <w:r>
        <w:t xml:space="preserve">15.</w:t>
      </w:r>
      <w:r>
        <w:t xml:space="preserve"> </w:t>
      </w:r>
      <w:r>
        <w:t xml:space="preserve">	</w:t>
      </w:r>
      <w:r>
        <w:t xml:space="preserve">Stoumpos, C. C., Malliakas, C. D. &amp; Kanatzidis, M. G.</w:t>
      </w:r>
      <w:r>
        <w:t xml:space="preserve"> </w:t>
      </w:r>
      <w:hyperlink r:id="rId68">
        <w:r>
          <w:rPr>
            <w:rStyle w:val="Hyperlink"/>
          </w:rPr>
          <w:t xml:space="preserve">Semiconducting tin and lead iodide perovskites with organic cations: Phase transitions, high mobilities, and near-infrared photoluminescent properties</w:t>
        </w:r>
      </w:hyperlink>
      <w:r>
        <w:t xml:space="preserve">.</w:t>
      </w:r>
      <w:r>
        <w:t xml:space="preserve"> </w:t>
      </w:r>
      <w:r>
        <w:rPr>
          <w:i/>
          <w:iCs/>
        </w:rPr>
        <w:t xml:space="preserve">Inorganic Chemistry</w:t>
      </w:r>
      <w:r>
        <w:t xml:space="preserve"> </w:t>
      </w:r>
      <w:r>
        <w:rPr>
          <w:b/>
          <w:bCs/>
        </w:rPr>
        <w:t xml:space="preserve">52</w:t>
      </w:r>
      <w:r>
        <w:t xml:space="preserve">, 9019–9038 (2013).</w:t>
      </w:r>
    </w:p>
    <w:bookmarkEnd w:id="69"/>
    <w:bookmarkStart w:id="71" w:name="ref-sopiha2021chalcogenide"/>
    <w:p>
      <w:pPr>
        <w:pStyle w:val="Bibliography"/>
      </w:pPr>
      <w:r>
        <w:t xml:space="preserve">16.</w:t>
      </w:r>
      <w:r>
        <w:t xml:space="preserve"> </w:t>
      </w:r>
      <w:r>
        <w:t xml:space="preserve">	</w:t>
      </w:r>
      <w:r>
        <w:t xml:space="preserve">Sopiha, K. V., Comparotto, C., Márquez, J. A. &amp; Scragg, J. J. S.</w:t>
      </w:r>
      <w:r>
        <w:t xml:space="preserve"> </w:t>
      </w:r>
      <w:hyperlink r:id="rId70">
        <w:r>
          <w:rPr>
            <w:rStyle w:val="Hyperlink"/>
          </w:rPr>
          <w:t xml:space="preserve">Chalcogenide perovskites: Tantalizing prospects, challenging materials</w:t>
        </w:r>
      </w:hyperlink>
      <w:r>
        <w:t xml:space="preserve">.</w:t>
      </w:r>
      <w:r>
        <w:t xml:space="preserve"> </w:t>
      </w:r>
      <w:r>
        <w:rPr>
          <w:i/>
          <w:iCs/>
        </w:rPr>
        <w:t xml:space="preserve">Advanced Optical Materials</w:t>
      </w:r>
      <w:r>
        <w:t xml:space="preserve"> </w:t>
      </w:r>
      <w:r>
        <w:rPr>
          <w:b/>
          <w:bCs/>
        </w:rPr>
        <w:t xml:space="preserve">10</w:t>
      </w:r>
      <w:r>
        <w:t xml:space="preserve">, 2101704 (2021).</w:t>
      </w:r>
    </w:p>
    <w:bookmarkEnd w:id="71"/>
    <w:bookmarkStart w:id="73" w:name="ref-kresse1996efficient"/>
    <w:p>
      <w:pPr>
        <w:pStyle w:val="Bibliography"/>
      </w:pPr>
      <w:r>
        <w:t xml:space="preserve">17.</w:t>
      </w:r>
      <w:r>
        <w:t xml:space="preserve"> </w:t>
      </w:r>
      <w:r>
        <w:t xml:space="preserve">	</w:t>
      </w:r>
      <w:r>
        <w:t xml:space="preserve">Kresse, G. &amp; Furthmüller, J.</w:t>
      </w:r>
      <w:r>
        <w:t xml:space="preserve"> </w:t>
      </w:r>
      <w:hyperlink r:id="rId72">
        <w:r>
          <w:rPr>
            <w:rStyle w:val="Hyperlink"/>
          </w:rPr>
          <w:t xml:space="preserve">Efficient iterative schemes for ab initio total-energy calculations using a plane-wave basis set</w:t>
        </w:r>
      </w:hyperlink>
      <w:r>
        <w:t xml:space="preserve">.</w:t>
      </w:r>
      <w:r>
        <w:t xml:space="preserve"> </w:t>
      </w:r>
      <w:r>
        <w:rPr>
          <w:i/>
          <w:iCs/>
        </w:rPr>
        <w:t xml:space="preserve">Physical Review B</w:t>
      </w:r>
      <w:r>
        <w:t xml:space="preserve"> </w:t>
      </w:r>
      <w:r>
        <w:rPr>
          <w:b/>
          <w:bCs/>
        </w:rPr>
        <w:t xml:space="preserve">54</w:t>
      </w:r>
      <w:r>
        <w:t xml:space="preserve">, 11169–11186 (1996).</w:t>
      </w:r>
    </w:p>
    <w:bookmarkEnd w:id="73"/>
    <w:bookmarkStart w:id="75" w:name="ref-giannozzi2009quantum"/>
    <w:p>
      <w:pPr>
        <w:pStyle w:val="Bibliography"/>
      </w:pPr>
      <w:r>
        <w:t xml:space="preserve">18.</w:t>
      </w:r>
      <w:r>
        <w:t xml:space="preserve"> </w:t>
      </w:r>
      <w:r>
        <w:t xml:space="preserve">	</w:t>
      </w:r>
      <w:r>
        <w:t xml:space="preserve">Giannozzi, P.</w:t>
      </w:r>
      <w:r>
        <w:t xml:space="preserve"> </w:t>
      </w:r>
      <w:r>
        <w:rPr>
          <w:i/>
          <w:iCs/>
        </w:rPr>
        <w:t xml:space="preserve">et al.</w:t>
      </w:r>
      <w:r>
        <w:t xml:space="preserve"> </w:t>
      </w:r>
      <w:hyperlink r:id="rId74">
        <w:r>
          <w:rPr>
            <w:rStyle w:val="Hyperlink"/>
          </w:rPr>
          <w:t xml:space="preserve">QUANTUM ESPRESSO: A modular and open-source software project for quantum simulations of materials</w:t>
        </w:r>
      </w:hyperlink>
      <w:r>
        <w:t xml:space="preserve">.</w:t>
      </w:r>
      <w:r>
        <w:t xml:space="preserve"> </w:t>
      </w:r>
      <w:r>
        <w:rPr>
          <w:i/>
          <w:iCs/>
        </w:rPr>
        <w:t xml:space="preserve">Journal of Physics: Condensed Matter</w:t>
      </w:r>
      <w:r>
        <w:t xml:space="preserve"> </w:t>
      </w:r>
      <w:r>
        <w:rPr>
          <w:b/>
          <w:bCs/>
        </w:rPr>
        <w:t xml:space="preserve">21</w:t>
      </w:r>
      <w:r>
        <w:t xml:space="preserve">, 395502 (2009).</w:t>
      </w:r>
    </w:p>
    <w:bookmarkEnd w:id="75"/>
    <w:bookmarkStart w:id="77" w:name="ref-madsen2006boltztrap"/>
    <w:p>
      <w:pPr>
        <w:pStyle w:val="Bibliography"/>
      </w:pPr>
      <w:r>
        <w:t xml:space="preserve">19.</w:t>
      </w:r>
      <w:r>
        <w:t xml:space="preserve"> </w:t>
      </w:r>
      <w:r>
        <w:t xml:space="preserve">	</w:t>
      </w:r>
      <w:r>
        <w:t xml:space="preserve">Madsen, G. K. H. &amp; Singh, D. J.</w:t>
      </w:r>
      <w:r>
        <w:t xml:space="preserve"> </w:t>
      </w:r>
      <w:hyperlink r:id="rId76">
        <w:r>
          <w:rPr>
            <w:rStyle w:val="Hyperlink"/>
          </w:rPr>
          <w:t xml:space="preserve">BoltzTraP. A code for calculating band-structure dependent quantities</w:t>
        </w:r>
      </w:hyperlink>
      <w:r>
        <w:t xml:space="preserve">.</w:t>
      </w:r>
      <w:r>
        <w:t xml:space="preserve"> </w:t>
      </w:r>
      <w:r>
        <w:rPr>
          <w:i/>
          <w:iCs/>
        </w:rPr>
        <w:t xml:space="preserve">Computer Physics Communications</w:t>
      </w:r>
      <w:r>
        <w:t xml:space="preserve"> </w:t>
      </w:r>
      <w:r>
        <w:rPr>
          <w:b/>
          <w:bCs/>
        </w:rPr>
        <w:t xml:space="preserve">175</w:t>
      </w:r>
      <w:r>
        <w:t xml:space="preserve">, 67–71 (2006).</w:t>
      </w:r>
    </w:p>
    <w:bookmarkEnd w:id="77"/>
    <w:bookmarkStart w:id="79" w:name="ref-li2014shengbte"/>
    <w:p>
      <w:pPr>
        <w:pStyle w:val="Bibliography"/>
      </w:pPr>
      <w:r>
        <w:t xml:space="preserve">20.</w:t>
      </w:r>
      <w:r>
        <w:t xml:space="preserve"> </w:t>
      </w:r>
      <w:r>
        <w:t xml:space="preserve">	</w:t>
      </w:r>
      <w:r>
        <w:t xml:space="preserve">Li, W., Carrete, J., A. Katcho, N. &amp; Mingo, N.</w:t>
      </w:r>
      <w:r>
        <w:t xml:space="preserve"> </w:t>
      </w:r>
      <w:hyperlink r:id="rId78">
        <w:r>
          <w:rPr>
            <w:rStyle w:val="Hyperlink"/>
          </w:rPr>
          <w:t xml:space="preserve">ShengBTE: A solver of the boltzmann transport equation for phonons</w:t>
        </w:r>
      </w:hyperlink>
      <w:r>
        <w:t xml:space="preserve">.</w:t>
      </w:r>
      <w:r>
        <w:t xml:space="preserve"> </w:t>
      </w:r>
      <w:r>
        <w:rPr>
          <w:i/>
          <w:iCs/>
        </w:rPr>
        <w:t xml:space="preserve">Computer Physics Communications</w:t>
      </w:r>
      <w:r>
        <w:t xml:space="preserve"> </w:t>
      </w:r>
      <w:r>
        <w:rPr>
          <w:b/>
          <w:bCs/>
        </w:rPr>
        <w:t xml:space="preserve">185</w:t>
      </w:r>
      <w:r>
        <w:t xml:space="preserve">, 1747–1758 (2014).</w:t>
      </w:r>
    </w:p>
    <w:bookmarkEnd w:id="79"/>
    <w:bookmarkStart w:id="81" w:name="ref-katsura2019datadriven"/>
    <w:p>
      <w:pPr>
        <w:pStyle w:val="Bibliography"/>
      </w:pPr>
      <w:r>
        <w:t xml:space="preserve">21.</w:t>
      </w:r>
      <w:r>
        <w:t xml:space="preserve"> </w:t>
      </w:r>
      <w:r>
        <w:t xml:space="preserve">	</w:t>
      </w:r>
      <w:r>
        <w:t xml:space="preserve">Katsura, Y.</w:t>
      </w:r>
      <w:r>
        <w:t xml:space="preserve"> </w:t>
      </w:r>
      <w:r>
        <w:rPr>
          <w:i/>
          <w:iCs/>
        </w:rPr>
        <w:t xml:space="preserve">et al.</w:t>
      </w:r>
      <w:r>
        <w:t xml:space="preserve"> </w:t>
      </w:r>
      <w:hyperlink r:id="rId80">
        <w:r>
          <w:rPr>
            <w:rStyle w:val="Hyperlink"/>
          </w:rPr>
          <w:t xml:space="preserve">Data-driven analysis of electron relaxation times in</w:t>
        </w:r>
        <w:r>
          <w:rPr>
            <w:rStyle w:val="Hyperlink"/>
          </w:rPr>
          <w:t xml:space="preserve"> </w:t>
        </w:r>
        <w:r>
          <w:rPr>
            <w:rStyle w:val="Hyperlink"/>
          </w:rPr>
          <w:t xml:space="preserve">PbTe</w:t>
        </w:r>
        <w:r>
          <w:rPr>
            <w:rStyle w:val="Hyperlink"/>
          </w:rPr>
          <w:t xml:space="preserve">-type thermoelectric materials</w:t>
        </w:r>
      </w:hyperlink>
      <w:r>
        <w:t xml:space="preserve">.</w:t>
      </w:r>
      <w:r>
        <w:t xml:space="preserve"> </w:t>
      </w:r>
      <w:r>
        <w:rPr>
          <w:i/>
          <w:iCs/>
        </w:rPr>
        <w:t xml:space="preserve">Science and Technology of Advanced Materials</w:t>
      </w:r>
      <w:r>
        <w:t xml:space="preserve"> </w:t>
      </w:r>
      <w:r>
        <w:rPr>
          <w:b/>
          <w:bCs/>
        </w:rPr>
        <w:t xml:space="preserve">20</w:t>
      </w:r>
      <w:r>
        <w:t xml:space="preserve">, 511–520 (2019).</w:t>
      </w:r>
    </w:p>
    <w:bookmarkEnd w:id="81"/>
    <w:bookmarkStart w:id="83" w:name="ref-katsura2025starrydata"/>
    <w:p>
      <w:pPr>
        <w:pStyle w:val="Bibliography"/>
      </w:pPr>
      <w:r>
        <w:t xml:space="preserve">22.</w:t>
      </w:r>
      <w:r>
        <w:t xml:space="preserve"> </w:t>
      </w:r>
      <w:r>
        <w:t xml:space="preserve">	</w:t>
      </w:r>
      <w:r>
        <w:t xml:space="preserve">Katsura, Y.</w:t>
      </w:r>
      <w:r>
        <w:t xml:space="preserve"> </w:t>
      </w:r>
      <w:r>
        <w:rPr>
          <w:i/>
          <w:iCs/>
        </w:rPr>
        <w:t xml:space="preserve">et al.</w:t>
      </w:r>
      <w:r>
        <w:t xml:space="preserve"> </w:t>
      </w:r>
      <w:hyperlink r:id="rId82">
        <w:r>
          <w:rPr>
            <w:rStyle w:val="Hyperlink"/>
          </w:rPr>
          <w:t xml:space="preserve">Starrydata: From published plots to shared materials data</w:t>
        </w:r>
      </w:hyperlink>
      <w:r>
        <w:t xml:space="preserve">.</w:t>
      </w:r>
      <w:r>
        <w:t xml:space="preserve"> </w:t>
      </w:r>
      <w:r>
        <w:rPr>
          <w:i/>
          <w:iCs/>
        </w:rPr>
        <w:t xml:space="preserve">Science and Technology of Advanced Materials: Methods</w:t>
      </w:r>
      <w:r>
        <w:t xml:space="preserve"> </w:t>
      </w:r>
      <w:r>
        <w:rPr>
          <w:b/>
          <w:bCs/>
        </w:rPr>
        <w:t xml:space="preserve">5</w:t>
      </w:r>
      <w:r>
        <w:t xml:space="preserve">, 2506976 (2025).</w:t>
      </w:r>
    </w:p>
    <w:bookmarkEnd w:id="83"/>
    <w:bookmarkStart w:id="85" w:name="ref-jain2013commentary"/>
    <w:p>
      <w:pPr>
        <w:pStyle w:val="Bibliography"/>
      </w:pPr>
      <w:r>
        <w:t xml:space="preserve">23.</w:t>
      </w:r>
      <w:r>
        <w:t xml:space="preserve"> </w:t>
      </w:r>
      <w:r>
        <w:t xml:space="preserve">	</w:t>
      </w:r>
      <w:r>
        <w:t xml:space="preserve">Jain, A.</w:t>
      </w:r>
      <w:r>
        <w:t xml:space="preserve"> </w:t>
      </w:r>
      <w:r>
        <w:rPr>
          <w:i/>
          <w:iCs/>
        </w:rPr>
        <w:t xml:space="preserve">et al.</w:t>
      </w:r>
      <w:r>
        <w:t xml:space="preserve"> </w:t>
      </w:r>
      <w:hyperlink r:id="rId84">
        <w:r>
          <w:rPr>
            <w:rStyle w:val="Hyperlink"/>
          </w:rPr>
          <w:t xml:space="preserve">Commentary: The materials project: A materials genome approach to accelerating materials innovation</w:t>
        </w:r>
      </w:hyperlink>
      <w:r>
        <w:t xml:space="preserve">.</w:t>
      </w:r>
      <w:r>
        <w:t xml:space="preserve"> </w:t>
      </w:r>
      <w:r>
        <w:rPr>
          <w:i/>
          <w:iCs/>
        </w:rPr>
        <w:t xml:space="preserve">APL Materials</w:t>
      </w:r>
      <w:r>
        <w:t xml:space="preserve"> </w:t>
      </w:r>
      <w:r>
        <w:rPr>
          <w:b/>
          <w:bCs/>
        </w:rPr>
        <w:t xml:space="preserve">1</w:t>
      </w:r>
      <w:r>
        <w:t xml:space="preserve">, 011002 (2013).</w:t>
      </w:r>
    </w:p>
    <w:bookmarkEnd w:id="85"/>
    <w:bookmarkStart w:id="87" w:name="ref-na2022public"/>
    <w:p>
      <w:pPr>
        <w:pStyle w:val="Bibliography"/>
      </w:pPr>
      <w:r>
        <w:t xml:space="preserve">24.</w:t>
      </w:r>
      <w:r>
        <w:t xml:space="preserve"> </w:t>
      </w:r>
      <w:r>
        <w:t xml:space="preserve">	</w:t>
      </w:r>
      <w:r>
        <w:t xml:space="preserve">Na, G. S. &amp; Chang, H.</w:t>
      </w:r>
      <w:r>
        <w:t xml:space="preserve"> </w:t>
      </w:r>
      <w:hyperlink r:id="rId86">
        <w:r>
          <w:rPr>
            <w:rStyle w:val="Hyperlink"/>
          </w:rPr>
          <w:t xml:space="preserve">A public database of thermoelectric materials and system-identified material representation for data-driven discovery</w:t>
        </w:r>
      </w:hyperlink>
      <w:r>
        <w:t xml:space="preserve">.</w:t>
      </w:r>
      <w:r>
        <w:t xml:space="preserve"> </w:t>
      </w:r>
      <w:r>
        <w:rPr>
          <w:i/>
          <w:iCs/>
        </w:rPr>
        <w:t xml:space="preserve">npj Computational Materials</w:t>
      </w:r>
      <w:r>
        <w:t xml:space="preserve"> </w:t>
      </w:r>
      <w:r>
        <w:rPr>
          <w:b/>
          <w:bCs/>
        </w:rPr>
        <w:t xml:space="preserve">8</w:t>
      </w:r>
      <w:r>
        <w:t xml:space="preserve">, (2022).</w:t>
      </w:r>
    </w:p>
    <w:bookmarkEnd w:id="87"/>
    <w:bookmarkStart w:id="89" w:name="ref-choudhary2020joint"/>
    <w:p>
      <w:pPr>
        <w:pStyle w:val="Bibliography"/>
      </w:pPr>
      <w:r>
        <w:t xml:space="preserve">25.</w:t>
      </w:r>
      <w:r>
        <w:t xml:space="preserve"> </w:t>
      </w:r>
      <w:r>
        <w:t xml:space="preserve">	</w:t>
      </w:r>
      <w:r>
        <w:t xml:space="preserve">Choudhary, K.</w:t>
      </w:r>
      <w:r>
        <w:t xml:space="preserve"> </w:t>
      </w:r>
      <w:r>
        <w:rPr>
          <w:i/>
          <w:iCs/>
        </w:rPr>
        <w:t xml:space="preserve">et al.</w:t>
      </w:r>
      <w:r>
        <w:t xml:space="preserve"> </w:t>
      </w:r>
      <w:hyperlink r:id="rId88">
        <w:r>
          <w:rPr>
            <w:rStyle w:val="Hyperlink"/>
          </w:rPr>
          <w:t xml:space="preserve">The joint automated repository for various integrated simulations (JARVIS) for data-driven materials design</w:t>
        </w:r>
      </w:hyperlink>
      <w:r>
        <w:t xml:space="preserve">.</w:t>
      </w:r>
      <w:r>
        <w:t xml:space="preserve"> </w:t>
      </w:r>
      <w:r>
        <w:rPr>
          <w:i/>
          <w:iCs/>
        </w:rPr>
        <w:t xml:space="preserve">npj Computational Materials</w:t>
      </w:r>
      <w:r>
        <w:t xml:space="preserve"> </w:t>
      </w:r>
      <w:r>
        <w:rPr>
          <w:b/>
          <w:bCs/>
        </w:rPr>
        <w:t xml:space="preserve">6</w:t>
      </w:r>
      <w:r>
        <w:t xml:space="preserve">, 173 (2020).</w:t>
      </w:r>
    </w:p>
    <w:bookmarkEnd w:id="89"/>
    <w:bookmarkStart w:id="91" w:name="ref-xie2018crystal"/>
    <w:p>
      <w:pPr>
        <w:pStyle w:val="Bibliography"/>
      </w:pPr>
      <w:r>
        <w:t xml:space="preserve">26.</w:t>
      </w:r>
      <w:r>
        <w:t xml:space="preserve"> </w:t>
      </w:r>
      <w:r>
        <w:t xml:space="preserve">	</w:t>
      </w:r>
      <w:r>
        <w:t xml:space="preserve">Xie, T. &amp; Grossman, J. C.</w:t>
      </w:r>
      <w:r>
        <w:t xml:space="preserve"> </w:t>
      </w:r>
      <w:hyperlink r:id="rId90">
        <w:r>
          <w:rPr>
            <w:rStyle w:val="Hyperlink"/>
          </w:rPr>
          <w:t xml:space="preserve">Crystal graph convolutional neural networks for an accurate and interpretable prediction of material properties</w:t>
        </w:r>
      </w:hyperlink>
      <w:r>
        <w:t xml:space="preserve">.</w:t>
      </w:r>
      <w:r>
        <w:t xml:space="preserve"> </w:t>
      </w:r>
      <w:r>
        <w:rPr>
          <w:i/>
          <w:iCs/>
        </w:rPr>
        <w:t xml:space="preserve">Physical Review Letters</w:t>
      </w:r>
      <w:r>
        <w:t xml:space="preserve"> </w:t>
      </w:r>
      <w:r>
        <w:rPr>
          <w:b/>
          <w:bCs/>
        </w:rPr>
        <w:t xml:space="preserve">120</w:t>
      </w:r>
      <w:r>
        <w:t xml:space="preserve">, 145301 (2018).</w:t>
      </w:r>
    </w:p>
    <w:bookmarkEnd w:id="91"/>
    <w:bookmarkStart w:id="93" w:name="ref-parse2024predicting"/>
    <w:p>
      <w:pPr>
        <w:pStyle w:val="Bibliography"/>
      </w:pPr>
      <w:r>
        <w:t xml:space="preserve">27.</w:t>
      </w:r>
      <w:r>
        <w:t xml:space="preserve"> </w:t>
      </w:r>
      <w:r>
        <w:t xml:space="preserve">	</w:t>
      </w:r>
      <w:r>
        <w:t xml:space="preserve">Parse, N.</w:t>
      </w:r>
      <w:r>
        <w:t xml:space="preserve"> </w:t>
      </w:r>
      <w:r>
        <w:rPr>
          <w:i/>
          <w:iCs/>
        </w:rPr>
        <w:t xml:space="preserve">et al.</w:t>
      </w:r>
      <w:r>
        <w:t xml:space="preserve"> </w:t>
      </w:r>
      <w:hyperlink r:id="rId92">
        <w:r>
          <w:rPr>
            <w:rStyle w:val="Hyperlink"/>
          </w:rPr>
          <w:t xml:space="preserve">Predicting high-performance thermoelectric materials with</w:t>
        </w:r>
        <w:r>
          <w:rPr>
            <w:rStyle w:val="Hyperlink"/>
          </w:rPr>
          <w:t xml:space="preserve"> </w:t>
        </w:r>
        <w:r>
          <w:rPr>
            <w:rStyle w:val="Hyperlink"/>
          </w:rPr>
          <w:t xml:space="preserve">StarryData2</w:t>
        </w:r>
      </w:hyperlink>
      <w:r>
        <w:t xml:space="preserve">.</w:t>
      </w:r>
      <w:r>
        <w:t xml:space="preserve"> </w:t>
      </w:r>
      <w:r>
        <w:rPr>
          <w:i/>
          <w:iCs/>
        </w:rPr>
        <w:t xml:space="preserve">Advanced Theory and Simulations</w:t>
      </w:r>
      <w:r>
        <w:t xml:space="preserve"> </w:t>
      </w:r>
      <w:r>
        <w:rPr>
          <w:b/>
          <w:bCs/>
        </w:rPr>
        <w:t xml:space="preserve">7</w:t>
      </w:r>
      <w:r>
        <w:t xml:space="preserve">, (2024).</w:t>
      </w:r>
    </w:p>
    <w:bookmarkEnd w:id="93"/>
    <w:bookmarkStart w:id="95" w:name="ref-jia2024dealing"/>
    <w:p>
      <w:pPr>
        <w:pStyle w:val="Bibliography"/>
      </w:pPr>
      <w:r>
        <w:t xml:space="preserve">28.</w:t>
      </w:r>
      <w:r>
        <w:t xml:space="preserve"> </w:t>
      </w:r>
      <w:r>
        <w:t xml:space="preserve">	</w:t>
      </w:r>
      <w:r>
        <w:t xml:space="preserve">Jia, X., Aziz, A., Hashimoto, Y. &amp; Li, H.</w:t>
      </w:r>
      <w:r>
        <w:t xml:space="preserve"> </w:t>
      </w:r>
      <w:hyperlink r:id="rId94">
        <w:r>
          <w:rPr>
            <w:rStyle w:val="Hyperlink"/>
          </w:rPr>
          <w:t xml:space="preserve">Dealing with the big data challenges in AI for thermoelectric materials</w:t>
        </w:r>
      </w:hyperlink>
      <w:r>
        <w:t xml:space="preserve">.</w:t>
      </w:r>
      <w:r>
        <w:t xml:space="preserve"> </w:t>
      </w:r>
      <w:r>
        <w:rPr>
          <w:i/>
          <w:iCs/>
        </w:rPr>
        <w:t xml:space="preserve">Science China Materials</w:t>
      </w:r>
      <w:r>
        <w:t xml:space="preserve"> </w:t>
      </w:r>
      <w:r>
        <w:rPr>
          <w:b/>
          <w:bCs/>
        </w:rPr>
        <w:t xml:space="preserve">67</w:t>
      </w:r>
      <w:r>
        <w:t xml:space="preserve">, 1173–1182 (2024).</w:t>
      </w:r>
    </w:p>
    <w:bookmarkEnd w:id="95"/>
    <w:bookmarkStart w:id="97" w:name="ref-sun2025rationally"/>
    <w:p>
      <w:pPr>
        <w:pStyle w:val="Bibliography"/>
      </w:pPr>
      <w:r>
        <w:t xml:space="preserve">29.</w:t>
      </w:r>
      <w:r>
        <w:t xml:space="preserve"> </w:t>
      </w:r>
      <w:r>
        <w:t xml:space="preserve">	</w:t>
      </w:r>
      <w:r>
        <w:t xml:space="preserve">Sun, Y., Chen, X., Gao, J., Zhu, W. &amp; Pan, M.</w:t>
      </w:r>
      <w:r>
        <w:t xml:space="preserve"> </w:t>
      </w:r>
      <w:hyperlink r:id="rId96">
        <w:r>
          <w:rPr>
            <w:rStyle w:val="Hyperlink"/>
          </w:rPr>
          <w:t xml:space="preserve">Rationally design thermoelectric materials based on ingenious machine learning methods</w:t>
        </w:r>
      </w:hyperlink>
      <w:r>
        <w:t xml:space="preserve">.</w:t>
      </w:r>
      <w:r>
        <w:t xml:space="preserve"> </w:t>
      </w:r>
      <w:r>
        <w:rPr>
          <w:i/>
          <w:iCs/>
        </w:rPr>
        <w:t xml:space="preserve">Advanced Electronic Materials</w:t>
      </w:r>
      <w:r>
        <w:t xml:space="preserve"> </w:t>
      </w:r>
      <w:r>
        <w:rPr>
          <w:b/>
          <w:bCs/>
        </w:rPr>
        <w:t xml:space="preserve">11</w:t>
      </w:r>
      <w:r>
        <w:t xml:space="preserve">, 2500210 (2025).</w:t>
      </w:r>
    </w:p>
    <w:bookmarkEnd w:id="97"/>
    <w:bookmarkStart w:id="99" w:name="ref-ma2025reexamining"/>
    <w:p>
      <w:pPr>
        <w:pStyle w:val="Bibliography"/>
      </w:pPr>
      <w:r>
        <w:t xml:space="preserve">30.</w:t>
      </w:r>
      <w:r>
        <w:t xml:space="preserve"> </w:t>
      </w:r>
      <w:r>
        <w:t xml:space="preserve">	</w:t>
      </w:r>
      <w:r>
        <w:t xml:space="preserve">Ma, C. T. &amp; Poon, S. J.</w:t>
      </w:r>
      <w:r>
        <w:t xml:space="preserve"> </w:t>
      </w:r>
      <w:hyperlink r:id="rId98">
        <w:r>
          <w:rPr>
            <w:rStyle w:val="Hyperlink"/>
          </w:rPr>
          <w:t xml:space="preserve">Reexamining machine learning models on predicting thermoelectric properties</w:t>
        </w:r>
      </w:hyperlink>
      <w:r>
        <w:t xml:space="preserve">. (2025).</w:t>
      </w:r>
    </w:p>
    <w:bookmarkEnd w:id="99"/>
    <w:bookmarkStart w:id="101" w:name="ref-barua2025thermoelectric"/>
    <w:p>
      <w:pPr>
        <w:pStyle w:val="Bibliography"/>
      </w:pPr>
      <w:r>
        <w:t xml:space="preserve">31.</w:t>
      </w:r>
      <w:r>
        <w:t xml:space="preserve"> </w:t>
      </w:r>
      <w:r>
        <w:t xml:space="preserve">	</w:t>
      </w:r>
      <w:r>
        <w:t xml:space="preserve">Barua, N. K., Lee, S., Oliynyk, A. O. &amp; Kleinke, H.</w:t>
      </w:r>
      <w:r>
        <w:t xml:space="preserve"> </w:t>
      </w:r>
      <w:hyperlink r:id="rId100">
        <w:r>
          <w:rPr>
            <w:rStyle w:val="Hyperlink"/>
          </w:rPr>
          <w:t xml:space="preserve">Thermoelectric material performance (</w:t>
        </w:r>
        <w:r>
          <w:rPr>
            <w:rStyle w:val="Hyperlink"/>
            <w:i/>
            <w:iCs/>
          </w:rPr>
          <w:t xml:space="preserve">zT</w:t>
        </w:r>
        <w:r>
          <w:rPr>
            <w:rStyle w:val="Hyperlink"/>
          </w:rPr>
          <w:t xml:space="preserve">) predictions with machine learning</w:t>
        </w:r>
      </w:hyperlink>
      <w:r>
        <w:t xml:space="preserve">.</w:t>
      </w:r>
      <w:r>
        <w:t xml:space="preserve"> </w:t>
      </w:r>
      <w:r>
        <w:rPr>
          <w:i/>
          <w:iCs/>
        </w:rPr>
        <w:t xml:space="preserve">ACS Applied Materials &amp; Interfaces</w:t>
      </w:r>
      <w:r>
        <w:t xml:space="preserve"> </w:t>
      </w:r>
      <w:r>
        <w:rPr>
          <w:b/>
          <w:bCs/>
        </w:rPr>
        <w:t xml:space="preserve">17</w:t>
      </w:r>
      <w:r>
        <w:t xml:space="preserve">, 1662–1673 (2025).</w:t>
      </w:r>
    </w:p>
    <w:bookmarkEnd w:id="101"/>
    <w:bookmarkStart w:id="103" w:name="ref-wang2025highperformance"/>
    <w:p>
      <w:pPr>
        <w:pStyle w:val="Bibliography"/>
      </w:pPr>
      <w:r>
        <w:t xml:space="preserve">32.</w:t>
      </w:r>
      <w:r>
        <w:t xml:space="preserve"> </w:t>
      </w:r>
      <w:r>
        <w:t xml:space="preserve">	</w:t>
      </w:r>
      <w:r>
        <w:t xml:space="preserve">Wang, Y.</w:t>
      </w:r>
      <w:r>
        <w:t xml:space="preserve"> </w:t>
      </w:r>
      <w:r>
        <w:rPr>
          <w:i/>
          <w:iCs/>
        </w:rPr>
        <w:t xml:space="preserve">et al.</w:t>
      </w:r>
      <w:r>
        <w:t xml:space="preserve"> </w:t>
      </w:r>
      <w:hyperlink r:id="rId102">
        <w:r>
          <w:rPr>
            <w:rStyle w:val="Hyperlink"/>
          </w:rPr>
          <w:t xml:space="preserve">High-performance stacking ensemble learning for thermoelectric figure-of-merit prediction</w:t>
        </w:r>
      </w:hyperlink>
      <w:r>
        <w:t xml:space="preserve">.</w:t>
      </w:r>
      <w:r>
        <w:t xml:space="preserve"> </w:t>
      </w:r>
      <w:r>
        <w:rPr>
          <w:i/>
          <w:iCs/>
        </w:rPr>
        <w:t xml:space="preserve">Materials &amp; Design</w:t>
      </w:r>
      <w:r>
        <w:t xml:space="preserve"> </w:t>
      </w:r>
      <w:r>
        <w:rPr>
          <w:b/>
          <w:bCs/>
        </w:rPr>
        <w:t xml:space="preserve">249</w:t>
      </w:r>
      <w:r>
        <w:t xml:space="preserve">, 113552 (2025).</w:t>
      </w:r>
    </w:p>
    <w:bookmarkEnd w:id="103"/>
    <w:bookmarkStart w:id="105" w:name="ref-elavunkel2025unlocking"/>
    <w:p>
      <w:pPr>
        <w:pStyle w:val="Bibliography"/>
      </w:pPr>
      <w:r>
        <w:t xml:space="preserve">33.</w:t>
      </w:r>
      <w:r>
        <w:t xml:space="preserve"> </w:t>
      </w:r>
      <w:r>
        <w:t xml:space="preserve">	</w:t>
      </w:r>
      <w:r>
        <w:t xml:space="preserve">Elavunkel, V. K. &amp; Padhan, P.</w:t>
      </w:r>
      <w:r>
        <w:t xml:space="preserve"> </w:t>
      </w:r>
      <w:hyperlink r:id="rId104">
        <w:r>
          <w:rPr>
            <w:rStyle w:val="Hyperlink"/>
          </w:rPr>
          <w:t xml:space="preserve">Unlocking thermoelectric potential: A machine learning stacking approach for half-heusler alloys</w:t>
        </w:r>
      </w:hyperlink>
      <w:r>
        <w:t xml:space="preserve">.</w:t>
      </w:r>
      <w:r>
        <w:t xml:space="preserve"> </w:t>
      </w:r>
      <w:r>
        <w:rPr>
          <w:i/>
          <w:iCs/>
        </w:rPr>
        <w:t xml:space="preserve">ACS Applied Energy Materials</w:t>
      </w:r>
      <w:r>
        <w:t xml:space="preserve"> </w:t>
      </w:r>
      <w:r>
        <w:rPr>
          <w:b/>
          <w:bCs/>
        </w:rPr>
        <w:t xml:space="preserve">8</w:t>
      </w:r>
      <w:r>
        <w:t xml:space="preserve">, 15241–15257 (2025).</w:t>
      </w:r>
    </w:p>
    <w:bookmarkEnd w:id="105"/>
    <w:bookmarkStart w:id="107" w:name="ref-ward2016general"/>
    <w:p>
      <w:pPr>
        <w:pStyle w:val="Bibliography"/>
      </w:pPr>
      <w:r>
        <w:t xml:space="preserve">34.</w:t>
      </w:r>
      <w:r>
        <w:t xml:space="preserve"> </w:t>
      </w:r>
      <w:r>
        <w:t xml:space="preserve">	</w:t>
      </w:r>
      <w:r>
        <w:t xml:space="preserve">Ward, L., Agrawal, A., Choudhary, A. &amp; Wolverton, C.</w:t>
      </w:r>
      <w:r>
        <w:t xml:space="preserve"> </w:t>
      </w:r>
      <w:hyperlink r:id="rId106">
        <w:r>
          <w:rPr>
            <w:rStyle w:val="Hyperlink"/>
          </w:rPr>
          <w:t xml:space="preserve">A general-purpose machine learning framework for predicting properties of inorganic materials</w:t>
        </w:r>
      </w:hyperlink>
      <w:r>
        <w:t xml:space="preserve">.</w:t>
      </w:r>
      <w:r>
        <w:t xml:space="preserve"> </w:t>
      </w:r>
      <w:r>
        <w:rPr>
          <w:i/>
          <w:iCs/>
        </w:rPr>
        <w:t xml:space="preserve">npj Computational Materials</w:t>
      </w:r>
      <w:r>
        <w:t xml:space="preserve"> </w:t>
      </w:r>
      <w:r>
        <w:rPr>
          <w:b/>
          <w:bCs/>
        </w:rPr>
        <w:t xml:space="preserve">2</w:t>
      </w:r>
      <w:r>
        <w:t xml:space="preserve">, (2016).</w:t>
      </w:r>
    </w:p>
    <w:bookmarkEnd w:id="107"/>
    <w:bookmarkStart w:id="109" w:name="ref-oliynyk2016highthroughput"/>
    <w:p>
      <w:pPr>
        <w:pStyle w:val="Bibliography"/>
      </w:pPr>
      <w:r>
        <w:t xml:space="preserve">35.</w:t>
      </w:r>
      <w:r>
        <w:t xml:space="preserve"> </w:t>
      </w:r>
      <w:r>
        <w:t xml:space="preserve">	</w:t>
      </w:r>
      <w:r>
        <w:t xml:space="preserve">Oliynyk, A. O.</w:t>
      </w:r>
      <w:r>
        <w:t xml:space="preserve"> </w:t>
      </w:r>
      <w:r>
        <w:rPr>
          <w:i/>
          <w:iCs/>
        </w:rPr>
        <w:t xml:space="preserve">et al.</w:t>
      </w:r>
      <w:r>
        <w:t xml:space="preserve"> </w:t>
      </w:r>
      <w:hyperlink r:id="rId108">
        <w:r>
          <w:rPr>
            <w:rStyle w:val="Hyperlink"/>
          </w:rPr>
          <w:t xml:space="preserve">High-throughput machine-learning-driven synthesis of full-</w:t>
        </w:r>
        <w:r>
          <w:rPr>
            <w:rStyle w:val="Hyperlink"/>
          </w:rPr>
          <w:t xml:space="preserve">Heusler</w:t>
        </w:r>
        <w:r>
          <w:rPr>
            <w:rStyle w:val="Hyperlink"/>
          </w:rPr>
          <w:t xml:space="preserve"> </w:t>
        </w:r>
        <w:r>
          <w:rPr>
            <w:rStyle w:val="Hyperlink"/>
          </w:rPr>
          <w:t xml:space="preserve">compounds</w:t>
        </w:r>
      </w:hyperlink>
      <w:r>
        <w:t xml:space="preserve">.</w:t>
      </w:r>
      <w:r>
        <w:t xml:space="preserve"> </w:t>
      </w:r>
      <w:r>
        <w:rPr>
          <w:i/>
          <w:iCs/>
        </w:rPr>
        <w:t xml:space="preserve">Chemistry of Materials</w:t>
      </w:r>
      <w:r>
        <w:t xml:space="preserve"> </w:t>
      </w:r>
      <w:r>
        <w:rPr>
          <w:b/>
          <w:bCs/>
        </w:rPr>
        <w:t xml:space="preserve">28</w:t>
      </w:r>
      <w:r>
        <w:t xml:space="preserve">, 7324–7331 (2016).</w:t>
      </w:r>
    </w:p>
    <w:bookmarkEnd w:id="109"/>
    <w:bookmarkStart w:id="111" w:name="ref-tamura1983isotope"/>
    <w:p>
      <w:pPr>
        <w:pStyle w:val="Bibliography"/>
      </w:pPr>
      <w:r>
        <w:t xml:space="preserve">36.</w:t>
      </w:r>
      <w:r>
        <w:t xml:space="preserve"> </w:t>
      </w:r>
      <w:r>
        <w:t xml:space="preserve">	</w:t>
      </w:r>
      <w:r>
        <w:t xml:space="preserve">Tamura, S.</w:t>
      </w:r>
      <w:r>
        <w:t xml:space="preserve"> </w:t>
      </w:r>
      <w:hyperlink r:id="rId110">
        <w:r>
          <w:rPr>
            <w:rStyle w:val="Hyperlink"/>
          </w:rPr>
          <w:t xml:space="preserve">Isotope scattering of dispersive phonons in ge</w:t>
        </w:r>
      </w:hyperlink>
      <w:r>
        <w:t xml:space="preserve">.</w:t>
      </w:r>
      <w:r>
        <w:t xml:space="preserve"> </w:t>
      </w:r>
      <w:r>
        <w:rPr>
          <w:i/>
          <w:iCs/>
        </w:rPr>
        <w:t xml:space="preserve">Physical Review B</w:t>
      </w:r>
      <w:r>
        <w:t xml:space="preserve"> </w:t>
      </w:r>
      <w:r>
        <w:rPr>
          <w:b/>
          <w:bCs/>
        </w:rPr>
        <w:t xml:space="preserve">27</w:t>
      </w:r>
      <w:r>
        <w:t xml:space="preserve">, 858–866 (1983).</w:t>
      </w:r>
    </w:p>
    <w:bookmarkEnd w:id="111"/>
    <w:bookmarkStart w:id="113" w:name="ref-hastie2009elements"/>
    <w:p>
      <w:pPr>
        <w:pStyle w:val="Bibliography"/>
      </w:pPr>
      <w:r>
        <w:t xml:space="preserve">37.</w:t>
      </w:r>
      <w:r>
        <w:t xml:space="preserve"> </w:t>
      </w:r>
      <w:r>
        <w:t xml:space="preserve">	</w:t>
      </w:r>
      <w:r>
        <w:t xml:space="preserve">Hastie, T., Tibshirani, R. &amp; Friedman, J.</w:t>
      </w:r>
      <w:r>
        <w:t xml:space="preserve"> </w:t>
      </w:r>
      <w:r>
        <w:rPr>
          <w:i/>
          <w:iCs/>
        </w:rPr>
        <w:t xml:space="preserve">The Elements of Statistical Learning</w:t>
      </w:r>
      <w:r>
        <w:t xml:space="preserve">. (Springer New York, 2009). doi:</w:t>
      </w:r>
      <w:hyperlink r:id="rId112">
        <w:r>
          <w:rPr>
            <w:rStyle w:val="Hyperlink"/>
          </w:rPr>
          <w:t xml:space="preserve">10.1007/978-0-387-84858-7</w:t>
        </w:r>
      </w:hyperlink>
      <w:r>
        <w:t xml:space="preserve">.</w:t>
      </w:r>
    </w:p>
    <w:bookmarkEnd w:id="113"/>
    <w:bookmarkStart w:id="115" w:name="ref-kapoor2023leakage"/>
    <w:p>
      <w:pPr>
        <w:pStyle w:val="Bibliography"/>
      </w:pPr>
      <w:r>
        <w:t xml:space="preserve">38.</w:t>
      </w:r>
      <w:r>
        <w:t xml:space="preserve"> </w:t>
      </w:r>
      <w:r>
        <w:t xml:space="preserve">	</w:t>
      </w:r>
      <w:r>
        <w:t xml:space="preserve">Kapoor, S. &amp; Narayanan, A.</w:t>
      </w:r>
      <w:r>
        <w:t xml:space="preserve"> </w:t>
      </w:r>
      <w:hyperlink r:id="rId114">
        <w:r>
          <w:rPr>
            <w:rStyle w:val="Hyperlink"/>
          </w:rPr>
          <w:t xml:space="preserve">Leakage and the reproducibility crisis in machine-learning-based science</w:t>
        </w:r>
      </w:hyperlink>
      <w:r>
        <w:t xml:space="preserve">.</w:t>
      </w:r>
      <w:r>
        <w:t xml:space="preserve"> </w:t>
      </w:r>
      <w:r>
        <w:rPr>
          <w:i/>
          <w:iCs/>
        </w:rPr>
        <w:t xml:space="preserve">Patterns</w:t>
      </w:r>
      <w:r>
        <w:t xml:space="preserve"> </w:t>
      </w:r>
      <w:r>
        <w:rPr>
          <w:b/>
          <w:bCs/>
        </w:rPr>
        <w:t xml:space="preserve">4</w:t>
      </w:r>
      <w:r>
        <w:t xml:space="preserve">, 100804 (2023).</w:t>
      </w:r>
    </w:p>
    <w:bookmarkEnd w:id="115"/>
    <w:bookmarkStart w:id="117" w:name="ref-roberts2017cross"/>
    <w:p>
      <w:pPr>
        <w:pStyle w:val="Bibliography"/>
      </w:pPr>
      <w:r>
        <w:t xml:space="preserve">39.</w:t>
      </w:r>
      <w:r>
        <w:t xml:space="preserve"> </w:t>
      </w:r>
      <w:r>
        <w:t xml:space="preserve">	</w:t>
      </w:r>
      <w:r>
        <w:t xml:space="preserve">Roberts, D. R.</w:t>
      </w:r>
      <w:r>
        <w:t xml:space="preserve"> </w:t>
      </w:r>
      <w:r>
        <w:rPr>
          <w:i/>
          <w:iCs/>
        </w:rPr>
        <w:t xml:space="preserve">et al.</w:t>
      </w:r>
      <w:r>
        <w:t xml:space="preserve"> </w:t>
      </w:r>
      <w:hyperlink r:id="rId116">
        <w:r>
          <w:rPr>
            <w:rStyle w:val="Hyperlink"/>
          </w:rPr>
          <w:t xml:space="preserve">Cross‐validation strategies for data with temporal, spatial, hierarchical, or phylogenetic structure</w:t>
        </w:r>
      </w:hyperlink>
      <w:r>
        <w:t xml:space="preserve">.</w:t>
      </w:r>
      <w:r>
        <w:t xml:space="preserve"> </w:t>
      </w:r>
      <w:r>
        <w:rPr>
          <w:i/>
          <w:iCs/>
        </w:rPr>
        <w:t xml:space="preserve">Ecography</w:t>
      </w:r>
      <w:r>
        <w:t xml:space="preserve"> </w:t>
      </w:r>
      <w:r>
        <w:rPr>
          <w:b/>
          <w:bCs/>
        </w:rPr>
        <w:t xml:space="preserve">40</w:t>
      </w:r>
      <w:r>
        <w:t xml:space="preserve">, 913–929 (2017).</w:t>
      </w:r>
    </w:p>
    <w:bookmarkEnd w:id="117"/>
    <w:bookmarkStart w:id="119" w:name="ref-meredig2018machine"/>
    <w:p>
      <w:pPr>
        <w:pStyle w:val="Bibliography"/>
      </w:pPr>
      <w:r>
        <w:t xml:space="preserve">40.</w:t>
      </w:r>
      <w:r>
        <w:t xml:space="preserve"> </w:t>
      </w:r>
      <w:r>
        <w:t xml:space="preserve">	</w:t>
      </w:r>
      <w:r>
        <w:t xml:space="preserve">Meredig, B.</w:t>
      </w:r>
      <w:r>
        <w:t xml:space="preserve"> </w:t>
      </w:r>
      <w:r>
        <w:rPr>
          <w:i/>
          <w:iCs/>
        </w:rPr>
        <w:t xml:space="preserve">et al.</w:t>
      </w:r>
      <w:r>
        <w:t xml:space="preserve"> </w:t>
      </w:r>
      <w:hyperlink r:id="rId118">
        <w:r>
          <w:rPr>
            <w:rStyle w:val="Hyperlink"/>
          </w:rPr>
          <w:t xml:space="preserve">Can machine learning identify the next high-temperature superconductor? Examining extrapolation performance for materials discovery</w:t>
        </w:r>
      </w:hyperlink>
      <w:r>
        <w:t xml:space="preserve">.</w:t>
      </w:r>
      <w:r>
        <w:t xml:space="preserve"> </w:t>
      </w:r>
      <w:r>
        <w:rPr>
          <w:i/>
          <w:iCs/>
        </w:rPr>
        <w:t xml:space="preserve">Molecular Systems Design &amp; Engineering</w:t>
      </w:r>
      <w:r>
        <w:t xml:space="preserve"> </w:t>
      </w:r>
      <w:r>
        <w:rPr>
          <w:b/>
          <w:bCs/>
        </w:rPr>
        <w:t xml:space="preserve">3</w:t>
      </w:r>
      <w:r>
        <w:t xml:space="preserve">, 819–825 (2018).</w:t>
      </w:r>
    </w:p>
    <w:bookmarkEnd w:id="119"/>
    <w:bookmarkStart w:id="121" w:name="ref-xiong2020evaluating"/>
    <w:p>
      <w:pPr>
        <w:pStyle w:val="Bibliography"/>
      </w:pPr>
      <w:r>
        <w:t xml:space="preserve">41.</w:t>
      </w:r>
      <w:r>
        <w:t xml:space="preserve"> </w:t>
      </w:r>
      <w:r>
        <w:t xml:space="preserve">	</w:t>
      </w:r>
      <w:r>
        <w:t xml:space="preserve">Xiong, Z.</w:t>
      </w:r>
      <w:r>
        <w:t xml:space="preserve"> </w:t>
      </w:r>
      <w:r>
        <w:rPr>
          <w:i/>
          <w:iCs/>
        </w:rPr>
        <w:t xml:space="preserve">et al.</w:t>
      </w:r>
      <w:r>
        <w:t xml:space="preserve"> </w:t>
      </w:r>
      <w:hyperlink r:id="rId120">
        <w:r>
          <w:rPr>
            <w:rStyle w:val="Hyperlink"/>
          </w:rPr>
          <w:t xml:space="preserve">Evaluating explorative prediction power of machine learning algorithms for materials discovery using k -fold forward cross-validation</w:t>
        </w:r>
      </w:hyperlink>
      <w:r>
        <w:t xml:space="preserve">.</w:t>
      </w:r>
      <w:r>
        <w:t xml:space="preserve"> </w:t>
      </w:r>
      <w:r>
        <w:rPr>
          <w:i/>
          <w:iCs/>
        </w:rPr>
        <w:t xml:space="preserve">Computational Materials Science</w:t>
      </w:r>
      <w:r>
        <w:t xml:space="preserve"> </w:t>
      </w:r>
      <w:r>
        <w:rPr>
          <w:b/>
          <w:bCs/>
        </w:rPr>
        <w:t xml:space="preserve">171</w:t>
      </w:r>
      <w:r>
        <w:t xml:space="preserve">, 109203 (2020).</w:t>
      </w:r>
    </w:p>
    <w:bookmarkEnd w:id="121"/>
    <w:bookmarkStart w:id="123" w:name="ref-li2023critical"/>
    <w:p>
      <w:pPr>
        <w:pStyle w:val="Bibliography"/>
      </w:pPr>
      <w:r>
        <w:t xml:space="preserve">42.</w:t>
      </w:r>
      <w:r>
        <w:t xml:space="preserve"> </w:t>
      </w:r>
      <w:r>
        <w:t xml:space="preserve">	</w:t>
      </w:r>
      <w:r>
        <w:t xml:space="preserve">Li, K., DeCost, B., Choudhary, K., Greenwood, M. &amp; Hattrick-Simpers, J.</w:t>
      </w:r>
      <w:r>
        <w:t xml:space="preserve"> </w:t>
      </w:r>
      <w:hyperlink r:id="rId122">
        <w:r>
          <w:rPr>
            <w:rStyle w:val="Hyperlink"/>
          </w:rPr>
          <w:t xml:space="preserve">A critical examination of robustness and generalizability of machine learning prediction of materials properties</w:t>
        </w:r>
      </w:hyperlink>
      <w:r>
        <w:t xml:space="preserve">.</w:t>
      </w:r>
      <w:r>
        <w:t xml:space="preserve"> </w:t>
      </w:r>
      <w:r>
        <w:rPr>
          <w:i/>
          <w:iCs/>
        </w:rPr>
        <w:t xml:space="preserve">npj Computational Materials</w:t>
      </w:r>
      <w:r>
        <w:t xml:space="preserve"> </w:t>
      </w:r>
      <w:r>
        <w:rPr>
          <w:b/>
          <w:bCs/>
        </w:rPr>
        <w:t xml:space="preserve">9</w:t>
      </w:r>
      <w:r>
        <w:t xml:space="preserve">, 55 (2023).</w:t>
      </w:r>
    </w:p>
    <w:bookmarkEnd w:id="123"/>
    <w:bookmarkStart w:id="125" w:name="ref-lundberg2017unified"/>
    <w:p>
      <w:pPr>
        <w:pStyle w:val="Bibliography"/>
      </w:pPr>
      <w:r>
        <w:t xml:space="preserve">43.</w:t>
      </w:r>
      <w:r>
        <w:t xml:space="preserve"> </w:t>
      </w:r>
      <w:r>
        <w:t xml:space="preserve">	</w:t>
      </w:r>
      <w:r>
        <w:t xml:space="preserve">Lundberg, S. M. &amp; Lee, S.-I. A unified approach to interpreting model predictions. in</w:t>
      </w:r>
      <w:r>
        <w:t xml:space="preserve"> </w:t>
      </w:r>
      <w:r>
        <w:rPr>
          <w:i/>
          <w:iCs/>
        </w:rPr>
        <w:t xml:space="preserve">Advances in neural information processing systems 30 (</w:t>
      </w:r>
      <w:r>
        <w:rPr>
          <w:i/>
          <w:iCs/>
        </w:rPr>
        <w:t xml:space="preserve">NIPS</w:t>
      </w:r>
      <w:r>
        <w:rPr>
          <w:i/>
          <w:iCs/>
        </w:rPr>
        <w:t xml:space="preserve"> </w:t>
      </w:r>
      <w:r>
        <w:rPr>
          <w:i/>
          <w:iCs/>
        </w:rPr>
        <w:t xml:space="preserve">2017)</w:t>
      </w:r>
      <w:r>
        <w:t xml:space="preserve"> </w:t>
      </w:r>
      <w:r>
        <w:t xml:space="preserve">4765–4774 (2017). doi:</w:t>
      </w:r>
      <w:hyperlink r:id="rId124">
        <w:r>
          <w:rPr>
            <w:rStyle w:val="Hyperlink"/>
          </w:rPr>
          <w:t xml:space="preserve">10.48550/arXiv.1705.07874</w:t>
        </w:r>
      </w:hyperlink>
      <w:r>
        <w:t xml:space="preserve">.</w:t>
      </w:r>
    </w:p>
    <w:bookmarkEnd w:id="125"/>
    <w:bookmarkStart w:id="127" w:name="ref-ribeiro2016why"/>
    <w:p>
      <w:pPr>
        <w:pStyle w:val="Bibliography"/>
      </w:pPr>
      <w:r>
        <w:t xml:space="preserve">44.</w:t>
      </w:r>
      <w:r>
        <w:t xml:space="preserve"> </w:t>
      </w:r>
      <w:r>
        <w:t xml:space="preserve">	</w:t>
      </w:r>
      <w:r>
        <w:t xml:space="preserve">Ribeiro, M. T., Singh, S. &amp; Guestrin, C. "Why should i trust you?". in</w:t>
      </w:r>
      <w:r>
        <w:t xml:space="preserve"> </w:t>
      </w:r>
      <w:r>
        <w:rPr>
          <w:i/>
          <w:iCs/>
        </w:rPr>
        <w:t xml:space="preserve">Proceedings of the 22nd ACM SIGKDD international conference on knowledge discovery and data mining</w:t>
      </w:r>
      <w:r>
        <w:t xml:space="preserve"> </w:t>
      </w:r>
      <w:r>
        <w:t xml:space="preserve">1135–1144 (ACM, 2016). doi:</w:t>
      </w:r>
      <w:hyperlink r:id="rId126">
        <w:r>
          <w:rPr>
            <w:rStyle w:val="Hyperlink"/>
          </w:rPr>
          <w:t xml:space="preserve">10.1145/2939672.2939778</w:t>
        </w:r>
      </w:hyperlink>
      <w:r>
        <w:t xml:space="preserve">.</w:t>
      </w:r>
    </w:p>
    <w:bookmarkEnd w:id="127"/>
    <w:bookmarkStart w:id="129" w:name="ref-cahill1992lower"/>
    <w:p>
      <w:pPr>
        <w:pStyle w:val="Bibliography"/>
      </w:pPr>
      <w:r>
        <w:t xml:space="preserve">45.</w:t>
      </w:r>
      <w:r>
        <w:t xml:space="preserve"> </w:t>
      </w:r>
      <w:r>
        <w:t xml:space="preserve">	</w:t>
      </w:r>
      <w:r>
        <w:t xml:space="preserve">Cahill, D. G., Watson, S. K. &amp; Pohl, R. O.</w:t>
      </w:r>
      <w:r>
        <w:t xml:space="preserve"> </w:t>
      </w:r>
      <w:hyperlink r:id="rId128">
        <w:r>
          <w:rPr>
            <w:rStyle w:val="Hyperlink"/>
          </w:rPr>
          <w:t xml:space="preserve">Lower limit to the thermal conductivity of disordered crystals</w:t>
        </w:r>
      </w:hyperlink>
      <w:r>
        <w:t xml:space="preserve">.</w:t>
      </w:r>
      <w:r>
        <w:t xml:space="preserve"> </w:t>
      </w:r>
      <w:r>
        <w:rPr>
          <w:i/>
          <w:iCs/>
        </w:rPr>
        <w:t xml:space="preserve">Physical Review B</w:t>
      </w:r>
      <w:r>
        <w:t xml:space="preserve"> </w:t>
      </w:r>
      <w:r>
        <w:rPr>
          <w:b/>
          <w:bCs/>
        </w:rPr>
        <w:t xml:space="preserve">46</w:t>
      </w:r>
      <w:r>
        <w:t xml:space="preserve">, 6131–6140 (1992).</w:t>
      </w:r>
    </w:p>
    <w:bookmarkEnd w:id="129"/>
    <w:bookmarkStart w:id="131" w:name="ref-ong2013python"/>
    <w:p>
      <w:pPr>
        <w:pStyle w:val="Bibliography"/>
      </w:pPr>
      <w:r>
        <w:t xml:space="preserve">46.</w:t>
      </w:r>
      <w:r>
        <w:t xml:space="preserve"> </w:t>
      </w:r>
      <w:r>
        <w:t xml:space="preserve">	</w:t>
      </w:r>
      <w:r>
        <w:t xml:space="preserve">Ong, S. P.</w:t>
      </w:r>
      <w:r>
        <w:t xml:space="preserve"> </w:t>
      </w:r>
      <w:r>
        <w:rPr>
          <w:i/>
          <w:iCs/>
        </w:rPr>
        <w:t xml:space="preserve">et al.</w:t>
      </w:r>
      <w:r>
        <w:t xml:space="preserve"> </w:t>
      </w:r>
      <w:hyperlink r:id="rId130">
        <w:r>
          <w:rPr>
            <w:rStyle w:val="Hyperlink"/>
          </w:rPr>
          <w:t xml:space="preserve">Python materials genomics (pymatgen): A robust, open-source python library for materials analysis</w:t>
        </w:r>
      </w:hyperlink>
      <w:r>
        <w:t xml:space="preserve">.</w:t>
      </w:r>
      <w:r>
        <w:t xml:space="preserve"> </w:t>
      </w:r>
      <w:r>
        <w:rPr>
          <w:i/>
          <w:iCs/>
        </w:rPr>
        <w:t xml:space="preserve">Computational Materials Science</w:t>
      </w:r>
      <w:r>
        <w:t xml:space="preserve"> </w:t>
      </w:r>
      <w:r>
        <w:rPr>
          <w:b/>
          <w:bCs/>
        </w:rPr>
        <w:t xml:space="preserve">68</w:t>
      </w:r>
      <w:r>
        <w:t xml:space="preserve">, 314–319 (2013).</w:t>
      </w:r>
    </w:p>
    <w:bookmarkEnd w:id="131"/>
    <w:bookmarkStart w:id="133" w:name="ref-leys2013detecting"/>
    <w:p>
      <w:pPr>
        <w:pStyle w:val="Bibliography"/>
      </w:pPr>
      <w:r>
        <w:t xml:space="preserve">47.</w:t>
      </w:r>
      <w:r>
        <w:t xml:space="preserve"> </w:t>
      </w:r>
      <w:r>
        <w:t xml:space="preserve">	</w:t>
      </w:r>
      <w:r>
        <w:t xml:space="preserve">Leys, C., Ley, C., Klein, O., Bernard, P. &amp; Licata, L.</w:t>
      </w:r>
      <w:r>
        <w:t xml:space="preserve"> </w:t>
      </w:r>
      <w:hyperlink r:id="rId132">
        <w:r>
          <w:rPr>
            <w:rStyle w:val="Hyperlink"/>
          </w:rPr>
          <w:t xml:space="preserve">Detecting outliers: Do not use standard deviation around the mean, use absolute deviation around the median</w:t>
        </w:r>
      </w:hyperlink>
      <w:r>
        <w:t xml:space="preserve">.</w:t>
      </w:r>
      <w:r>
        <w:t xml:space="preserve"> </w:t>
      </w:r>
      <w:r>
        <w:rPr>
          <w:i/>
          <w:iCs/>
        </w:rPr>
        <w:t xml:space="preserve">Journal of Experimental Social Psychology</w:t>
      </w:r>
      <w:r>
        <w:t xml:space="preserve"> </w:t>
      </w:r>
      <w:r>
        <w:rPr>
          <w:b/>
          <w:bCs/>
        </w:rPr>
        <w:t xml:space="preserve">49</w:t>
      </w:r>
      <w:r>
        <w:t xml:space="preserve">, 764–766 (2013).</w:t>
      </w:r>
    </w:p>
    <w:bookmarkEnd w:id="133"/>
    <w:bookmarkStart w:id="135" w:name="ref-rohatgiwebplotdigitizer"/>
    <w:p>
      <w:pPr>
        <w:pStyle w:val="Bibliography"/>
      </w:pPr>
      <w:r>
        <w:t xml:space="preserve">48.</w:t>
      </w:r>
      <w:r>
        <w:t xml:space="preserve"> </w:t>
      </w:r>
      <w:r>
        <w:t xml:space="preserve">	</w:t>
      </w:r>
      <w:r>
        <w:t xml:space="preserve">Rohatgi, A.</w:t>
      </w:r>
      <w:r>
        <w:t xml:space="preserve"> </w:t>
      </w:r>
      <w:hyperlink r:id="rId134">
        <w:r>
          <w:rPr>
            <w:rStyle w:val="Hyperlink"/>
          </w:rPr>
          <w:t xml:space="preserve">WebPlotDigitizer</w:t>
        </w:r>
      </w:hyperlink>
      <w:r>
        <w:t xml:space="preserve">. (2026).</w:t>
      </w:r>
    </w:p>
    <w:bookmarkEnd w:id="135"/>
    <w:bookmarkStart w:id="137" w:name="ref-ohtaki1995"/>
    <w:p>
      <w:pPr>
        <w:pStyle w:val="Bibliography"/>
      </w:pPr>
      <w:r>
        <w:t xml:space="preserve">49.</w:t>
      </w:r>
      <w:r>
        <w:t xml:space="preserve"> </w:t>
      </w:r>
      <w:r>
        <w:t xml:space="preserve">	</w:t>
      </w:r>
      <w:r>
        <w:t xml:space="preserve">Ohtaki, M., Koga, H., Tokunaga, T., Eguchi, K. &amp; Arai, H.</w:t>
      </w:r>
      <w:r>
        <w:t xml:space="preserve"> </w:t>
      </w:r>
      <w:hyperlink r:id="rId136">
        <w:r>
          <w:rPr>
            <w:rStyle w:val="Hyperlink"/>
          </w:rPr>
          <w:t xml:space="preserve">Electrical transport properties and high-temperature thermoelectric performance of (Ca0.9M0.1)MnO3 (m = y, la, ce, sm, in, sn, sb, pb, bi)</w:t>
        </w:r>
      </w:hyperlink>
      <w:r>
        <w:t xml:space="preserve">.</w:t>
      </w:r>
      <w:r>
        <w:t xml:space="preserve"> </w:t>
      </w:r>
      <w:r>
        <w:rPr>
          <w:i/>
          <w:iCs/>
        </w:rPr>
        <w:t xml:space="preserve">Journal of Solid State Chemistry</w:t>
      </w:r>
      <w:r>
        <w:t xml:space="preserve"> </w:t>
      </w:r>
      <w:r>
        <w:rPr>
          <w:b/>
          <w:bCs/>
        </w:rPr>
        <w:t xml:space="preserve">120</w:t>
      </w:r>
      <w:r>
        <w:t xml:space="preserve">, 105–111 (1995).</w:t>
      </w:r>
    </w:p>
    <w:bookmarkEnd w:id="137"/>
    <w:bookmarkStart w:id="139" w:name="ref-sebastialuna2022"/>
    <w:p>
      <w:pPr>
        <w:pStyle w:val="Bibliography"/>
      </w:pPr>
      <w:r>
        <w:t xml:space="preserve">50.</w:t>
      </w:r>
      <w:r>
        <w:t xml:space="preserve"> </w:t>
      </w:r>
      <w:r>
        <w:t xml:space="preserve">	</w:t>
      </w:r>
      <w:r>
        <w:t xml:space="preserve">Sebastia-Luna, P.</w:t>
      </w:r>
      <w:r>
        <w:t xml:space="preserve"> </w:t>
      </w:r>
      <w:r>
        <w:rPr>
          <w:i/>
          <w:iCs/>
        </w:rPr>
        <w:t xml:space="preserve">et al.</w:t>
      </w:r>
      <w:r>
        <w:t xml:space="preserve"> </w:t>
      </w:r>
      <w:hyperlink r:id="rId138">
        <w:r>
          <w:rPr>
            <w:rStyle w:val="Hyperlink"/>
          </w:rPr>
          <w:t xml:space="preserve">Vacuum-deposited cesium tin iodide thin films with tunable thermoelectric properties</w:t>
        </w:r>
      </w:hyperlink>
      <w:r>
        <w:t xml:space="preserve">.</w:t>
      </w:r>
      <w:r>
        <w:t xml:space="preserve"> </w:t>
      </w:r>
      <w:r>
        <w:rPr>
          <w:i/>
          <w:iCs/>
        </w:rPr>
        <w:t xml:space="preserve">ACS Applied Energy Materials</w:t>
      </w:r>
      <w:r>
        <w:t xml:space="preserve"> </w:t>
      </w:r>
      <w:r>
        <w:rPr>
          <w:b/>
          <w:bCs/>
        </w:rPr>
        <w:t xml:space="preserve">5</w:t>
      </w:r>
      <w:r>
        <w:t xml:space="preserve">, 10216–10223 (2022).</w:t>
      </w:r>
    </w:p>
    <w:bookmarkEnd w:id="139"/>
    <w:bookmarkStart w:id="141" w:name="ref-singh2016"/>
    <w:p>
      <w:pPr>
        <w:pStyle w:val="Bibliography"/>
      </w:pPr>
      <w:r>
        <w:t xml:space="preserve">51.</w:t>
      </w:r>
      <w:r>
        <w:t xml:space="preserve"> </w:t>
      </w:r>
      <w:r>
        <w:t xml:space="preserve">	</w:t>
      </w:r>
      <w:r>
        <w:t xml:space="preserve">Singh, S. &amp; Pandey, S. K.</w:t>
      </w:r>
      <w:r>
        <w:t xml:space="preserve"> </w:t>
      </w:r>
      <w:hyperlink r:id="rId140">
        <w:r>
          <w:rPr>
            <w:rStyle w:val="Hyperlink"/>
          </w:rPr>
          <w:t xml:space="preserve">Understanding the thermoelectric properties of LaCoO3 compound</w:t>
        </w:r>
      </w:hyperlink>
      <w:r>
        <w:t xml:space="preserve">.</w:t>
      </w:r>
      <w:r>
        <w:t xml:space="preserve"> </w:t>
      </w:r>
      <w:r>
        <w:rPr>
          <w:i/>
          <w:iCs/>
        </w:rPr>
        <w:t xml:space="preserve">Philosophical Magazine</w:t>
      </w:r>
      <w:r>
        <w:t xml:space="preserve"> </w:t>
      </w:r>
      <w:r>
        <w:rPr>
          <w:b/>
          <w:bCs/>
        </w:rPr>
        <w:t xml:space="preserve">97</w:t>
      </w:r>
      <w:r>
        <w:t xml:space="preserve">, 451–463 (2016).</w:t>
      </w:r>
    </w:p>
    <w:bookmarkEnd w:id="141"/>
    <w:bookmarkStart w:id="143" w:name="ref-shibasaki2009"/>
    <w:p>
      <w:pPr>
        <w:pStyle w:val="Bibliography"/>
      </w:pPr>
      <w:r>
        <w:t xml:space="preserve">52.</w:t>
      </w:r>
      <w:r>
        <w:t xml:space="preserve"> </w:t>
      </w:r>
      <w:r>
        <w:t xml:space="preserve">	</w:t>
      </w:r>
      <w:r>
        <w:t xml:space="preserve">Shibasaki, S., Takahashi, Y. &amp; Terasaki, I.</w:t>
      </w:r>
      <w:r>
        <w:t xml:space="preserve"> </w:t>
      </w:r>
      <w:hyperlink r:id="rId142">
        <w:r>
          <w:rPr>
            <w:rStyle w:val="Hyperlink"/>
          </w:rPr>
          <w:t xml:space="preserve">Thermoelectric properties of b-site substituted LaRhO3</w:t>
        </w:r>
      </w:hyperlink>
      <w:r>
        <w:t xml:space="preserve">.</w:t>
      </w:r>
      <w:r>
        <w:t xml:space="preserve"> </w:t>
      </w:r>
      <w:r>
        <w:rPr>
          <w:i/>
          <w:iCs/>
        </w:rPr>
        <w:t xml:space="preserve">Journal of Electronic Materials</w:t>
      </w:r>
      <w:r>
        <w:t xml:space="preserve"> </w:t>
      </w:r>
      <w:r>
        <w:rPr>
          <w:b/>
          <w:bCs/>
        </w:rPr>
        <w:t xml:space="preserve">38</w:t>
      </w:r>
      <w:r>
        <w:t xml:space="preserve">, 1013–1016 (2009).</w:t>
      </w:r>
    </w:p>
    <w:bookmarkEnd w:id="143"/>
    <w:bookmarkStart w:id="145" w:name="ref-rajasekaran2020"/>
    <w:p>
      <w:pPr>
        <w:pStyle w:val="Bibliography"/>
      </w:pPr>
      <w:r>
        <w:t xml:space="preserve">53.</w:t>
      </w:r>
      <w:r>
        <w:t xml:space="preserve"> </w:t>
      </w:r>
      <w:r>
        <w:t xml:space="preserve">	</w:t>
      </w:r>
      <w:r>
        <w:t xml:space="preserve">Rajasekaran, P.</w:t>
      </w:r>
      <w:r>
        <w:t xml:space="preserve"> </w:t>
      </w:r>
      <w:r>
        <w:rPr>
          <w:i/>
          <w:iCs/>
        </w:rPr>
        <w:t xml:space="preserve">et al.</w:t>
      </w:r>
      <w:r>
        <w:t xml:space="preserve"> </w:t>
      </w:r>
      <w:hyperlink r:id="rId144">
        <w:r>
          <w:rPr>
            <w:rStyle w:val="Hyperlink"/>
          </w:rPr>
          <w:t xml:space="preserve">Facile synthesis of morphology-controlled la:BaSnO3 for the enhancement of thermoelectric power factor</w:t>
        </w:r>
      </w:hyperlink>
      <w:r>
        <w:t xml:space="preserve">.</w:t>
      </w:r>
      <w:r>
        <w:t xml:space="preserve"> </w:t>
      </w:r>
      <w:r>
        <w:rPr>
          <w:i/>
          <w:iCs/>
        </w:rPr>
        <w:t xml:space="preserve">CrystEngComm</w:t>
      </w:r>
      <w:r>
        <w:t xml:space="preserve"> </w:t>
      </w:r>
      <w:r>
        <w:rPr>
          <w:b/>
          <w:bCs/>
        </w:rPr>
        <w:t xml:space="preserve">22</w:t>
      </w:r>
      <w:r>
        <w:t xml:space="preserve">, 5363–5374 (2020).</w:t>
      </w:r>
    </w:p>
    <w:bookmarkEnd w:id="145"/>
    <w:bookmarkEnd w:id="146"/>
    <w:bookmarkEnd w:id="147"/>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hyperlink" Id="rId98" Target="https://arxiv.org/abs/2509.00299" TargetMode="External" /><Relationship Type="http://schemas.openxmlformats.org/officeDocument/2006/relationships/hyperlink" Id="rId134" Target="https://automeris.io" TargetMode="External" /><Relationship Type="http://schemas.openxmlformats.org/officeDocument/2006/relationships/hyperlink" Id="rId70" Target="https://doi.org/10.1002/adom.202101704" TargetMode="External" /><Relationship Type="http://schemas.openxmlformats.org/officeDocument/2006/relationships/hyperlink" Id="rId92" Target="https://doi.org/10.1002/adts.202400308" TargetMode="External" /><Relationship Type="http://schemas.openxmlformats.org/officeDocument/2006/relationships/hyperlink" Id="rId96" Target="https://doi.org/10.1002/aelm.202500210" TargetMode="External" /><Relationship Type="http://schemas.openxmlformats.org/officeDocument/2006/relationships/hyperlink" Id="rId136" Target="https://doi.org/10.1006/jssc.1995.1384" TargetMode="External" /><Relationship Type="http://schemas.openxmlformats.org/officeDocument/2006/relationships/hyperlink" Id="rId112" Target="https://doi.org/10.1007/978-0-387-84858-7" TargetMode="External" /><Relationship Type="http://schemas.openxmlformats.org/officeDocument/2006/relationships/hyperlink" Id="rId42" Target="https://doi.org/10.1007/978-3-642-00716-3" TargetMode="External" /><Relationship Type="http://schemas.openxmlformats.org/officeDocument/2006/relationships/hyperlink" Id="rId54" Target="https://doi.org/10.1007/bf01507527" TargetMode="External" /><Relationship Type="http://schemas.openxmlformats.org/officeDocument/2006/relationships/hyperlink" Id="rId142" Target="https://doi.org/10.1007/s11664-009-0666-x" TargetMode="External" /><Relationship Type="http://schemas.openxmlformats.org/officeDocument/2006/relationships/hyperlink" Id="rId94" Target="https://doi.org/10.1007/s40843-023-2777-2" TargetMode="External" /><Relationship Type="http://schemas.openxmlformats.org/officeDocument/2006/relationships/hyperlink" Id="rId130" Target="https://doi.org/10.1016/j.commatsci.2012.10.028" TargetMode="External" /><Relationship Type="http://schemas.openxmlformats.org/officeDocument/2006/relationships/hyperlink" Id="rId120" Target="https://doi.org/10.1016/j.commatsci.2019.109203" TargetMode="External" /><Relationship Type="http://schemas.openxmlformats.org/officeDocument/2006/relationships/hyperlink" Id="rId76" Target="https://doi.org/10.1016/j.cpc.2006.03.007" TargetMode="External" /><Relationship Type="http://schemas.openxmlformats.org/officeDocument/2006/relationships/hyperlink" Id="rId78" Target="https://doi.org/10.1016/j.cpc.2014.02.015" TargetMode="External" /><Relationship Type="http://schemas.openxmlformats.org/officeDocument/2006/relationships/hyperlink" Id="rId132" Target="https://doi.org/10.1016/j.jesp.2013.03.013" TargetMode="External" /><Relationship Type="http://schemas.openxmlformats.org/officeDocument/2006/relationships/hyperlink" Id="rId102" Target="https://doi.org/10.1016/j.matdes.2024.113552" TargetMode="External" /><Relationship Type="http://schemas.openxmlformats.org/officeDocument/2006/relationships/hyperlink" Id="rId114" Target="https://doi.org/10.1016/j.patter.2023.100804" TargetMode="External" /><Relationship Type="http://schemas.openxmlformats.org/officeDocument/2006/relationships/hyperlink" Id="rId108" Target="https://doi.org/10.1021/acs.chemmater.6b02724" TargetMode="External" /><Relationship Type="http://schemas.openxmlformats.org/officeDocument/2006/relationships/hyperlink" Id="rId138" Target="https://doi.org/10.1021/acsaem.2c01936" TargetMode="External" /><Relationship Type="http://schemas.openxmlformats.org/officeDocument/2006/relationships/hyperlink" Id="rId104" Target="https://doi.org/10.1021/acsaem.5c02223" TargetMode="External" /><Relationship Type="http://schemas.openxmlformats.org/officeDocument/2006/relationships/hyperlink" Id="rId100" Target="https://doi.org/10.1021/acsami.4c19149" TargetMode="External" /><Relationship Type="http://schemas.openxmlformats.org/officeDocument/2006/relationships/hyperlink" Id="rId68" Target="https://doi.org/10.1021/ic401215x" TargetMode="External" /><Relationship Type="http://schemas.openxmlformats.org/officeDocument/2006/relationships/hyperlink" Id="rId66" Target="https://doi.org/10.1021/jacs.0c03427" TargetMode="External" /><Relationship Type="http://schemas.openxmlformats.org/officeDocument/2006/relationships/hyperlink" Id="rId48" Target="https://doi.org/10.1038/nature09996" TargetMode="External" /><Relationship Type="http://schemas.openxmlformats.org/officeDocument/2006/relationships/hyperlink" Id="rId50" Target="https://doi.org/10.1038/nature11439" TargetMode="External" /><Relationship Type="http://schemas.openxmlformats.org/officeDocument/2006/relationships/hyperlink" Id="rId52" Target="https://doi.org/10.1038/nature13184" TargetMode="External" /><Relationship Type="http://schemas.openxmlformats.org/officeDocument/2006/relationships/hyperlink" Id="rId44" Target="https://doi.org/10.1038/nmat2090" TargetMode="External" /><Relationship Type="http://schemas.openxmlformats.org/officeDocument/2006/relationships/hyperlink" Id="rId106" Target="https://doi.org/10.1038/npjcompumats.2016.28" TargetMode="External" /><Relationship Type="http://schemas.openxmlformats.org/officeDocument/2006/relationships/hyperlink" Id="rId88" Target="https://doi.org/10.1038/s41524-020-00440-1" TargetMode="External" /><Relationship Type="http://schemas.openxmlformats.org/officeDocument/2006/relationships/hyperlink" Id="rId86" Target="https://doi.org/10.1038/s41524-022-00897-2" TargetMode="External" /><Relationship Type="http://schemas.openxmlformats.org/officeDocument/2006/relationships/hyperlink" Id="rId122" Target="https://doi.org/10.1038/s41524-023-01012-9" TargetMode="External" /><Relationship Type="http://schemas.openxmlformats.org/officeDocument/2006/relationships/hyperlink" Id="rId118" Target="https://doi.org/10.1039/c8me00012c" TargetMode="External" /><Relationship Type="http://schemas.openxmlformats.org/officeDocument/2006/relationships/hyperlink" Id="rId144" Target="https://doi.org/10.1039/d0ce00702a" TargetMode="External" /><Relationship Type="http://schemas.openxmlformats.org/officeDocument/2006/relationships/hyperlink" Id="rId62" Target="https://doi.org/10.1063/1.1647686" TargetMode="External" /><Relationship Type="http://schemas.openxmlformats.org/officeDocument/2006/relationships/hyperlink" Id="rId58" Target="https://doi.org/10.1063/1.1847723" TargetMode="External" /><Relationship Type="http://schemas.openxmlformats.org/officeDocument/2006/relationships/hyperlink" Id="rId84" Target="https://doi.org/10.1063/1.4812323" TargetMode="External" /><Relationship Type="http://schemas.openxmlformats.org/officeDocument/2006/relationships/hyperlink" Id="rId64" Target="https://doi.org/10.1073/pnas.1711744114" TargetMode="External" /><Relationship Type="http://schemas.openxmlformats.org/officeDocument/2006/relationships/hyperlink" Id="rId80" Target="https://doi.org/10.1080/14686996.2019.1603885" TargetMode="External" /><Relationship Type="http://schemas.openxmlformats.org/officeDocument/2006/relationships/hyperlink" Id="rId140" Target="https://doi.org/10.1080/14786435.2016.1263404" TargetMode="External" /><Relationship Type="http://schemas.openxmlformats.org/officeDocument/2006/relationships/hyperlink" Id="rId82" Target="https://doi.org/10.1080/27660400.2025.2506976" TargetMode="External" /><Relationship Type="http://schemas.openxmlformats.org/officeDocument/2006/relationships/hyperlink" Id="rId74" Target="https://doi.org/10.1088/0953-8984/21/39/395502" TargetMode="External" /><Relationship Type="http://schemas.openxmlformats.org/officeDocument/2006/relationships/hyperlink" Id="rId110" Target="https://doi.org/10.1103/physrevb.27.858" TargetMode="External" /><Relationship Type="http://schemas.openxmlformats.org/officeDocument/2006/relationships/hyperlink" Id="rId128" Target="https://doi.org/10.1103/physrevb.46.6131" TargetMode="External" /><Relationship Type="http://schemas.openxmlformats.org/officeDocument/2006/relationships/hyperlink" Id="rId72" Target="https://doi.org/10.1103/physrevb.54.11169" TargetMode="External" /><Relationship Type="http://schemas.openxmlformats.org/officeDocument/2006/relationships/hyperlink" Id="rId90" Target="https://doi.org/10.1103/physrevlett.120.145301" TargetMode="External" /><Relationship Type="http://schemas.openxmlformats.org/officeDocument/2006/relationships/hyperlink" Id="rId60" Target="https://doi.org/10.1109/ict.2006.331291" TargetMode="External" /><Relationship Type="http://schemas.openxmlformats.org/officeDocument/2006/relationships/hyperlink" Id="rId116" Target="https://doi.org/10.1111/ecog.02881" TargetMode="External" /><Relationship Type="http://schemas.openxmlformats.org/officeDocument/2006/relationships/hyperlink" Id="rId56" Target="https://doi.org/10.1126/sciadv.aav0693" TargetMode="External" /><Relationship Type="http://schemas.openxmlformats.org/officeDocument/2006/relationships/hyperlink" Id="rId126" Target="https://doi.org/10.1145/2939672.2939778" TargetMode="External" /><Relationship Type="http://schemas.openxmlformats.org/officeDocument/2006/relationships/hyperlink" Id="rId40" Target="https://doi.org/10.1201/9781420038903" TargetMode="External" /><Relationship Type="http://schemas.openxmlformats.org/officeDocument/2006/relationships/hyperlink" Id="rId46" Target="https://doi.org/10.1201/9781420049718.ch34" TargetMode="External" /><Relationship Type="http://schemas.openxmlformats.org/officeDocument/2006/relationships/hyperlink" Id="rId124" Target="https://doi.org/10.48550/arXiv.1705.07874" TargetMode="External" /></Relationships>
</file>

<file path=word/_rels/footnotes.xml.rels><?xml version="1.0" encoding="UTF-8"?><Relationships xmlns="http://schemas.openxmlformats.org/package/2006/relationships"><Relationship Type="http://schemas.openxmlformats.org/officeDocument/2006/relationships/hyperlink" Id="rId98" Target="https://arxiv.org/abs/2509.00299" TargetMode="External" /><Relationship Type="http://schemas.openxmlformats.org/officeDocument/2006/relationships/hyperlink" Id="rId134" Target="https://automeris.io" TargetMode="External" /><Relationship Type="http://schemas.openxmlformats.org/officeDocument/2006/relationships/hyperlink" Id="rId70" Target="https://doi.org/10.1002/adom.202101704" TargetMode="External" /><Relationship Type="http://schemas.openxmlformats.org/officeDocument/2006/relationships/hyperlink" Id="rId92" Target="https://doi.org/10.1002/adts.202400308" TargetMode="External" /><Relationship Type="http://schemas.openxmlformats.org/officeDocument/2006/relationships/hyperlink" Id="rId96" Target="https://doi.org/10.1002/aelm.202500210" TargetMode="External" /><Relationship Type="http://schemas.openxmlformats.org/officeDocument/2006/relationships/hyperlink" Id="rId136" Target="https://doi.org/10.1006/jssc.1995.1384" TargetMode="External" /><Relationship Type="http://schemas.openxmlformats.org/officeDocument/2006/relationships/hyperlink" Id="rId112" Target="https://doi.org/10.1007/978-0-387-84858-7" TargetMode="External" /><Relationship Type="http://schemas.openxmlformats.org/officeDocument/2006/relationships/hyperlink" Id="rId42" Target="https://doi.org/10.1007/978-3-642-00716-3" TargetMode="External" /><Relationship Type="http://schemas.openxmlformats.org/officeDocument/2006/relationships/hyperlink" Id="rId54" Target="https://doi.org/10.1007/bf01507527" TargetMode="External" /><Relationship Type="http://schemas.openxmlformats.org/officeDocument/2006/relationships/hyperlink" Id="rId142" Target="https://doi.org/10.1007/s11664-009-0666-x" TargetMode="External" /><Relationship Type="http://schemas.openxmlformats.org/officeDocument/2006/relationships/hyperlink" Id="rId94" Target="https://doi.org/10.1007/s40843-023-2777-2" TargetMode="External" /><Relationship Type="http://schemas.openxmlformats.org/officeDocument/2006/relationships/hyperlink" Id="rId130" Target="https://doi.org/10.1016/j.commatsci.2012.10.028" TargetMode="External" /><Relationship Type="http://schemas.openxmlformats.org/officeDocument/2006/relationships/hyperlink" Id="rId120" Target="https://doi.org/10.1016/j.commatsci.2019.109203" TargetMode="External" /><Relationship Type="http://schemas.openxmlformats.org/officeDocument/2006/relationships/hyperlink" Id="rId76" Target="https://doi.org/10.1016/j.cpc.2006.03.007" TargetMode="External" /><Relationship Type="http://schemas.openxmlformats.org/officeDocument/2006/relationships/hyperlink" Id="rId78" Target="https://doi.org/10.1016/j.cpc.2014.02.015" TargetMode="External" /><Relationship Type="http://schemas.openxmlformats.org/officeDocument/2006/relationships/hyperlink" Id="rId132" Target="https://doi.org/10.1016/j.jesp.2013.03.013" TargetMode="External" /><Relationship Type="http://schemas.openxmlformats.org/officeDocument/2006/relationships/hyperlink" Id="rId102" Target="https://doi.org/10.1016/j.matdes.2024.113552" TargetMode="External" /><Relationship Type="http://schemas.openxmlformats.org/officeDocument/2006/relationships/hyperlink" Id="rId114" Target="https://doi.org/10.1016/j.patter.2023.100804" TargetMode="External" /><Relationship Type="http://schemas.openxmlformats.org/officeDocument/2006/relationships/hyperlink" Id="rId108" Target="https://doi.org/10.1021/acs.chemmater.6b02724" TargetMode="External" /><Relationship Type="http://schemas.openxmlformats.org/officeDocument/2006/relationships/hyperlink" Id="rId138" Target="https://doi.org/10.1021/acsaem.2c01936" TargetMode="External" /><Relationship Type="http://schemas.openxmlformats.org/officeDocument/2006/relationships/hyperlink" Id="rId104" Target="https://doi.org/10.1021/acsaem.5c02223" TargetMode="External" /><Relationship Type="http://schemas.openxmlformats.org/officeDocument/2006/relationships/hyperlink" Id="rId100" Target="https://doi.org/10.1021/acsami.4c19149" TargetMode="External" /><Relationship Type="http://schemas.openxmlformats.org/officeDocument/2006/relationships/hyperlink" Id="rId68" Target="https://doi.org/10.1021/ic401215x" TargetMode="External" /><Relationship Type="http://schemas.openxmlformats.org/officeDocument/2006/relationships/hyperlink" Id="rId66" Target="https://doi.org/10.1021/jacs.0c03427" TargetMode="External" /><Relationship Type="http://schemas.openxmlformats.org/officeDocument/2006/relationships/hyperlink" Id="rId48" Target="https://doi.org/10.1038/nature09996" TargetMode="External" /><Relationship Type="http://schemas.openxmlformats.org/officeDocument/2006/relationships/hyperlink" Id="rId50" Target="https://doi.org/10.1038/nature11439" TargetMode="External" /><Relationship Type="http://schemas.openxmlformats.org/officeDocument/2006/relationships/hyperlink" Id="rId52" Target="https://doi.org/10.1038/nature13184" TargetMode="External" /><Relationship Type="http://schemas.openxmlformats.org/officeDocument/2006/relationships/hyperlink" Id="rId44" Target="https://doi.org/10.1038/nmat2090" TargetMode="External" /><Relationship Type="http://schemas.openxmlformats.org/officeDocument/2006/relationships/hyperlink" Id="rId106" Target="https://doi.org/10.1038/npjcompumats.2016.28" TargetMode="External" /><Relationship Type="http://schemas.openxmlformats.org/officeDocument/2006/relationships/hyperlink" Id="rId88" Target="https://doi.org/10.1038/s41524-020-00440-1" TargetMode="External" /><Relationship Type="http://schemas.openxmlformats.org/officeDocument/2006/relationships/hyperlink" Id="rId86" Target="https://doi.org/10.1038/s41524-022-00897-2" TargetMode="External" /><Relationship Type="http://schemas.openxmlformats.org/officeDocument/2006/relationships/hyperlink" Id="rId122" Target="https://doi.org/10.1038/s41524-023-01012-9" TargetMode="External" /><Relationship Type="http://schemas.openxmlformats.org/officeDocument/2006/relationships/hyperlink" Id="rId118" Target="https://doi.org/10.1039/c8me00012c" TargetMode="External" /><Relationship Type="http://schemas.openxmlformats.org/officeDocument/2006/relationships/hyperlink" Id="rId144" Target="https://doi.org/10.1039/d0ce00702a" TargetMode="External" /><Relationship Type="http://schemas.openxmlformats.org/officeDocument/2006/relationships/hyperlink" Id="rId62" Target="https://doi.org/10.1063/1.1647686" TargetMode="External" /><Relationship Type="http://schemas.openxmlformats.org/officeDocument/2006/relationships/hyperlink" Id="rId58" Target="https://doi.org/10.1063/1.1847723" TargetMode="External" /><Relationship Type="http://schemas.openxmlformats.org/officeDocument/2006/relationships/hyperlink" Id="rId84" Target="https://doi.org/10.1063/1.4812323" TargetMode="External" /><Relationship Type="http://schemas.openxmlformats.org/officeDocument/2006/relationships/hyperlink" Id="rId64" Target="https://doi.org/10.1073/pnas.1711744114" TargetMode="External" /><Relationship Type="http://schemas.openxmlformats.org/officeDocument/2006/relationships/hyperlink" Id="rId80" Target="https://doi.org/10.1080/14686996.2019.1603885" TargetMode="External" /><Relationship Type="http://schemas.openxmlformats.org/officeDocument/2006/relationships/hyperlink" Id="rId140" Target="https://doi.org/10.1080/14786435.2016.1263404" TargetMode="External" /><Relationship Type="http://schemas.openxmlformats.org/officeDocument/2006/relationships/hyperlink" Id="rId82" Target="https://doi.org/10.1080/27660400.2025.2506976" TargetMode="External" /><Relationship Type="http://schemas.openxmlformats.org/officeDocument/2006/relationships/hyperlink" Id="rId74" Target="https://doi.org/10.1088/0953-8984/21/39/395502" TargetMode="External" /><Relationship Type="http://schemas.openxmlformats.org/officeDocument/2006/relationships/hyperlink" Id="rId110" Target="https://doi.org/10.1103/physrevb.27.858" TargetMode="External" /><Relationship Type="http://schemas.openxmlformats.org/officeDocument/2006/relationships/hyperlink" Id="rId128" Target="https://doi.org/10.1103/physrevb.46.6131" TargetMode="External" /><Relationship Type="http://schemas.openxmlformats.org/officeDocument/2006/relationships/hyperlink" Id="rId72" Target="https://doi.org/10.1103/physrevb.54.11169" TargetMode="External" /><Relationship Type="http://schemas.openxmlformats.org/officeDocument/2006/relationships/hyperlink" Id="rId90" Target="https://doi.org/10.1103/physrevlett.120.145301" TargetMode="External" /><Relationship Type="http://schemas.openxmlformats.org/officeDocument/2006/relationships/hyperlink" Id="rId60" Target="https://doi.org/10.1109/ict.2006.331291" TargetMode="External" /><Relationship Type="http://schemas.openxmlformats.org/officeDocument/2006/relationships/hyperlink" Id="rId116" Target="https://doi.org/10.1111/ecog.02881" TargetMode="External" /><Relationship Type="http://schemas.openxmlformats.org/officeDocument/2006/relationships/hyperlink" Id="rId56" Target="https://doi.org/10.1126/sciadv.aav0693" TargetMode="External" /><Relationship Type="http://schemas.openxmlformats.org/officeDocument/2006/relationships/hyperlink" Id="rId126" Target="https://doi.org/10.1145/2939672.2939778" TargetMode="External" /><Relationship Type="http://schemas.openxmlformats.org/officeDocument/2006/relationships/hyperlink" Id="rId40" Target="https://doi.org/10.1201/9781420038903" TargetMode="External" /><Relationship Type="http://schemas.openxmlformats.org/officeDocument/2006/relationships/hyperlink" Id="rId46" Target="https://doi.org/10.1201/9781420049718.ch34" TargetMode="External" /><Relationship Type="http://schemas.openxmlformats.org/officeDocument/2006/relationships/hyperlink" Id="rId124" Target="https://doi.org/10.48550/arXiv.1705.078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2026-10-27T08:41:52Z</dcterms:created>
  <dcterms:modified xsi:type="dcterms:W3CDTF">2026-10-27T08:41:52Z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thesis_paper/paper/refs.bib</vt:lpwstr>
  </property>
  <property fmtid="{D5CDD505-2E9C-101B-9397-08002B2CF9AE}" pid="3" name="csl">
    <vt:lpwstr>thesis_paper/paper/csl/nature.csl</vt:lpwstr>
  </property>
</Properties>
</file>