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9.png" ContentType="image/png"/>
  <Override PartName="/word/media/rId10.png" ContentType="image/png"/>
  <Override PartName="/word/media/rId14.png" ContentType="image/png"/>
  <Override PartName="/word/media/rId20.png" ContentType="image/png"/>
  <Override PartName="/word/media/rId30.png" ContentType="image/png"/>
  <Override PartName="/word/media/rId43.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Machine learning-assisted materials screening and prediction of thermoelectric properties of lead-free perovskite materials</w:t>
      </w:r>
    </w:p>
    <w:p>
      <w:pPr>
        <w:pStyle w:val="BodyText"/>
      </w:pPr>
      <w:r>
        <w:t xml:space="preserve">Muhammad Behzad Gull</w:t>
      </w:r>
      <w:r>
        <w:rPr>
          <w:vertAlign w:val="superscript"/>
        </w:rPr>
        <w:t xml:space="preserve">a</w:t>
      </w:r>
      <w:r>
        <w:t xml:space="preserve">, Kamran Javed</w:t>
      </w:r>
      <w:r>
        <w:rPr>
          <w:vertAlign w:val="superscript"/>
        </w:rPr>
        <w:t xml:space="preserve">a</w:t>
      </w:r>
      <w:r>
        <w:t xml:space="preserve">, Muhammad Ejaz Khan</w:t>
      </w:r>
      <w:r>
        <w:rPr>
          <w:vertAlign w:val="superscript"/>
        </w:rPr>
        <w:t xml:space="preserve">∗a</w:t>
      </w:r>
    </w:p>
    <w:p>
      <w:pPr>
        <w:pStyle w:val="BodyText"/>
      </w:pPr>
      <w:r>
        <w:rPr>
          <w:i/>
          <w:iCs/>
          <w:vertAlign w:val="superscript"/>
        </w:rPr>
        <w:t xml:space="preserve">a</w:t>
      </w:r>
      <w:r>
        <w:rPr>
          <w:i/>
          <w:iCs/>
        </w:rPr>
        <w:t xml:space="preserve">School of Computing Sciences, Pak-Austria Fachhochschule: Institute of Applied Sciences and Technology, Haripur, Khyber Pakhtunkhwa, 22620, Pakistan</w:t>
      </w:r>
    </w:p>
    <w:p>
      <w:pPr>
        <w:pStyle w:val="BodyText"/>
      </w:pPr>
      <w:r>
        <w:rPr>
          <w:b/>
          <w:bCs/>
        </w:rPr>
        <w:t xml:space="preserve">Abstract</w:t>
      </w:r>
    </w:p>
    <w:p>
      <w:pPr>
        <w:pStyle w:val="BodyText"/>
      </w:pPr>
      <w:r>
        <w:t xml:space="preserve">Lead-free thermoelectric materials are needed, and screening candidates with machine learning (ML) is useful only if the predictions can be trusted. Here, gradient-boosted (XGBoost) models trained on a pinned snapshot of Starrydata2 (</w:t>
      </w:r>
      <w:r>
        <w:t xml:space="preserve">280,664</w:t>
      </w:r>
      <w:r>
        <w:t xml:space="preserve"> </w:t>
      </w:r>
      <w:r>
        <w:t xml:space="preserve">cleaned rows;</w:t>
      </w:r>
      <w:r>
        <w:t xml:space="preserve"> </w:t>
      </w:r>
      <w:r>
        <w:t xml:space="preserve">185,064</w:t>
      </w:r>
      <w:r>
        <w:t xml:space="preserve">,</w:t>
      </w:r>
      <w:r>
        <w:t xml:space="preserve"> </w:t>
      </w:r>
      <w:r>
        <w:t xml:space="preserve">182,755</w:t>
      </w:r>
      <w:r>
        <w:t xml:space="preserve">,</w:t>
      </w:r>
      <w:r>
        <w:t xml:space="preserve"> </w:t>
      </w:r>
      <w:r>
        <w:t xml:space="preserve">121,110</w:t>
      </w:r>
      <w:r>
        <w:t xml:space="preserve"> </w:t>
      </w:r>
      <w:r>
        <w:t xml:space="preserve">and</w:t>
      </w:r>
      <w:r>
        <w:t xml:space="preserve"> </w:t>
      </w:r>
      <w:r>
        <w:t xml:space="preserve">129,419</w:t>
      </w:r>
      <w:r>
        <w:t xml:space="preserve"> </w:t>
      </w:r>
      <w:r>
        <w:t xml:space="preserve">rows with a Seebeck coefficient, electrical conductivity, thermal conductivity and figure of merit), described by</w:t>
      </w:r>
      <w:r>
        <w:t xml:space="preserve"> </w:t>
      </w:r>
      <w:r>
        <w:t xml:space="preserve">397</w:t>
      </w:r>
      <w:r>
        <w:t xml:space="preserve"> </w:t>
      </w:r>
      <w:r>
        <w:t xml:space="preserve">composition-based features (MAGPIE, CBFV and temperature), predict the Seebeck coefficient (S), electrical conductivity (</w:t>
      </w:r>
      <w:r>
        <w:rPr>
          <w:i/>
          <w:iCs/>
        </w:rPr>
        <w:t xml:space="preserve">σ</w:t>
      </w:r>
      <w:r>
        <w:t xml:space="preserve">), thermal conductivity (</w:t>
      </w:r>
      <w:r>
        <w:rPr>
          <w:i/>
          <w:iCs/>
        </w:rPr>
        <w:t xml:space="preserve">κ</w:t>
      </w:r>
      <w:r>
        <w:t xml:space="preserve">) and figure of merit (zT) and are applied, as hypothesis generation, to lead-free, perovskite-type compounds of the Materials Project. The screening gives</w:t>
      </w:r>
      <w:r>
        <w:t xml:space="preserve"> </w:t>
      </w:r>
      <w:r>
        <w:t xml:space="preserve">30</w:t>
      </w:r>
      <w:r>
        <w:t xml:space="preserve"> </w:t>
      </w:r>
      <w:r>
        <w:t xml:space="preserve">candidates,</w:t>
      </w:r>
      <w:r>
        <w:t xml:space="preserve"> </w:t>
      </w:r>
      <w:r>
        <w:t xml:space="preserve">9</w:t>
      </w:r>
      <w:r>
        <w:t xml:space="preserve"> </w:t>
      </w:r>
      <w:r>
        <w:t xml:space="preserve">of them in chemistry clusters present in the training data and</w:t>
      </w:r>
      <w:r>
        <w:t xml:space="preserve"> </w:t>
      </w:r>
      <w:r>
        <w:t xml:space="preserve">21</w:t>
      </w:r>
      <w:r>
        <w:t xml:space="preserve"> </w:t>
      </w:r>
      <w:r>
        <w:t xml:space="preserve">in clusters that are not. Under a rule fixed before the predictions were seen, the shortlist is the</w:t>
      </w:r>
      <w:r>
        <w:t xml:space="preserve"> </w:t>
      </w:r>
      <w:r>
        <w:t xml:space="preserve">4</w:t>
      </w:r>
      <w:r>
        <w:t xml:space="preserve"> </w:t>
      </w:r>
      <w:r>
        <w:t xml:space="preserve">candidates that are on the convex hull and in chemistry clusters present in the training data (</w:t>
      </w:r>
      <w:r>
        <w:t xml:space="preserve">CsSnI</w:t>
      </w:r>
      <w:r>
        <w:rPr>
          <w:vertAlign w:val="subscript"/>
        </w:rPr>
        <w:t xml:space="preserve">3</w:t>
      </w:r>
      <w:r>
        <w:t xml:space="preserve">,</w:t>
      </w:r>
      <w:r>
        <w:t xml:space="preserve"> </w:t>
      </w:r>
      <w:r>
        <w:t xml:space="preserve">BaSnO</w:t>
      </w:r>
      <w:r>
        <w:rPr>
          <w:vertAlign w:val="subscript"/>
        </w:rPr>
        <w:t xml:space="preserve">3</w:t>
      </w:r>
      <w:r>
        <w:t xml:space="preserve">,</w:t>
      </w:r>
      <w:r>
        <w:t xml:space="preserve"> </w:t>
      </w:r>
      <w:r>
        <w:t xml:space="preserve">LaRhO</w:t>
      </w:r>
      <w:r>
        <w:rPr>
          <w:vertAlign w:val="subscript"/>
        </w:rPr>
        <w:t xml:space="preserve">3</w:t>
      </w:r>
      <w:r>
        <w:t xml:space="preserve"> </w:t>
      </w:r>
      <w:r>
        <w:t xml:space="preserve">and</w:t>
      </w:r>
      <w:r>
        <w:t xml:space="preserve"> </w:t>
      </w:r>
      <w:r>
        <w:t xml:space="preserve">LaCoO</w:t>
      </w:r>
      <w:r>
        <w:rPr>
          <w:vertAlign w:val="subscript"/>
        </w:rPr>
        <w:t xml:space="preserve">3</w:t>
      </w:r>
      <w:r>
        <w:t xml:space="preserve">, in the order of their predicted zT); all</w:t>
      </w:r>
      <w:r>
        <w:t xml:space="preserve"> </w:t>
      </w:r>
      <w:r>
        <w:t xml:space="preserve">4</w:t>
      </w:r>
      <w:r>
        <w:t xml:space="preserve"> </w:t>
      </w:r>
      <w:r>
        <w:t xml:space="preserve">have a published thermoelectric measurement and a chemistry cluster present in the training data, so they are not blind recoveries. The ranked list is a set of hypotheses to test, not a set of predictions to rely on, and how far each predicted property can be trusted was measured. Chemistry-cluster grouped cross-validation lowered R</w:t>
      </w:r>
      <w:r>
        <w:rPr>
          <w:vertAlign w:val="superscript"/>
        </w:rPr>
        <w:t xml:space="preserve">2</w:t>
      </w:r>
      <w:r>
        <w:t xml:space="preserve"> </w:t>
      </w:r>
      <w:r>
        <w:t xml:space="preserve">by</w:t>
      </w:r>
      <w:r>
        <w:t xml:space="preserve"> </w:t>
      </w:r>
      <w:r>
        <w:t xml:space="preserve">0.134</w:t>
      </w:r>
      <w:r>
        <w:t xml:space="preserve">–</w:t>
      </w:r>
      <w:r>
        <w:t xml:space="preserve">0.213</w:t>
      </w:r>
      <w:r>
        <w:t xml:space="preserve"> </w:t>
      </w:r>
      <w:r>
        <w:t xml:space="preserve">relative to random splits, giving composition-only R</w:t>
      </w:r>
      <w:r>
        <w:rPr>
          <w:vertAlign w:val="superscript"/>
        </w:rPr>
        <w:t xml:space="preserve">2</w:t>
      </w:r>
      <w:r>
        <w:t xml:space="preserve"> </w:t>
      </w:r>
      <w:r>
        <w:t xml:space="preserve">values of</w:t>
      </w:r>
      <w:r>
        <w:t xml:space="preserve"> </w:t>
      </w:r>
      <w:r>
        <w:t xml:space="preserve">0.753</w:t>
      </w:r>
      <w:r>
        <w:t xml:space="preserve">,</w:t>
      </w:r>
      <w:r>
        <w:t xml:space="preserve"> </w:t>
      </w:r>
      <w:r>
        <w:t xml:space="preserve">0.702</w:t>
      </w:r>
      <w:r>
        <w:t xml:space="preserve">,</w:t>
      </w:r>
      <w:r>
        <w:t xml:space="preserve"> </w:t>
      </w:r>
      <w:r>
        <w:t xml:space="preserve">0.809</w:t>
      </w:r>
      <w:r>
        <w:t xml:space="preserve"> </w:t>
      </w:r>
      <w:r>
        <w:t xml:space="preserve">and</w:t>
      </w:r>
      <w:r>
        <w:t xml:space="preserve"> </w:t>
      </w:r>
      <w:r>
        <w:t xml:space="preserve">0.746</w:t>
      </w:r>
      <w:r>
        <w:t xml:space="preserve"> </w:t>
      </w:r>
      <w:r>
        <w:t xml:space="preserve">for S,</w:t>
      </w:r>
      <w:r>
        <w:t xml:space="preserve"> </w:t>
      </w:r>
      <w:r>
        <w:rPr>
          <w:i/>
          <w:iCs/>
        </w:rPr>
        <w:t xml:space="preserve">σ</w:t>
      </w:r>
      <w:r>
        <w:t xml:space="preserve">,</w:t>
      </w:r>
      <w:r>
        <w:t xml:space="preserve"> </w:t>
      </w:r>
      <w:r>
        <w:rPr>
          <w:i/>
          <w:iCs/>
        </w:rPr>
        <w:t xml:space="preserve">κ</w:t>
      </w:r>
      <w:r>
        <w:t xml:space="preserve"> </w:t>
      </w:r>
      <w:r>
        <w:t xml:space="preserve">and zT, respectively. External validation on the independent ESTM database lowered R</w:t>
      </w:r>
      <w:r>
        <w:rPr>
          <w:vertAlign w:val="superscript"/>
        </w:rPr>
        <w:t xml:space="preserve">2</w:t>
      </w:r>
      <w:r>
        <w:t xml:space="preserve"> </w:t>
      </w:r>
      <w:r>
        <w:t xml:space="preserve">further: for zT it was</w:t>
      </w:r>
      <w:r>
        <w:t xml:space="preserve"> </w:t>
      </w:r>
      <w:r>
        <w:t xml:space="preserve">0.513</w:t>
      </w:r>
      <w:r>
        <w:t xml:space="preserve"> </w:t>
      </w:r>
      <w:r>
        <w:t xml:space="preserve">on rows whose chemistry cluster is absent from training and</w:t>
      </w:r>
      <w:r>
        <w:t xml:space="preserve"> </w:t>
      </w:r>
      <w:r>
        <w:t xml:space="preserve">0.666</w:t>
      </w:r>
      <w:r>
        <w:t xml:space="preserve"> </w:t>
      </w:r>
      <w:r>
        <w:t xml:space="preserve">on rows sharing no source publication with training. Against DFT-computed Seebeck coefficients (JARVIS) the Seebeck model shows at most marginal sign transfer (agreement</w:t>
      </w:r>
      <w:r>
        <w:t xml:space="preserve"> </w:t>
      </w:r>
      <w:r>
        <w:t xml:space="preserve">0.52</w:t>
      </w:r>
      <w:r>
        <w:t xml:space="preserve">) and a negative rank correlation for semiconductors (</w:t>
      </w:r>
      <w:r>
        <w:t xml:space="preserve">-0.08</w:t>
      </w:r>
      <w:r>
        <w:t xml:space="preserve">). In the pre-registered comparison of out-of-fold predictions with published measurements (Section 3.4),</w:t>
      </w:r>
      <w:r>
        <w:t xml:space="preserve"> </w:t>
      </w:r>
      <w:r>
        <w:t xml:space="preserve">4</w:t>
      </w:r>
      <w:r>
        <w:t xml:space="preserve"> </w:t>
      </w:r>
      <w:r>
        <w:t xml:space="preserve">of</w:t>
      </w:r>
      <w:r>
        <w:t xml:space="preserve"> </w:t>
      </w:r>
      <w:r>
        <w:t xml:space="preserve">16</w:t>
      </w:r>
      <w:r>
        <w:t xml:space="preserve"> </w:t>
      </w:r>
      <w:r>
        <w:t xml:space="preserve">Seebeck values and</w:t>
      </w:r>
      <w:r>
        <w:t xml:space="preserve"> </w:t>
      </w:r>
      <w:r>
        <w:t xml:space="preserve">0</w:t>
      </w:r>
      <w:r>
        <w:t xml:space="preserve"> </w:t>
      </w:r>
      <w:r>
        <w:t xml:space="preserve">of</w:t>
      </w:r>
      <w:r>
        <w:t xml:space="preserve"> </w:t>
      </w:r>
      <w:r>
        <w:t xml:space="preserve">36</w:t>
      </w:r>
      <w:r>
        <w:t xml:space="preserve"> </w:t>
      </w:r>
      <w:r>
        <w:rPr>
          <w:i/>
          <w:iCs/>
        </w:rPr>
        <w:t xml:space="preserve">σ</w:t>
      </w:r>
      <w:r>
        <w:t xml:space="preserve">,</w:t>
      </w:r>
      <w:r>
        <w:t xml:space="preserve"> </w:t>
      </w:r>
      <w:r>
        <w:rPr>
          <w:i/>
          <w:iCs/>
        </w:rPr>
        <w:t xml:space="preserve">κ</w:t>
      </w:r>
      <w:r>
        <w:t xml:space="preserve"> </w:t>
      </w:r>
      <w:r>
        <w:t xml:space="preserve">and zT values from</w:t>
      </w:r>
      <w:r>
        <w:t xml:space="preserve"> </w:t>
      </w:r>
      <w:r>
        <w:t xml:space="preserve">3</w:t>
      </w:r>
      <w:r>
        <w:t xml:space="preserve"> </w:t>
      </w:r>
      <w:r>
        <w:t xml:space="preserve">independent papers lie inside the measurement band at the exact level (the inter-laboratory measurement uncertainty,</w:t>
      </w:r>
      <w:r>
        <w:t xml:space="preserve"> </w:t>
      </w:r>
      <w:r>
        <w:t xml:space="preserve">6</w:t>
      </w:r>
      <w:r>
        <w:t xml:space="preserve">–</w:t>
      </w:r>
      <w:r>
        <w:t xml:space="preserve">19</w:t>
      </w:r>
      <w:r>
        <w:t xml:space="preserve"> </w:t>
      </w:r>
      <w:r>
        <w:t xml:space="preserve">%). Direct zT regression outperformed the component-wise route S</w:t>
      </w:r>
      <w:r>
        <w:rPr>
          <w:vertAlign w:val="superscript"/>
        </w:rPr>
        <w:t xml:space="preserve">2</w:t>
      </w:r>
      <w:r>
        <w:rPr>
          <w:i/>
          <w:iCs/>
        </w:rPr>
        <w:t xml:space="preserve">σ</w:t>
      </w:r>
      <w:r>
        <w:t xml:space="preserve">T/</w:t>
      </w:r>
      <w:r>
        <w:rPr>
          <w:i/>
          <w:iCs/>
        </w:rPr>
        <w:t xml:space="preserve">κ</w:t>
      </w:r>
      <w:r>
        <w:t xml:space="preserve"> </w:t>
      </w:r>
      <w:r>
        <w:t xml:space="preserve">(R</w:t>
      </w:r>
      <w:r>
        <w:rPr>
          <w:vertAlign w:val="superscript"/>
        </w:rPr>
        <w:t xml:space="preserve">2</w:t>
      </w:r>
      <w:r>
        <w:t xml:space="preserve"> </w:t>
      </w:r>
      <w:r>
        <w:t xml:space="preserve">=</w:t>
      </w:r>
      <w:r>
        <w:t xml:space="preserve"> </w:t>
      </w:r>
      <w:r>
        <w:t xml:space="preserve">0.727</w:t>
      </w:r>
      <w:r>
        <w:t xml:space="preserve"> </w:t>
      </w:r>
      <w:r>
        <w:t xml:space="preserve">vs</w:t>
      </w:r>
      <w:r>
        <w:t xml:space="preserve"> </w:t>
      </w:r>
      <w:r>
        <w:t xml:space="preserve">0.540</w:t>
      </w:r>
      <w:r>
        <w:t xml:space="preserve">) because component errors compound, and SHAP analysis ranked temperature first for the zT model and a CBFV statistic first for the S,</w:t>
      </w:r>
      <w:r>
        <w:t xml:space="preserve"> </w:t>
      </w:r>
      <w:r>
        <w:rPr>
          <w:i/>
          <w:iCs/>
        </w:rPr>
        <w:t xml:space="preserve">σ</w:t>
      </w:r>
      <w:r>
        <w:t xml:space="preserve"> </w:t>
      </w:r>
      <w:r>
        <w:t xml:space="preserve">and</w:t>
      </w:r>
      <w:r>
        <w:t xml:space="preserve"> </w:t>
      </w:r>
      <w:r>
        <w:rPr>
          <w:i/>
          <w:iCs/>
        </w:rPr>
        <w:t xml:space="preserve">κ</w:t>
      </w:r>
      <w:r>
        <w:t xml:space="preserve"> </w:t>
      </w:r>
      <w:r>
        <w:t xml:space="preserve">models. No predicted zT of any other candidate is presented as a finding. Composition-based models are useful for triage, but chemistry-aware validation is essential to avoid overstating their accuracy.</w:t>
      </w:r>
    </w:p>
    <w:p>
      <w:pPr>
        <w:pStyle w:val="BodyText"/>
      </w:pPr>
      <w:r>
        <w:rPr>
          <w:b/>
          <w:bCs/>
        </w:rPr>
        <w:t xml:space="preserve">Keywords:</w:t>
      </w:r>
      <w:r>
        <w:t xml:space="preserve"> </w:t>
      </w:r>
      <w:r>
        <w:t xml:space="preserve">Thermoelectric materials ; Machine learning ; Lead-free perovskites ; Validation bias ; Data leakage ; Figure of merit ; XGBoost ; SHAP</w:t>
      </w:r>
    </w:p>
    <w:p>
      <w:pPr>
        <w:pStyle w:val="BodyText"/>
      </w:pPr>
      <w:r>
        <w:rPr>
          <w:vertAlign w:val="superscript"/>
        </w:rPr>
        <w:t xml:space="preserve">∗</w:t>
      </w:r>
      <w:r>
        <w:t xml:space="preserve">Corresponding author. E-mail address:</w:t>
      </w:r>
      <w:r>
        <w:t xml:space="preserve"> </w:t>
      </w:r>
      <w:hyperlink r:id="rId9">
        <w:r>
          <w:rPr>
            <w:rStyle w:val="Hyperlink"/>
          </w:rPr>
          <w:t xml:space="preserve">muhammad.ejaz@paf-iast.edu.pk</w:t>
        </w:r>
      </w:hyperlink>
    </w:p>
    <w:bookmarkStart w:id="13" w:name="introduction"/>
    <w:p>
      <w:pPr>
        <w:pStyle w:val="Heading1"/>
      </w:pPr>
      <w:r>
        <w:t xml:space="preserve">1 Introduction</w:t>
      </w:r>
    </w:p>
    <w:p>
      <w:pPr>
        <w:pStyle w:val="FirstParagraph"/>
      </w:pPr>
      <w:r>
        <w:t xml:space="preserve">The world’s energy situation is challenged both by the rapidly rising demand for energy and the need to reduce carbon emissions for environmental reasons. Waste heat is a crucial, but underutilized, resource in this equation. It has been estimated that approximately</w:t>
      </w:r>
      <w:r>
        <w:t xml:space="preserve"> </w:t>
      </w:r>
      <w:r>
        <w:t xml:space="preserve">72</w:t>
      </w:r>
      <w:r>
        <w:t xml:space="preserve">% of global primary energy consumption is lost after conversion, largely as low-grade heat from combustion engines, industrial furnaces and power plants</w:t>
      </w:r>
      <w:r>
        <w:rPr>
          <w:vertAlign w:val="superscript"/>
        </w:rPr>
        <w:t xml:space="preserve">1</w:t>
      </w:r>
      <w:r>
        <w:t xml:space="preserve">. Thermoelectric generators are solid-state devices that need no maintenance. They exploit the Seebeck effect to directly convert temperature gradients into an electrical voltage, thus recovering this lost energy as electricity</w:t>
      </w:r>
      <w:r>
        <w:rPr>
          <w:vertAlign w:val="superscript"/>
        </w:rPr>
        <w:t xml:space="preserve">2</w:t>
      </w:r>
      <w:r>
        <w:t xml:space="preserve">.</w:t>
      </w:r>
    </w:p>
    <w:p>
      <w:pPr>
        <w:pStyle w:val="BodyText"/>
      </w:pPr>
      <w:r>
        <w:t xml:space="preserve">The efficiency of thermoelectric conversion is determined by the dimensionless figure of merit (Eq. (1)), where S is the Seebeck coefficient (</w:t>
      </w:r>
      <w:r>
        <w:rPr>
          <w:i/>
          <w:iCs/>
        </w:rPr>
        <w:t xml:space="preserve">µ</w:t>
      </w:r>
      <w:r>
        <w:t xml:space="preserve">V K</w:t>
      </w:r>
      <w:r>
        <w:rPr>
          <w:vertAlign w:val="superscript"/>
        </w:rPr>
        <w:t xml:space="preserve">−1</w:t>
      </w:r>
      <w:r>
        <w:t xml:space="preserve">),</w:t>
      </w:r>
      <w:r>
        <w:t xml:space="preserve"> </w:t>
      </w:r>
      <w:r>
        <w:rPr>
          <w:i/>
          <w:iCs/>
        </w:rPr>
        <w:t xml:space="preserve">σ</w:t>
      </w:r>
      <w:r>
        <w:t xml:space="preserve"> </w:t>
      </w:r>
      <w:r>
        <w:t xml:space="preserve">is the electrical conductivity (S m</w:t>
      </w:r>
      <w:r>
        <w:rPr>
          <w:vertAlign w:val="superscript"/>
        </w:rPr>
        <w:t xml:space="preserve">−1</w:t>
      </w:r>
      <w:r>
        <w:t xml:space="preserve">), T is the absolute temperature (K), and</w:t>
      </w:r>
      <w:r>
        <w:t xml:space="preserve"> </w:t>
      </w:r>
      <w:r>
        <w:rPr>
          <w:i/>
          <w:iCs/>
        </w:rPr>
        <w:t xml:space="preserve">κ</w:t>
      </w:r>
      <w:r>
        <w:t xml:space="preserve"> </w:t>
      </w:r>
      <w:r>
        <w:t xml:space="preserve">is the thermal conductivity (W m</w:t>
      </w:r>
      <w:r>
        <w:rPr>
          <w:vertAlign w:val="superscript"/>
        </w:rPr>
        <w:t xml:space="preserve">−1</w:t>
      </w:r>
      <w:r>
        <w:t xml:space="preserve"> </w:t>
      </w:r>
      <w:r>
        <w:t xml:space="preserve">K</w:t>
      </w:r>
      <w:r>
        <w:rPr>
          <w:vertAlign w:val="superscript"/>
        </w:rPr>
        <w:t xml:space="preserve">−1</w:t>
      </w:r>
      <w:r>
        <w:t xml:space="preserve">), the sum of electronic (</w:t>
      </w:r>
      <w:r>
        <w:rPr>
          <w:i/>
          <w:iCs/>
        </w:rPr>
        <w:t xml:space="preserve">κ</w:t>
      </w:r>
      <w:r>
        <w:rPr>
          <w:vertAlign w:val="subscript"/>
        </w:rPr>
        <w:t xml:space="preserve">e</w:t>
      </w:r>
      <w:r>
        <w:t xml:space="preserve">) and lattice (</w:t>
      </w:r>
      <w:r>
        <w:rPr>
          <w:i/>
          <w:iCs/>
        </w:rPr>
        <w:t xml:space="preserve">κ</w:t>
      </w:r>
      <w:r>
        <w:rPr>
          <w:vertAlign w:val="subscript"/>
        </w:rPr>
        <w:t xml:space="preserve">l</w:t>
      </w:r>
      <w:r>
        <w:t xml:space="preserve">) contributions (Eq. (2)):</w:t>
      </w:r>
    </w:p>
    <w:p>
      <w:pPr>
        <w:pStyle w:val="BodyText"/>
      </w:pPr>
      <m:oMath>
        <m:r>
          <m:t>z</m:t>
        </m:r>
        <m:r>
          <m:t>T</m:t>
        </m:r>
        <m:r>
          <m:rPr>
            <m:sty m:val="p"/>
          </m:rPr>
          <m:t>=</m:t>
        </m:r>
        <m:f>
          <m:fPr>
            <m:type m:val="bar"/>
          </m:fPr>
          <m:num>
            <m:sSup>
              <m:e>
                <m:r>
                  <m:t>S</m:t>
                </m:r>
              </m:e>
              <m:sup>
                <m:r>
                  <m:t>2</m:t>
                </m:r>
              </m:sup>
            </m:sSup>
            <m:r>
              <m:t>σ</m:t>
            </m:r>
            <m:r>
              <m:t>T</m:t>
            </m:r>
          </m:num>
          <m:den>
            <m:r>
              <m:t>κ</m:t>
            </m:r>
          </m:den>
        </m:f>
      </m:oMath>
      <w:r>
        <w:t xml:space="preserve"> </w:t>
      </w:r>
      <w:r>
        <w:t xml:space="preserve">(1)</w:t>
      </w:r>
    </w:p>
    <w:p>
      <w:pPr>
        <w:pStyle w:val="BodyText"/>
      </w:pPr>
      <m:oMath>
        <m:r>
          <m:t>κ</m:t>
        </m:r>
        <m:r>
          <m:rPr>
            <m:sty m:val="p"/>
          </m:rPr>
          <m:t>=</m:t>
        </m:r>
        <m:sSub>
          <m:e>
            <m:r>
              <m:t>κ</m:t>
            </m:r>
          </m:e>
          <m:sub>
            <m:r>
              <m:t>e</m:t>
            </m:r>
          </m:sub>
        </m:sSub>
        <m:r>
          <m:rPr>
            <m:sty m:val="p"/>
          </m:rPr>
          <m:t>+</m:t>
        </m:r>
        <m:sSub>
          <m:e>
            <m:r>
              <m:t>κ</m:t>
            </m:r>
          </m:e>
          <m:sub>
            <m:r>
              <m:t>l</m:t>
            </m:r>
          </m:sub>
        </m:sSub>
      </m:oMath>
      <w:r>
        <w:t xml:space="preserve"> </w:t>
      </w:r>
      <w:r>
        <w:t xml:space="preserve">(2)</w:t>
      </w:r>
    </w:p>
    <w:p>
      <w:pPr>
        <w:pStyle w:val="BodyText"/>
      </w:pPr>
      <w:r>
        <w:t xml:space="preserve">The fundamental physical challenge is to maximize zT. The problem stems from the coupling of S,</w:t>
      </w:r>
      <w:r>
        <w:t xml:space="preserve"> </w:t>
      </w:r>
      <w:r>
        <w:rPr>
          <w:i/>
          <w:iCs/>
        </w:rPr>
        <w:t xml:space="preserve">σ</w:t>
      </w:r>
      <w:r>
        <w:t xml:space="preserve"> </w:t>
      </w:r>
      <w:r>
        <w:t xml:space="preserve">and</w:t>
      </w:r>
      <w:r>
        <w:t xml:space="preserve"> </w:t>
      </w:r>
      <w:r>
        <w:rPr>
          <w:i/>
          <w:iCs/>
        </w:rPr>
        <w:t xml:space="preserve">κ</w:t>
      </w:r>
      <w:r>
        <w:rPr>
          <w:vertAlign w:val="subscript"/>
        </w:rPr>
        <w:t xml:space="preserve">e</w:t>
      </w:r>
      <w:r>
        <w:t xml:space="preserve"> </w:t>
      </w:r>
      <w:r>
        <w:t xml:space="preserve">through the carrier concentration and the Wiedemann–Franz law. A material with a high zT should be designed according to the</w:t>
      </w:r>
      <w:r>
        <w:t xml:space="preserve"> </w:t>
      </w:r>
      <w:r>
        <w:t xml:space="preserve">“phonon-glass electron-crystal”</w:t>
      </w:r>
      <w:r>
        <w:t xml:space="preserve"> </w:t>
      </w:r>
      <w:r>
        <w:t xml:space="preserve">(PGEC) concept, which conducts electricity as a crystal but scatters heat like a glass</w:t>
      </w:r>
      <w:r>
        <w:rPr>
          <w:vertAlign w:val="superscript"/>
        </w:rPr>
        <w:t xml:space="preserve">3,4</w:t>
      </w:r>
      <w:r>
        <w:t xml:space="preserve">.</w:t>
      </w:r>
    </w:p>
    <w:p>
      <w:pPr>
        <w:pStyle w:val="BodyText"/>
      </w:pPr>
      <w:r>
        <w:t xml:space="preserve">The best thermoelectric materials available today contain toxic lead. Lead telluride (PbTe) and its alloys exhibit zT values as high as ≈</w:t>
      </w:r>
      <w:r>
        <w:t xml:space="preserve">2.2</w:t>
      </w:r>
      <w:r>
        <w:t xml:space="preserve"> </w:t>
      </w:r>
      <w:r>
        <w:t xml:space="preserve">at</w:t>
      </w:r>
      <w:r>
        <w:t xml:space="preserve"> </w:t>
      </w:r>
      <w:r>
        <w:t xml:space="preserve">915</w:t>
      </w:r>
      <w:r>
        <w:t xml:space="preserve"> </w:t>
      </w:r>
      <w:r>
        <w:t xml:space="preserve">K (p-type PbTe–SrTe)</w:t>
      </w:r>
      <w:r>
        <w:rPr>
          <w:vertAlign w:val="superscript"/>
        </w:rPr>
        <w:t xml:space="preserve">5</w:t>
      </w:r>
      <w:r>
        <w:t xml:space="preserve">, but their use is increasingly constrained by environmental and regulatory concerns. Bismuth telluride-based alloys (Bi</w:t>
      </w:r>
      <w:r>
        <w:rPr>
          <w:vertAlign w:val="subscript"/>
        </w:rPr>
        <w:t xml:space="preserve">2</w:t>
      </w:r>
      <w:r>
        <w:t xml:space="preserve">Te</w:t>
      </w:r>
      <w:r>
        <w:rPr>
          <w:vertAlign w:val="subscript"/>
        </w:rPr>
        <w:t xml:space="preserve">3</w:t>
      </w:r>
      <w:r>
        <w:t xml:space="preserve">) dominate near-room-temperature applications, with zT of about</w:t>
      </w:r>
      <w:r>
        <w:t xml:space="preserve"> </w:t>
      </w:r>
      <w:r>
        <w:t xml:space="preserve">1</w:t>
      </w:r>
      <w:r>
        <w:t xml:space="preserve"> </w:t>
      </w:r>
      <w:r>
        <w:t xml:space="preserve">historically and a peak of</w:t>
      </w:r>
      <w:r>
        <w:t xml:space="preserve"> </w:t>
      </w:r>
      <w:r>
        <w:t xml:space="preserve">1.4</w:t>
      </w:r>
      <w:r>
        <w:t xml:space="preserve"> </w:t>
      </w:r>
      <w:r>
        <w:t xml:space="preserve">at</w:t>
      </w:r>
      <w:r>
        <w:t xml:space="preserve"> </w:t>
      </w:r>
      <w:r>
        <w:t xml:space="preserve">100</w:t>
      </w:r>
      <w:r>
        <w:t xml:space="preserve"> </w:t>
      </w:r>
      <w:r>
        <w:t xml:space="preserve">°C in nanocrystalline Bi–Sb–Te bulk alloys</w:t>
      </w:r>
      <w:r>
        <w:rPr>
          <w:vertAlign w:val="superscript"/>
        </w:rPr>
        <w:t xml:space="preserve">6</w:t>
      </w:r>
      <w:r>
        <w:t xml:space="preserve">, while silicon–germanium alloys serve high-temperature applications. The push to eliminate Pb has led to research on other material families; lead-free halide perovskites have attracted attention as candidates, partly because of their ultralow lattice thermal conductivity</w:t>
      </w:r>
      <w:r>
        <w:rPr>
          <w:vertAlign w:val="superscript"/>
        </w:rPr>
        <w:t xml:space="preserve">7,8</w:t>
      </w:r>
      <w:r>
        <w:t xml:space="preserve">.</w:t>
      </w:r>
    </w:p>
    <w:p>
      <w:pPr>
        <w:pStyle w:val="BodyText"/>
      </w:pPr>
      <w:r>
        <w:t xml:space="preserve">Perovskites with general formula ABX</w:t>
      </w:r>
      <w:r>
        <w:rPr>
          <w:vertAlign w:val="subscript"/>
        </w:rPr>
        <w:t xml:space="preserve">3</w:t>
      </w:r>
      <w:r>
        <w:t xml:space="preserve"> </w:t>
      </w:r>
      <w:r>
        <w:t xml:space="preserve">consist of corner-sharing BX</w:t>
      </w:r>
      <w:r>
        <w:rPr>
          <w:vertAlign w:val="subscript"/>
        </w:rPr>
        <w:t xml:space="preserve">6</w:t>
      </w:r>
      <w:r>
        <w:t xml:space="preserve"> </w:t>
      </w:r>
      <w:r>
        <w:t xml:space="preserve">octahedra with A cations in the interstitial voids, and offer considerable octahedral-tilting and chemical flexibility. Many perovskites possess intrinsically low lattice thermal conductivity due to soft, anharmonic lattice vibrations</w:t>
      </w:r>
      <w:r>
        <w:rPr>
          <w:vertAlign w:val="superscript"/>
        </w:rPr>
        <w:t xml:space="preserve">7,9</w:t>
      </w:r>
      <w:r>
        <w:t xml:space="preserve">, a desirable property for thermoelectric applications.</w:t>
      </w:r>
    </w:p>
    <w:p>
      <w:pPr>
        <w:pStyle w:val="CaptionedFigure"/>
      </w:pPr>
      <w:r>
        <w:drawing>
          <wp:inline>
            <wp:extent cx="3059999" cy="3206440"/>
            <wp:effectExtent b="0" l="0" r="0" t="0"/>
            <wp:docPr descr="Figure 1" title="" id="11" name="Picture"/>
            <a:graphic>
              <a:graphicData uri="http://schemas.openxmlformats.org/drawingml/2006/picture">
                <pic:pic>
                  <pic:nvPicPr>
                    <pic:cNvPr descr="../figures/fig3_perovskite_structure.png" id="12" name="Picture"/>
                    <pic:cNvPicPr>
                      <a:picLocks noChangeArrowheads="1" noChangeAspect="1"/>
                    </pic:cNvPicPr>
                  </pic:nvPicPr>
                  <pic:blipFill>
                    <a:blip r:embed="rId10"/>
                    <a:stretch>
                      <a:fillRect/>
                    </a:stretch>
                  </pic:blipFill>
                  <pic:spPr bwMode="auto">
                    <a:xfrm>
                      <a:off x="0" y="0"/>
                      <a:ext cx="3059999" cy="3206440"/>
                    </a:xfrm>
                    <a:prstGeom prst="rect">
                      <a:avLst/>
                    </a:prstGeom>
                    <a:noFill/>
                    <a:ln w="9525">
                      <a:noFill/>
                      <a:headEnd/>
                      <a:tailEnd/>
                    </a:ln>
                  </pic:spPr>
                </pic:pic>
              </a:graphicData>
            </a:graphic>
          </wp:inline>
        </w:drawing>
      </w:r>
    </w:p>
    <w:p>
      <w:pPr>
        <w:pStyle w:val="ImageCaption"/>
      </w:pPr>
      <w:r>
        <w:t xml:space="preserve">Figure 1</w:t>
      </w:r>
    </w:p>
    <w:p>
      <w:pPr>
        <w:pStyle w:val="BodyText"/>
      </w:pPr>
      <w:r>
        <w:rPr>
          <w:b/>
          <w:bCs/>
        </w:rPr>
        <w:t xml:space="preserve">Figure 1:</w:t>
      </w:r>
      <w:r>
        <w:t xml:space="preserve"> </w:t>
      </w:r>
      <w:r>
        <w:t xml:space="preserve">Schematic of the ideal cubic perovskite structure (ABX</w:t>
      </w:r>
      <w:r>
        <w:rPr>
          <w:vertAlign w:val="subscript"/>
        </w:rPr>
        <w:t xml:space="preserve">3</w:t>
      </w:r>
      <w:r>
        <w:t xml:space="preserve">), drawn by the authors from the fractional coordinates of the</w:t>
      </w:r>
      <w:r>
        <w:t xml:space="preserve"> </w:t>
      </w:r>
      <w:r>
        <w:rPr>
          <w:i/>
          <w:iCs/>
        </w:rPr>
        <w:t xml:space="preserve">Pm</w:t>
      </w:r>
      <w:r>
        <w:t xml:space="preserve">3̄</w:t>
      </w:r>
      <w:r>
        <w:rPr>
          <w:i/>
          <w:iCs/>
        </w:rPr>
        <w:t xml:space="preserve">m</w:t>
      </w:r>
      <w:r>
        <w:t xml:space="preserve"> </w:t>
      </w:r>
      <w:r>
        <w:t xml:space="preserve">cell in an oblique projection: A-site cations (green) at the corners, the B-site cation (blue) at the body centre and X-site anions (orange-red) at the face centres, forming the BX</w:t>
      </w:r>
      <w:r>
        <w:rPr>
          <w:vertAlign w:val="subscript"/>
        </w:rPr>
        <w:t xml:space="preserve">6</w:t>
      </w:r>
      <w:r>
        <w:t xml:space="preserve"> </w:t>
      </w:r>
      <w:r>
        <w:t xml:space="preserve">octahedron;</w:t>
      </w:r>
      <w:r>
        <w:t xml:space="preserve"> </w:t>
      </w:r>
      <w:r>
        <w:rPr>
          <w:i/>
          <w:iCs/>
        </w:rPr>
        <w:t xml:space="preserve">a</w:t>
      </w:r>
      <w:r>
        <w:t xml:space="preserve"> </w:t>
      </w:r>
      <w:r>
        <w:t xml:space="preserve">is the lattice parameter.</w:t>
      </w:r>
    </w:p>
    <w:p>
      <w:pPr>
        <w:pStyle w:val="BodyText"/>
      </w:pPr>
      <w:r>
        <w:t xml:space="preserve">Lead-based halide perovskites such as CsPbI</w:t>
      </w:r>
      <w:r>
        <w:rPr>
          <w:vertAlign w:val="subscript"/>
        </w:rPr>
        <w:t xml:space="preserve">3</w:t>
      </w:r>
      <w:r>
        <w:t xml:space="preserve"> </w:t>
      </w:r>
      <w:r>
        <w:t xml:space="preserve">show ultralow thermal conductivity owing to their soft lattices</w:t>
      </w:r>
      <w:r>
        <w:rPr>
          <w:vertAlign w:val="superscript"/>
        </w:rPr>
        <w:t xml:space="preserve">7</w:t>
      </w:r>
      <w:r>
        <w:t xml:space="preserve">, but lead toxicity remains a critical bottleneck. Research has thus moved to lead-free alternatives using Sn, Ge or Bi. Sn-based perovskites are unstable due to the facile oxidation of Sn</w:t>
      </w:r>
      <w:r>
        <w:rPr>
          <w:vertAlign w:val="superscript"/>
        </w:rPr>
        <w:t xml:space="preserve">2+</w:t>
      </w:r>
      <w:r>
        <w:t xml:space="preserve"> </w:t>
      </w:r>
      <w:r>
        <w:t xml:space="preserve">to Sn</w:t>
      </w:r>
      <w:r>
        <w:rPr>
          <w:vertAlign w:val="superscript"/>
        </w:rPr>
        <w:t xml:space="preserve">4+</w:t>
      </w:r>
      <w:r>
        <w:rPr>
          <w:vertAlign w:val="superscript"/>
        </w:rPr>
        <w:t xml:space="preserve">10</w:t>
      </w:r>
      <w:r>
        <w:t xml:space="preserve">, and other alternatives show lower intrinsic efficiencies. Oxide perovskites including SrTiO</w:t>
      </w:r>
      <w:r>
        <w:rPr>
          <w:vertAlign w:val="subscript"/>
        </w:rPr>
        <w:t xml:space="preserve">3</w:t>
      </w:r>
      <w:r>
        <w:t xml:space="preserve">, CaMnO</w:t>
      </w:r>
      <w:r>
        <w:rPr>
          <w:vertAlign w:val="subscript"/>
        </w:rPr>
        <w:t xml:space="preserve">3</w:t>
      </w:r>
      <w:r>
        <w:t xml:space="preserve"> </w:t>
      </w:r>
      <w:r>
        <w:t xml:space="preserve">and LaCoO</w:t>
      </w:r>
      <w:r>
        <w:rPr>
          <w:vertAlign w:val="subscript"/>
        </w:rPr>
        <w:t xml:space="preserve">3</w:t>
      </w:r>
      <w:r>
        <w:t xml:space="preserve"> </w:t>
      </w:r>
      <w:r>
        <w:t xml:space="preserve">have been investigated for high-temperature applications, with doped compositions reaching zT of ≈</w:t>
      </w:r>
      <w:r>
        <w:t xml:space="preserve">0.2</w:t>
      </w:r>
      <w:r>
        <w:t xml:space="preserve"> </w:t>
      </w:r>
      <w:r>
        <w:t xml:space="preserve">(Yb-doped CaMnO</w:t>
      </w:r>
      <w:r>
        <w:rPr>
          <w:vertAlign w:val="subscript"/>
        </w:rPr>
        <w:t xml:space="preserve">3</w:t>
      </w:r>
      <w:r>
        <w:t xml:space="preserve"> </w:t>
      </w:r>
      <w:r>
        <w:t xml:space="preserve">at</w:t>
      </w:r>
      <w:r>
        <w:t xml:space="preserve"> </w:t>
      </w:r>
      <w:r>
        <w:t xml:space="preserve">1000</w:t>
      </w:r>
      <w:r>
        <w:t xml:space="preserve"> </w:t>
      </w:r>
      <w:r>
        <w:t xml:space="preserve">K</w:t>
      </w:r>
      <w:r>
        <w:rPr>
          <w:vertAlign w:val="superscript"/>
        </w:rPr>
        <w:t xml:space="preserve">11</w:t>
      </w:r>
      <w:r>
        <w:t xml:space="preserve">) and</w:t>
      </w:r>
      <w:r>
        <w:t xml:space="preserve"> </w:t>
      </w:r>
      <w:r>
        <w:t xml:space="preserve">0.18</w:t>
      </w:r>
      <w:r>
        <w:t xml:space="preserve"> </w:t>
      </w:r>
      <w:r>
        <w:t xml:space="preserve">at room temperature (La</w:t>
      </w:r>
      <w:r>
        <w:rPr>
          <w:vertAlign w:val="subscript"/>
        </w:rPr>
        <w:t xml:space="preserve">0.95</w:t>
      </w:r>
      <w:r>
        <w:t xml:space="preserve">Sr</w:t>
      </w:r>
      <w:r>
        <w:rPr>
          <w:vertAlign w:val="subscript"/>
        </w:rPr>
        <w:t xml:space="preserve">0.05</w:t>
      </w:r>
      <w:r>
        <w:t xml:space="preserve">CoO</w:t>
      </w:r>
      <w:r>
        <w:rPr>
          <w:vertAlign w:val="subscript"/>
        </w:rPr>
        <w:t xml:space="preserve">3</w:t>
      </w:r>
      <w:r>
        <w:rPr>
          <w:vertAlign w:val="superscript"/>
        </w:rPr>
        <w:t xml:space="preserve">12</w:t>
      </w:r>
      <w:r>
        <w:t xml:space="preserve">). The chemical space of possible lead-free perovskites is enormous, and pinpointing which compositions are both stable and efficient is still non-trivial.</w:t>
      </w:r>
    </w:p>
    <w:p>
      <w:pPr>
        <w:pStyle w:val="BodyText"/>
      </w:pPr>
      <w:r>
        <w:t xml:space="preserve">Density functional theory (DFT) coupled with the Boltzmann transport equation (BTE) provides a rigorous framework to predict thermoelectric properties. However, a full transport calculation for a single complex crystal may require weeks of supercomputer time</w:t>
      </w:r>
      <w:r>
        <w:rPr>
          <w:vertAlign w:val="superscript"/>
        </w:rPr>
        <w:t xml:space="preserve">13</w:t>
      </w:r>
      <w:r>
        <w:t xml:space="preserve">, rendering high-throughput screening of thousands of candidates impractical. Machine learning models can learn nonlinear structure–property relationships from existing data and screen thousands of candidates in seconds. Parse et al.</w:t>
      </w:r>
      <w:r>
        <w:rPr>
          <w:vertAlign w:val="superscript"/>
        </w:rPr>
        <w:t xml:space="preserve">14</w:t>
      </w:r>
      <w:r>
        <w:t xml:space="preserve"> </w:t>
      </w:r>
      <w:r>
        <w:t xml:space="preserve">predicted zT with R</w:t>
      </w:r>
      <w:r>
        <w:rPr>
          <w:vertAlign w:val="superscript"/>
        </w:rPr>
        <w:t xml:space="preserve">2</w:t>
      </w:r>
      <w:r>
        <w:t xml:space="preserve"> </w:t>
      </w:r>
      <w:r>
        <w:t xml:space="preserve">=</w:t>
      </w:r>
      <w:r>
        <w:t xml:space="preserve"> </w:t>
      </w:r>
      <w:r>
        <w:t xml:space="preserve">0.815</w:t>
      </w:r>
      <w:r>
        <w:t xml:space="preserve">, Jia et al.</w:t>
      </w:r>
      <w:r>
        <w:rPr>
          <w:vertAlign w:val="superscript"/>
        </w:rPr>
        <w:t xml:space="preserve">15</w:t>
      </w:r>
      <w:r>
        <w:t xml:space="preserve"> </w:t>
      </w:r>
      <w:r>
        <w:t xml:space="preserve">achieved R</w:t>
      </w:r>
      <w:r>
        <w:rPr>
          <w:vertAlign w:val="superscript"/>
        </w:rPr>
        <w:t xml:space="preserve">2</w:t>
      </w:r>
      <w:r>
        <w:t xml:space="preserve"> </w:t>
      </w:r>
      <w:r>
        <w:t xml:space="preserve">≈</w:t>
      </w:r>
      <w:r>
        <w:t xml:space="preserve"> </w:t>
      </w:r>
      <w:r>
        <w:t xml:space="preserve">0.90</w:t>
      </w:r>
      <w:r>
        <w:t xml:space="preserve">, and Sun et al.</w:t>
      </w:r>
      <w:r>
        <w:rPr>
          <w:vertAlign w:val="superscript"/>
        </w:rPr>
        <w:t xml:space="preserve">16</w:t>
      </w:r>
      <w:r>
        <w:t xml:space="preserve"> </w:t>
      </w:r>
      <w:r>
        <w:t xml:space="preserve">reported R</w:t>
      </w:r>
      <w:r>
        <w:rPr>
          <w:vertAlign w:val="superscript"/>
        </w:rPr>
        <w:t xml:space="preserve">2</w:t>
      </w:r>
      <w:r>
        <w:t xml:space="preserve"> </w:t>
      </w:r>
      <w:r>
        <w:t xml:space="preserve">=</w:t>
      </w:r>
      <w:r>
        <w:t xml:space="preserve"> </w:t>
      </w:r>
      <w:r>
        <w:t xml:space="preserve">0.90</w:t>
      </w:r>
      <w:r>
        <w:t xml:space="preserve"> </w:t>
      </w:r>
      <w:r>
        <w:t xml:space="preserve">on a test set using deep neural networks.</w:t>
      </w:r>
    </w:p>
    <w:p>
      <w:pPr>
        <w:pStyle w:val="BodyText"/>
      </w:pPr>
      <w:r>
        <w:t xml:space="preserve">However, existing ML implementations have two major weaknesses. The first is a</w:t>
      </w:r>
      <w:r>
        <w:t xml:space="preserve"> </w:t>
      </w:r>
      <w:r>
        <w:t xml:space="preserve">‘black-box’</w:t>
      </w:r>
      <w:r>
        <w:t xml:space="preserve"> </w:t>
      </w:r>
      <w:r>
        <w:t xml:space="preserve">limitation: models predict zT as a single output but do not disclose the underlying trade-offs among S,</w:t>
      </w:r>
      <w:r>
        <w:t xml:space="preserve"> </w:t>
      </w:r>
      <w:r>
        <w:rPr>
          <w:i/>
          <w:iCs/>
        </w:rPr>
        <w:t xml:space="preserve">σ</w:t>
      </w:r>
      <w:r>
        <w:t xml:space="preserve"> </w:t>
      </w:r>
      <w:r>
        <w:t xml:space="preserve">and</w:t>
      </w:r>
      <w:r>
        <w:t xml:space="preserve"> </w:t>
      </w:r>
      <w:r>
        <w:rPr>
          <w:i/>
          <w:iCs/>
        </w:rPr>
        <w:t xml:space="preserve">κ</w:t>
      </w:r>
      <w:r>
        <w:t xml:space="preserve">, and can yield physically inconsistent property combinations. The second is data leakage: random train–test splits can place temperature-series data from the same material in both training and test sets, producing inflated accuracies that overestimate true generalization</w:t>
      </w:r>
      <w:r>
        <w:rPr>
          <w:vertAlign w:val="superscript"/>
        </w:rPr>
        <w:t xml:space="preserve">17,18</w:t>
      </w:r>
      <w:r>
        <w:t xml:space="preserve">. Grouped validation has been studied in general materials informatics</w:t>
      </w:r>
      <w:r>
        <w:rPr>
          <w:vertAlign w:val="superscript"/>
        </w:rPr>
        <w:t xml:space="preserve">18–20</w:t>
      </w:r>
      <w:r>
        <w:t xml:space="preserve">, and a comparison of random, composition-wise and family-wise splits exists for a small thermoelectric subset</w:t>
      </w:r>
      <w:r>
        <w:rPr>
          <w:vertAlign w:val="superscript"/>
        </w:rPr>
        <w:t xml:space="preserve">21</w:t>
      </w:r>
      <w:r>
        <w:t xml:space="preserve">; to our knowledge, no study has quantified, on a full database snapshot and with one model and one set of hyperparameters, how much leakage inflates reported performance across five validation strategies.</w:t>
      </w:r>
    </w:p>
    <w:p>
      <w:pPr>
        <w:pStyle w:val="BodyText"/>
      </w:pPr>
      <w:r>
        <w:t xml:space="preserve">Table 1 lists the metric and the validation protocol that each published thermoelectric ML study reports. The studies differ in dataset, target, preprocessing and validation protocol, so their values are not comparable with one another or with the R</w:t>
      </w:r>
      <w:r>
        <w:rPr>
          <w:vertAlign w:val="superscript"/>
        </w:rPr>
        <w:t xml:space="preserve">2</w:t>
      </w:r>
      <w:r>
        <w:t xml:space="preserve"> </w:t>
      </w:r>
      <w:r>
        <w:t xml:space="preserve">values of this work, and no ranking is made. What Table 1 shows is the protocol: k-fold CV over rows</w:t>
      </w:r>
      <w:r>
        <w:rPr>
          <w:vertAlign w:val="superscript"/>
        </w:rPr>
        <w:t xml:space="preserve">22</w:t>
      </w:r>
      <w:r>
        <w:t xml:space="preserve"> </w:t>
      </w:r>
      <w:r>
        <w:t xml:space="preserve">(and the added five-fold CV of</w:t>
      </w:r>
      <w:r>
        <w:rPr>
          <w:vertAlign w:val="superscript"/>
        </w:rPr>
        <w:t xml:space="preserve">14</w:t>
      </w:r>
      <w:r>
        <w:t xml:space="preserve">) on one side, compound- or composition-level splits</w:t>
      </w:r>
      <w:r>
        <w:rPr>
          <w:vertAlign w:val="superscript"/>
        </w:rPr>
        <w:t xml:space="preserve">14–16</w:t>
      </w:r>
      <w:r>
        <w:t xml:space="preserve"> </w:t>
      </w:r>
      <w:r>
        <w:t xml:space="preserve">and external test sets</w:t>
      </w:r>
      <w:r>
        <w:rPr>
          <w:vertAlign w:val="superscript"/>
        </w:rPr>
        <w:t xml:space="preserve">23</w:t>
      </w:r>
      <w:r>
        <w:t xml:space="preserve"> </w:t>
      </w:r>
      <w:r>
        <w:t xml:space="preserve">on the other. In this work, the same model, features and frozen hyperparameters give R</w:t>
      </w:r>
      <w:r>
        <w:rPr>
          <w:vertAlign w:val="superscript"/>
        </w:rPr>
        <w:t xml:space="preserve">2</w:t>
      </w:r>
      <w:r>
        <w:t xml:space="preserve"> </w:t>
      </w:r>
      <w:r>
        <w:t xml:space="preserve">values that differ by</w:t>
      </w:r>
      <w:r>
        <w:t xml:space="preserve"> </w:t>
      </w:r>
      <w:r>
        <w:t xml:space="preserve">0.134</w:t>
      </w:r>
      <w:r>
        <w:t xml:space="preserve"> </w:t>
      </w:r>
      <w:r>
        <w:t xml:space="preserve">to</w:t>
      </w:r>
      <w:r>
        <w:t xml:space="preserve"> </w:t>
      </w:r>
      <w:r>
        <w:t xml:space="preserve">0.213</w:t>
      </w:r>
      <w:r>
        <w:t xml:space="preserve"> </w:t>
      </w:r>
      <w:r>
        <w:t xml:space="preserve">between random and chemistry-cluster validation (Section 3.1.1), and chemistry-cluster values are higher than the external values (Section 3.2); a metric reported without its protocol therefore cannot be read as a measure of model quality. A fuller account of the thermoelectric fundamentals, the perovskite families, the computational methods and databases and the machine-learning approaches is in Supplementary Note S1.</w:t>
      </w:r>
    </w:p>
    <w:p>
      <w:pPr>
        <w:pStyle w:val="BodyText"/>
      </w:pPr>
      <w:r>
        <w:rPr>
          <w:b/>
          <w:bCs/>
        </w:rPr>
        <w:t xml:space="preserve">Table 1:</w:t>
      </w:r>
      <w:r>
        <w:t xml:space="preserve"> </w:t>
      </w:r>
      <w:r>
        <w:t xml:space="preserve">Recent ML studies of thermoelectric property prediction: the metric and the validation protocol each reports, as the authors report them. The studies differ in dataset, target, preprocessing and protocol, so the values are not comparable with one another or with the R</w:t>
      </w:r>
      <w:r>
        <w:rPr>
          <w:vertAlign w:val="superscript"/>
        </w:rPr>
        <w:t xml:space="preserve">2</w:t>
      </w:r>
      <w:r>
        <w:t xml:space="preserve"> </w:t>
      </w:r>
      <w:r>
        <w:t xml:space="preserve">of this work.</w:t>
      </w:r>
    </w:p>
    <w:tbl>
      <w:tblPr>
        <w:tblStyle w:val="Table"/>
        <w:tblW w:type="pct" w:w="5000"/>
        <w:tblLayout w:type="fixed"/>
        <w:tblLook w:firstRow="1" w:lastRow="0" w:firstColumn="0" w:lastColumn="0" w:noHBand="0" w:noVBand="0" w:val="0020"/>
      </w:tblPr>
      <w:tblGrid>
        <w:gridCol w:w="1440"/>
        <w:gridCol w:w="1028"/>
        <w:gridCol w:w="1131"/>
        <w:gridCol w:w="1131"/>
        <w:gridCol w:w="1954"/>
        <w:gridCol w:w="1234"/>
      </w:tblGrid>
      <w:tr>
        <w:trPr>
          <w:tblHeader w:val="on"/>
        </w:trPr>
        <w:tc>
          <w:tcPr/>
          <w:p>
            <w:pPr>
              <w:pStyle w:val="Compact"/>
            </w:pPr>
            <w:r>
              <w:rPr>
                <w:b/>
                <w:bCs/>
              </w:rPr>
              <w:t xml:space="preserve">Study</w:t>
            </w:r>
          </w:p>
        </w:tc>
        <w:tc>
          <w:tcPr/>
          <w:p>
            <w:pPr>
              <w:pStyle w:val="Compact"/>
            </w:pPr>
            <w:r>
              <w:rPr>
                <w:b/>
                <w:bCs/>
              </w:rPr>
              <w:t xml:space="preserve">Model</w:t>
            </w:r>
          </w:p>
        </w:tc>
        <w:tc>
          <w:tcPr/>
          <w:p>
            <w:pPr>
              <w:pStyle w:val="Compact"/>
            </w:pPr>
            <w:r>
              <w:rPr>
                <w:b/>
                <w:bCs/>
              </w:rPr>
              <w:t xml:space="preserve">Source</w:t>
            </w:r>
          </w:p>
        </w:tc>
        <w:tc>
          <w:tcPr/>
          <w:p>
            <w:pPr>
              <w:pStyle w:val="Compact"/>
            </w:pPr>
            <w:r>
              <w:rPr>
                <w:b/>
                <w:bCs/>
              </w:rPr>
              <w:t xml:space="preserve">Rows</w:t>
            </w:r>
          </w:p>
        </w:tc>
        <w:tc>
          <w:tcPr/>
          <w:p>
            <w:pPr>
              <w:pStyle w:val="Compact"/>
            </w:pPr>
            <w:r>
              <w:rPr>
                <w:b/>
                <w:bCs/>
              </w:rPr>
              <w:t xml:space="preserve">Reported metric</w:t>
            </w:r>
          </w:p>
        </w:tc>
        <w:tc>
          <w:tcPr/>
          <w:p>
            <w:pPr>
              <w:pStyle w:val="Compact"/>
            </w:pPr>
            <w:r>
              <w:rPr>
                <w:b/>
                <w:bCs/>
              </w:rPr>
              <w:t xml:space="preserve">Validation protocol</w:t>
            </w:r>
          </w:p>
        </w:tc>
      </w:tr>
      <w:tr>
        <w:tc>
          <w:tcPr/>
          <w:p>
            <w:pPr>
              <w:pStyle w:val="Compact"/>
            </w:pPr>
            <w:r>
              <w:t xml:space="preserve">Parse et al.</w:t>
            </w:r>
            <w:r>
              <w:rPr>
                <w:vertAlign w:val="superscript"/>
              </w:rPr>
              <w:t xml:space="preserve">14</w:t>
            </w:r>
          </w:p>
        </w:tc>
        <w:tc>
          <w:tcPr/>
          <w:p>
            <w:pPr>
              <w:pStyle w:val="Compact"/>
            </w:pPr>
            <w:r>
              <w:t xml:space="preserve">XGBoost</w:t>
            </w:r>
          </w:p>
        </w:tc>
        <w:tc>
          <w:tcPr/>
          <w:p>
            <w:pPr>
              <w:pStyle w:val="Compact"/>
            </w:pPr>
            <w:r>
              <w:t xml:space="preserve">Starrydata2</w:t>
            </w:r>
          </w:p>
        </w:tc>
        <w:tc>
          <w:tcPr/>
          <w:p>
            <w:pPr>
              <w:pStyle w:val="Compact"/>
            </w:pPr>
            <w:r>
              <w:t xml:space="preserve">18.1</w:t>
            </w:r>
            <w:r>
              <w:t xml:space="preserve">K</w:t>
            </w:r>
          </w:p>
        </w:tc>
        <w:tc>
          <w:tcPr/>
          <w:p>
            <w:pPr>
              <w:pStyle w:val="Compact"/>
            </w:pPr>
            <w:r>
              <w:t xml:space="preserve">R</w:t>
            </w:r>
            <w:r>
              <w:rPr>
                <w:vertAlign w:val="superscript"/>
              </w:rPr>
              <w:t xml:space="preserve">2</w:t>
            </w:r>
            <w:r>
              <w:t xml:space="preserve"> </w:t>
            </w:r>
            <w:r>
              <w:t xml:space="preserve">(zT)</w:t>
            </w:r>
            <w:r>
              <w:t xml:space="preserve"> </w:t>
            </w:r>
            <w:r>
              <w:t xml:space="preserve">0.815</w:t>
            </w:r>
            <w:r>
              <w:t xml:space="preserve"> </w:t>
            </w:r>
            <w:r>
              <w:t xml:space="preserve">(test)</w:t>
            </w:r>
          </w:p>
        </w:tc>
        <w:tc>
          <w:tcPr/>
          <w:p>
            <w:pPr>
              <w:pStyle w:val="Compact"/>
            </w:pPr>
            <w:r>
              <w:t xml:space="preserve">Compound-wise</w:t>
            </w:r>
            <w:r>
              <w:t xml:space="preserve"> </w:t>
            </w:r>
            <w:r>
              <w:t xml:space="preserve">80</w:t>
            </w:r>
            <w:r>
              <w:t xml:space="preserve">/</w:t>
            </w:r>
            <w:r>
              <w:t xml:space="preserve">20</w:t>
            </w:r>
            <w:r>
              <w:t xml:space="preserve"> </w:t>
            </w:r>
            <w:r>
              <w:t xml:space="preserve">split;</w:t>
            </w:r>
            <w:r>
              <w:t xml:space="preserve"> </w:t>
            </w:r>
            <w:r>
              <w:t xml:space="preserve">5</w:t>
            </w:r>
            <w:r>
              <w:t xml:space="preserve">-fold CV also reported</w:t>
            </w:r>
          </w:p>
        </w:tc>
      </w:tr>
      <w:tr>
        <w:tc>
          <w:tcPr/>
          <w:p>
            <w:pPr>
              <w:pStyle w:val="Compact"/>
            </w:pPr>
            <w:r>
              <w:t xml:space="preserve">Jia et al.</w:t>
            </w:r>
            <w:r>
              <w:rPr>
                <w:vertAlign w:val="superscript"/>
              </w:rPr>
              <w:t xml:space="preserve">15</w:t>
            </w:r>
          </w:p>
        </w:tc>
        <w:tc>
          <w:tcPr/>
          <w:p>
            <w:pPr>
              <w:pStyle w:val="Compact"/>
            </w:pPr>
            <w:r>
              <w:t xml:space="preserve">GBDT</w:t>
            </w:r>
          </w:p>
        </w:tc>
        <w:tc>
          <w:tcPr/>
          <w:p>
            <w:pPr>
              <w:pStyle w:val="Compact"/>
            </w:pPr>
            <w:r>
              <w:t xml:space="preserve">Starrydata2</w:t>
            </w:r>
          </w:p>
        </w:tc>
        <w:tc>
          <w:tcPr/>
          <w:p>
            <w:pPr>
              <w:pStyle w:val="Compact"/>
            </w:pPr>
            <w:r>
              <w:t xml:space="preserve">92.3</w:t>
            </w:r>
            <w:r>
              <w:t xml:space="preserve">K</w:t>
            </w:r>
          </w:p>
        </w:tc>
        <w:tc>
          <w:tcPr/>
          <w:p>
            <w:pPr>
              <w:pStyle w:val="Compact"/>
            </w:pPr>
            <w:r>
              <w:t xml:space="preserve">R</w:t>
            </w:r>
            <w:r>
              <w:rPr>
                <w:vertAlign w:val="superscript"/>
              </w:rPr>
              <w:t xml:space="preserve">2</w:t>
            </w:r>
            <w:r>
              <w:t xml:space="preserve"> </w:t>
            </w:r>
            <w:r>
              <w:t xml:space="preserve">(zT)</w:t>
            </w:r>
            <w:r>
              <w:t xml:space="preserve"> </w:t>
            </w:r>
            <w:r>
              <w:t xml:space="preserve">0.89</w:t>
            </w:r>
            <w:r>
              <w:t xml:space="preserve"> </w:t>
            </w:r>
            <w:r>
              <w:t xml:space="preserve">(CV);</w:t>
            </w:r>
            <w:r>
              <w:t xml:space="preserve"> </w:t>
            </w:r>
            <w:r>
              <w:t xml:space="preserve">0.90</w:t>
            </w:r>
            <w:r>
              <w:t xml:space="preserve"> </w:t>
            </w:r>
            <w:r>
              <w:t xml:space="preserve">(test)</w:t>
            </w:r>
          </w:p>
        </w:tc>
        <w:tc>
          <w:tcPr/>
          <w:p>
            <w:pPr>
              <w:pStyle w:val="Compact"/>
            </w:pPr>
            <w:r>
              <w:t xml:space="preserve">Composition-level</w:t>
            </w:r>
            <w:r>
              <w:t xml:space="preserve"> </w:t>
            </w:r>
            <w:r>
              <w:t xml:space="preserve">10</w:t>
            </w:r>
            <w:r>
              <w:t xml:space="preserve">-fold CV and a test set</w:t>
            </w:r>
          </w:p>
        </w:tc>
      </w:tr>
      <w:tr>
        <w:tc>
          <w:tcPr/>
          <w:p>
            <w:pPr>
              <w:pStyle w:val="Compact"/>
            </w:pPr>
            <w:r>
              <w:t xml:space="preserve">Ma &amp; Poon</w:t>
            </w:r>
            <w:r>
              <w:rPr>
                <w:vertAlign w:val="superscript"/>
              </w:rPr>
              <w:t xml:space="preserve">24</w:t>
            </w:r>
          </w:p>
        </w:tc>
        <w:tc>
          <w:tcPr/>
          <w:p>
            <w:pPr>
              <w:pStyle w:val="Compact"/>
            </w:pPr>
            <w:r>
              <w:t xml:space="preserve">LightGBM</w:t>
            </w:r>
          </w:p>
        </w:tc>
        <w:tc>
          <w:tcPr/>
          <w:p>
            <w:pPr>
              <w:pStyle w:val="Compact"/>
            </w:pPr>
            <w:r>
              <w:t xml:space="preserve">Compiled TE</w:t>
            </w:r>
          </w:p>
        </w:tc>
        <w:tc>
          <w:tcPr/>
          <w:p>
            <w:pPr>
              <w:pStyle w:val="Compact"/>
            </w:pPr>
            <w:r>
              <w:t xml:space="preserve">14.1</w:t>
            </w:r>
            <w:r>
              <w:t xml:space="preserve">K</w:t>
            </w:r>
          </w:p>
        </w:tc>
        <w:tc>
          <w:tcPr/>
          <w:p>
            <w:pPr>
              <w:pStyle w:val="Compact"/>
            </w:pPr>
            <w:r>
              <w:t xml:space="preserve">R</w:t>
            </w:r>
            <w:r>
              <w:rPr>
                <w:vertAlign w:val="superscript"/>
              </w:rPr>
              <w:t xml:space="preserve">2</w:t>
            </w:r>
            <w:r>
              <w:t xml:space="preserve"> </w:t>
            </w:r>
            <w:r>
              <w:t xml:space="preserve">(zT)</w:t>
            </w:r>
            <w:r>
              <w:t xml:space="preserve"> </w:t>
            </w:r>
            <w:r>
              <w:t xml:space="preserve">0.86</w:t>
            </w:r>
            <w:r>
              <w:t xml:space="preserve">; R</w:t>
            </w:r>
            <w:r>
              <w:rPr>
                <w:vertAlign w:val="superscript"/>
              </w:rPr>
              <w:t xml:space="preserve">2</w:t>
            </w:r>
            <w:r>
              <w:t xml:space="preserve"> </w:t>
            </w:r>
            <w:r>
              <w:t xml:space="preserve">(|S|)</w:t>
            </w:r>
            <w:r>
              <w:t xml:space="preserve"> </w:t>
            </w:r>
            <w:r>
              <w:t xml:space="preserve">0.8</w:t>
            </w:r>
          </w:p>
        </w:tc>
        <w:tc>
          <w:tcPr/>
          <w:p>
            <w:pPr>
              <w:pStyle w:val="Compact"/>
            </w:pPr>
            <w:r>
              <w:t xml:space="preserve">Not stated</w:t>
            </w:r>
          </w:p>
        </w:tc>
      </w:tr>
      <w:tr>
        <w:tc>
          <w:tcPr/>
          <w:p>
            <w:pPr>
              <w:pStyle w:val="Compact"/>
            </w:pPr>
            <w:r>
              <w:t xml:space="preserve">Sun et al.</w:t>
            </w:r>
            <w:r>
              <w:rPr>
                <w:vertAlign w:val="superscript"/>
              </w:rPr>
              <w:t xml:space="preserve">16</w:t>
            </w:r>
          </w:p>
        </w:tc>
        <w:tc>
          <w:tcPr/>
          <w:p>
            <w:pPr>
              <w:pStyle w:val="Compact"/>
            </w:pPr>
            <w:r>
              <w:t xml:space="preserve">DNN</w:t>
            </w:r>
          </w:p>
        </w:tc>
        <w:tc>
          <w:tcPr/>
          <w:p>
            <w:pPr>
              <w:pStyle w:val="Compact"/>
            </w:pPr>
            <w:r>
              <w:t xml:space="preserve">Starrydata2</w:t>
            </w:r>
          </w:p>
        </w:tc>
        <w:tc>
          <w:tcPr/>
          <w:p>
            <w:pPr>
              <w:pStyle w:val="Compact"/>
            </w:pPr>
            <w:r>
              <w:t xml:space="preserve">231.1</w:t>
            </w:r>
            <w:r>
              <w:t xml:space="preserve">K</w:t>
            </w:r>
          </w:p>
        </w:tc>
        <w:tc>
          <w:tcPr/>
          <w:p>
            <w:pPr>
              <w:pStyle w:val="Compact"/>
            </w:pPr>
            <w:r>
              <w:t xml:space="preserve">R</w:t>
            </w:r>
            <w:r>
              <w:rPr>
                <w:vertAlign w:val="superscript"/>
              </w:rPr>
              <w:t xml:space="preserve">2</w:t>
            </w:r>
            <w:r>
              <w:t xml:space="preserve"> </w:t>
            </w:r>
            <w:r>
              <w:t xml:space="preserve">(zT)</w:t>
            </w:r>
            <w:r>
              <w:t xml:space="preserve"> </w:t>
            </w:r>
            <w:r>
              <w:t xml:space="preserve">0.90</w:t>
            </w:r>
            <w:r>
              <w:t xml:space="preserve"> </w:t>
            </w:r>
            <w:r>
              <w:t xml:space="preserve">(test);</w:t>
            </w:r>
            <w:r>
              <w:t xml:space="preserve"> </w:t>
            </w:r>
            <w:r>
              <w:t xml:space="preserve">0.95</w:t>
            </w:r>
            <w:r>
              <w:t xml:space="preserve"> </w:t>
            </w:r>
            <w:r>
              <w:t xml:space="preserve">(training)</w:t>
            </w:r>
          </w:p>
        </w:tc>
        <w:tc>
          <w:tcPr/>
          <w:p>
            <w:pPr>
              <w:pStyle w:val="Compact"/>
            </w:pPr>
            <w:r>
              <w:t xml:space="preserve">Compound-disjoint train/test split</w:t>
            </w:r>
          </w:p>
        </w:tc>
      </w:tr>
      <w:tr>
        <w:tc>
          <w:tcPr/>
          <w:p>
            <w:pPr>
              <w:pStyle w:val="Compact"/>
            </w:pPr>
            <w:r>
              <w:t xml:space="preserve">Barua et al.</w:t>
            </w:r>
            <w:r>
              <w:rPr>
                <w:vertAlign w:val="superscript"/>
              </w:rPr>
              <w:t xml:space="preserve">23</w:t>
            </w:r>
          </w:p>
        </w:tc>
        <w:tc>
          <w:tcPr/>
          <w:p>
            <w:pPr>
              <w:pStyle w:val="Compact"/>
            </w:pPr>
            <w:r>
              <w:t xml:space="preserve">XGBoost</w:t>
            </w:r>
          </w:p>
        </w:tc>
        <w:tc>
          <w:tcPr/>
          <w:p>
            <w:pPr>
              <w:pStyle w:val="Compact"/>
            </w:pPr>
            <w:r>
              <w:t xml:space="preserve">Starrydata2</w:t>
            </w:r>
          </w:p>
        </w:tc>
        <w:tc>
          <w:tcPr/>
          <w:p>
            <w:pPr>
              <w:pStyle w:val="Compact"/>
            </w:pPr>
            <w:r>
              <w:t xml:space="preserve">∼</w:t>
            </w:r>
            <w:r>
              <w:t xml:space="preserve">160</w:t>
            </w:r>
            <w:r>
              <w:t xml:space="preserve">K</w:t>
            </w:r>
          </w:p>
        </w:tc>
        <w:tc>
          <w:tcPr/>
          <w:p>
            <w:pPr>
              <w:pStyle w:val="Compact"/>
            </w:pPr>
            <w:r>
              <w:t xml:space="preserve">R</w:t>
            </w:r>
            <w:r>
              <w:rPr>
                <w:vertAlign w:val="superscript"/>
              </w:rPr>
              <w:t xml:space="preserve">2</w:t>
            </w:r>
            <w:r>
              <w:t xml:space="preserve"> </w:t>
            </w:r>
            <w:r>
              <w:t xml:space="preserve">(zT)</w:t>
            </w:r>
            <w:r>
              <w:t xml:space="preserve"> </w:t>
            </w:r>
            <w:r>
              <w:t xml:space="preserve">0.67</w:t>
            </w:r>
            <w:r>
              <w:t xml:space="preserve">–</w:t>
            </w:r>
            <w:r>
              <w:t xml:space="preserve">0.80</w:t>
            </w:r>
          </w:p>
        </w:tc>
        <w:tc>
          <w:tcPr/>
          <w:p>
            <w:pPr>
              <w:pStyle w:val="Compact"/>
            </w:pPr>
            <w:r>
              <w:t xml:space="preserve">Three external test sets</w:t>
            </w:r>
          </w:p>
        </w:tc>
      </w:tr>
      <w:tr>
        <w:tc>
          <w:tcPr/>
          <w:p>
            <w:pPr>
              <w:pStyle w:val="Compact"/>
            </w:pPr>
            <w:r>
              <w:t xml:space="preserve">Wang et al.</w:t>
            </w:r>
            <w:r>
              <w:rPr>
                <w:vertAlign w:val="superscript"/>
              </w:rPr>
              <w:t xml:space="preserve">22</w:t>
            </w:r>
          </w:p>
        </w:tc>
        <w:tc>
          <w:tcPr/>
          <w:p>
            <w:pPr>
              <w:pStyle w:val="Compact"/>
            </w:pPr>
            <w:r>
              <w:t xml:space="preserve">Stacking</w:t>
            </w:r>
          </w:p>
        </w:tc>
        <w:tc>
          <w:tcPr/>
          <w:p>
            <w:pPr>
              <w:pStyle w:val="Compact"/>
            </w:pPr>
            <w:r>
              <w:t xml:space="preserve">UCSB dataset and literature</w:t>
            </w:r>
          </w:p>
        </w:tc>
        <w:tc>
          <w:tcPr/>
          <w:p>
            <w:pPr>
              <w:pStyle w:val="Compact"/>
            </w:pPr>
            <w:r>
              <w:t xml:space="preserve">5.2</w:t>
            </w:r>
            <w:r>
              <w:t xml:space="preserve">K</w:t>
            </w:r>
          </w:p>
        </w:tc>
        <w:tc>
          <w:tcPr/>
          <w:p>
            <w:pPr>
              <w:pStyle w:val="Compact"/>
            </w:pPr>
            <w:r>
              <w:t xml:space="preserve">R</w:t>
            </w:r>
            <w:r>
              <w:rPr>
                <w:vertAlign w:val="superscript"/>
              </w:rPr>
              <w:t xml:space="preserve">2</w:t>
            </w:r>
            <w:r>
              <w:t xml:space="preserve"> </w:t>
            </w:r>
            <w:r>
              <w:t xml:space="preserve">(zT)</w:t>
            </w:r>
            <w:r>
              <w:t xml:space="preserve"> </w:t>
            </w:r>
            <w:r>
              <w:t xml:space="preserve">0.970</w:t>
            </w:r>
          </w:p>
        </w:tc>
        <w:tc>
          <w:tcPr/>
          <w:p>
            <w:pPr>
              <w:pStyle w:val="Compact"/>
            </w:pPr>
            <w:r>
              <w:t xml:space="preserve">10</w:t>
            </w:r>
            <w:r>
              <w:t xml:space="preserve">-fold CV</w:t>
            </w:r>
          </w:p>
        </w:tc>
      </w:tr>
      <w:tr>
        <w:tc>
          <w:tcPr/>
          <w:p>
            <w:pPr>
              <w:pStyle w:val="Compact"/>
            </w:pPr>
            <w:r>
              <w:t xml:space="preserve">Elavunkel &amp; Padhan</w:t>
            </w:r>
            <w:r>
              <w:rPr>
                <w:vertAlign w:val="superscript"/>
              </w:rPr>
              <w:t xml:space="preserve">25</w:t>
            </w:r>
          </w:p>
        </w:tc>
        <w:tc>
          <w:tcPr/>
          <w:p>
            <w:pPr>
              <w:pStyle w:val="Compact"/>
            </w:pPr>
            <w:r>
              <w:t xml:space="preserve">Stacking</w:t>
            </w:r>
          </w:p>
        </w:tc>
        <w:tc>
          <w:tcPr/>
          <w:p>
            <w:pPr>
              <w:pStyle w:val="Compact"/>
            </w:pPr>
            <w:r>
              <w:t xml:space="preserve">Half-Heusler</w:t>
            </w:r>
          </w:p>
        </w:tc>
        <w:tc>
          <w:tcPr/>
          <w:p>
            <w:pPr>
              <w:pStyle w:val="Compact"/>
            </w:pPr>
            <w:r>
              <w:t xml:space="preserve">Not stated in the abstract</w:t>
            </w:r>
          </w:p>
        </w:tc>
        <w:tc>
          <w:tcPr/>
          <w:p>
            <w:pPr>
              <w:pStyle w:val="Compact"/>
            </w:pPr>
            <w:r>
              <w:t xml:space="preserve">R</w:t>
            </w:r>
            <w:r>
              <w:rPr>
                <w:vertAlign w:val="superscript"/>
              </w:rPr>
              <w:t xml:space="preserve">2</w:t>
            </w:r>
            <w:r>
              <w:t xml:space="preserve"> </w:t>
            </w:r>
            <w:r>
              <w:t xml:space="preserve">(S)</w:t>
            </w:r>
            <w:r>
              <w:t xml:space="preserve"> </w:t>
            </w:r>
            <w:r>
              <w:t xml:space="preserve">0.99</w:t>
            </w:r>
            <w:r>
              <w:t xml:space="preserve">; (</w:t>
            </w:r>
            <w:r>
              <w:rPr>
                <w:i/>
                <w:iCs/>
              </w:rPr>
              <w:t xml:space="preserve">σ</w:t>
            </w:r>
            <w:r>
              <w:t xml:space="preserve">)</w:t>
            </w:r>
            <w:r>
              <w:t xml:space="preserve"> </w:t>
            </w:r>
            <w:r>
              <w:t xml:space="preserve">0.96</w:t>
            </w:r>
            <w:r>
              <w:t xml:space="preserve">; (</w:t>
            </w:r>
            <w:r>
              <w:rPr>
                <w:i/>
                <w:iCs/>
              </w:rPr>
              <w:t xml:space="preserve">κ</w:t>
            </w:r>
            <w:r>
              <w:t xml:space="preserve">)</w:t>
            </w:r>
            <w:r>
              <w:t xml:space="preserve"> </w:t>
            </w:r>
            <w:r>
              <w:t xml:space="preserve">0.93</w:t>
            </w:r>
            <w:r>
              <w:t xml:space="preserve">; (zT)</w:t>
            </w:r>
            <w:r>
              <w:t xml:space="preserve"> </w:t>
            </w:r>
            <w:r>
              <w:t xml:space="preserve">0.92</w:t>
            </w:r>
          </w:p>
        </w:tc>
        <w:tc>
          <w:tcPr/>
          <w:p>
            <w:pPr>
              <w:pStyle w:val="Compact"/>
            </w:pPr>
            <w:r>
              <w:t xml:space="preserve">Not stated in the abstract</w:t>
            </w:r>
          </w:p>
        </w:tc>
      </w:tr>
    </w:tbl>
    <w:p>
      <w:pPr>
        <w:pStyle w:val="BodyText"/>
      </w:pPr>
      <w:r>
        <w:t xml:space="preserve">Five gaps motivate this study. (1)</w:t>
      </w:r>
      <w:r>
        <w:t xml:space="preserve"> </w:t>
      </w:r>
      <w:r>
        <w:rPr>
          <w:i/>
          <w:iCs/>
        </w:rPr>
        <w:t xml:space="preserve">Validation bias is unquantified at scale</w:t>
      </w:r>
      <w:r>
        <w:t xml:space="preserve">: the only thermoelectric comparison of several splitting strategies we know of uses a small subset</w:t>
      </w:r>
      <w:r>
        <w:rPr>
          <w:vertAlign w:val="superscript"/>
        </w:rPr>
        <w:t xml:space="preserve">21</w:t>
      </w:r>
      <w:r>
        <w:t xml:space="preserve">, and none uses one model across five strategies on a full database snapshot. (2)</w:t>
      </w:r>
      <w:r>
        <w:t xml:space="preserve"> </w:t>
      </w:r>
      <w:r>
        <w:rPr>
          <w:i/>
          <w:iCs/>
        </w:rPr>
        <w:t xml:space="preserve">Component properties are rarely reported</w:t>
      </w:r>
      <w:r>
        <w:t xml:space="preserve">:</w:t>
      </w:r>
      <w:r>
        <w:t xml:space="preserve"> </w:t>
      </w:r>
      <w:r>
        <w:rPr>
          <w:i/>
          <w:iCs/>
        </w:rPr>
        <w:t xml:space="preserve">σ</w:t>
      </w:r>
      <w:r>
        <w:t xml:space="preserve"> </w:t>
      </w:r>
      <w:r>
        <w:t xml:space="preserve">and</w:t>
      </w:r>
      <w:r>
        <w:t xml:space="preserve"> </w:t>
      </w:r>
      <w:r>
        <w:rPr>
          <w:i/>
          <w:iCs/>
        </w:rPr>
        <w:t xml:space="preserve">κ</w:t>
      </w:r>
      <w:r>
        <w:t xml:space="preserve"> </w:t>
      </w:r>
      <w:r>
        <w:t xml:space="preserve">are seldom predicted as independent targets, although knowing what is and is not predictable from composition is essential for reliable screening. (3)</w:t>
      </w:r>
      <w:r>
        <w:t xml:space="preserve"> </w:t>
      </w:r>
      <w:r>
        <w:rPr>
          <w:i/>
          <w:iCs/>
        </w:rPr>
        <w:t xml:space="preserve">Feature-selection effects are not examined</w:t>
      </w:r>
      <w:r>
        <w:t xml:space="preserve">: correlation filtering, Lasso or mutual-information selection is often applied without checking whether it helps tree models with built-in feature subsampling. (4)</w:t>
      </w:r>
      <w:r>
        <w:t xml:space="preserve"> </w:t>
      </w:r>
      <w:r>
        <w:rPr>
          <w:i/>
          <w:iCs/>
        </w:rPr>
        <w:t xml:space="preserve">Lead-free perovskite screening with experimentally trained, chemistry-aware-validated models is limited</w:t>
      </w:r>
      <w:r>
        <w:t xml:space="preserve">: existing screens rely on DFT-trained models or random-split validation. (5)</w:t>
      </w:r>
      <w:r>
        <w:t xml:space="preserve"> </w:t>
      </w:r>
      <w:r>
        <w:rPr>
          <w:i/>
          <w:iCs/>
        </w:rPr>
        <w:t xml:space="preserve">Model architecture is overemphasized</w:t>
      </w:r>
      <w:r>
        <w:t xml:space="preserve">: gains from complex architectures are usually reported on small datasets with random splits. The present study addresses all five gaps.</w:t>
      </w:r>
    </w:p>
    <w:p>
      <w:pPr>
        <w:pStyle w:val="BodyText"/>
      </w:pPr>
      <w:r>
        <w:t xml:space="preserve">This study develops a composition-based machine learning framework to screen lead-free, perovskite-type compounds of the Materials Project (energy above the convex hull of at most</w:t>
      </w:r>
      <w:r>
        <w:t xml:space="preserve"> </w:t>
      </w:r>
      <w:r>
        <w:t xml:space="preserve">0.05</w:t>
      </w:r>
      <w:r>
        <w:t xml:space="preserve"> </w:t>
      </w:r>
      <w:r>
        <w:t xml:space="preserve">eV atom</w:t>
      </w:r>
      <w:r>
        <w:rPr>
          <w:vertAlign w:val="superscript"/>
        </w:rPr>
        <w:t xml:space="preserve">−1</w:t>
      </w:r>
      <w:r>
        <w:t xml:space="preserve">) and to measure how far each predicted property can be trusted. Its aim is a ranked list of candidates, reported as hypotheses and separated by whether their chemistry cluster occurs in the training data, with a shortlist fixed by a rule set before the predictions were seen. Alongside direct regression of zT, the framework predicts S,</w:t>
      </w:r>
      <w:r>
        <w:t xml:space="preserve"> </w:t>
      </w:r>
      <w:r>
        <w:rPr>
          <w:i/>
          <w:iCs/>
        </w:rPr>
        <w:t xml:space="preserve">σ</w:t>
      </w:r>
      <w:r>
        <w:t xml:space="preserve"> </w:t>
      </w:r>
      <w:r>
        <w:t xml:space="preserve">and</w:t>
      </w:r>
      <w:r>
        <w:t xml:space="preserve"> </w:t>
      </w:r>
      <w:r>
        <w:rPr>
          <w:i/>
          <w:iCs/>
        </w:rPr>
        <w:t xml:space="preserve">κ</w:t>
      </w:r>
      <w:r>
        <w:t xml:space="preserve"> </w:t>
      </w:r>
      <w:r>
        <w:t xml:space="preserve">individually, so that the two routes can be compared and the property limiting a candidate’s performance can be identified. How far the predictions can be trusted is addressed by three research questions: (RQ1) what R</w:t>
      </w:r>
      <w:r>
        <w:rPr>
          <w:vertAlign w:val="superscript"/>
        </w:rPr>
        <w:t xml:space="preserve">2</w:t>
      </w:r>
      <w:r>
        <w:t xml:space="preserve"> </w:t>
      </w:r>
      <w:r>
        <w:t xml:space="preserve">composition-only descriptors (MAGPIE and CBFV) realistically reach under chemistry-aware validation, and how far that is from the label-noise ceiling; (RQ2) by how much does the validation methodology inflate reported accuracy; and (RQ3) how does component-wise prediction compare with direct regression of zT. The main contributions are a structure-aware screening of the Materials Project, in which perovskite-type structure is decided by an explicit connectivity test rather than by space group, and candidates are reported as hypotheses, separated by whether their chemistry cluster occurs in the training data; a reproducible eleven-step curation of Starrydata2 into</w:t>
      </w:r>
      <w:r>
        <w:t xml:space="preserve"> </w:t>
      </w:r>
      <w:r>
        <w:t xml:space="preserve">280,664</w:t>
      </w:r>
      <w:r>
        <w:t xml:space="preserve"> </w:t>
      </w:r>
      <w:r>
        <w:t xml:space="preserve">rows (</w:t>
      </w:r>
      <w:r>
        <w:t xml:space="preserve">17,977</w:t>
      </w:r>
      <w:r>
        <w:t xml:space="preserve"> </w:t>
      </w:r>
      <w:r>
        <w:t xml:space="preserve">unique formulas,</w:t>
      </w:r>
      <w:r>
        <w:t xml:space="preserve"> </w:t>
      </w:r>
      <w:r>
        <w:t xml:space="preserve">8,908</w:t>
      </w:r>
      <w:r>
        <w:t xml:space="preserve"> </w:t>
      </w:r>
      <w:r>
        <w:t xml:space="preserve">chemistry clusters,</w:t>
      </w:r>
      <w:r>
        <w:t xml:space="preserve"> </w:t>
      </w:r>
      <w:r>
        <w:t xml:space="preserve">3,909</w:t>
      </w:r>
      <w:r>
        <w:t xml:space="preserve"> </w:t>
      </w:r>
      <w:r>
        <w:t xml:space="preserve">parent chemical systems); a five-way comparison of validation strategies showing that row-level splits inflate R</w:t>
      </w:r>
      <w:r>
        <w:rPr>
          <w:vertAlign w:val="superscript"/>
        </w:rPr>
        <w:t xml:space="preserve">2</w:t>
      </w:r>
      <w:r>
        <w:t xml:space="preserve"> </w:t>
      </w:r>
      <w:r>
        <w:t xml:space="preserve">by +</w:t>
      </w:r>
      <w:r>
        <w:t xml:space="preserve">0.134</w:t>
      </w:r>
      <w:r>
        <w:t xml:space="preserve"> </w:t>
      </w:r>
      <w:r>
        <w:t xml:space="preserve">to +</w:t>
      </w:r>
      <w:r>
        <w:t xml:space="preserve">0.213</w:t>
      </w:r>
      <w:r>
        <w:t xml:space="preserve">; composition-only R</w:t>
      </w:r>
      <w:r>
        <w:rPr>
          <w:vertAlign w:val="superscript"/>
        </w:rPr>
        <w:t xml:space="preserve">2</w:t>
      </w:r>
      <w:r>
        <w:t xml:space="preserve"> </w:t>
      </w:r>
      <w:r>
        <w:t xml:space="preserve">under chemistry-cluster CV for S,</w:t>
      </w:r>
      <w:r>
        <w:t xml:space="preserve"> </w:t>
      </w:r>
      <w:r>
        <w:rPr>
          <w:i/>
          <w:iCs/>
        </w:rPr>
        <w:t xml:space="preserve">σ</w:t>
      </w:r>
      <w:r>
        <w:t xml:space="preserve">,</w:t>
      </w:r>
      <w:r>
        <w:t xml:space="preserve"> </w:t>
      </w:r>
      <w:r>
        <w:rPr>
          <w:i/>
          <w:iCs/>
        </w:rPr>
        <w:t xml:space="preserve">κ</w:t>
      </w:r>
      <w:r>
        <w:t xml:space="preserve"> </w:t>
      </w:r>
      <w:r>
        <w:t xml:space="preserve">and zT, set against the label-noise ceiling, tested against the independent ESTM database and shown to depend little on the learner: a stack of XGBoost, LightGBM and a random forest, with weights fitted without the test rows, is not distinguishable from their unweighted mean (the paired difference is at most</w:t>
      </w:r>
      <w:r>
        <w:t xml:space="preserve"> </w:t>
      </w:r>
      <w:r>
        <w:t xml:space="preserve">0.0004</w:t>
      </w:r>
      <w:r>
        <w:t xml:space="preserve"> </w:t>
      </w:r>
      <w:r>
        <w:t xml:space="preserve">and its interval contains zero on every target), the mean is above XGBoost by at most</w:t>
      </w:r>
      <w:r>
        <w:t xml:space="preserve"> </w:t>
      </w:r>
      <w:r>
        <w:t xml:space="preserve">0.005</w:t>
      </w:r>
      <w:r>
        <w:t xml:space="preserve">, and the three models agree within</w:t>
      </w:r>
      <w:r>
        <w:t xml:space="preserve"> </w:t>
      </w:r>
      <w:r>
        <w:t xml:space="preserve">0.007</w:t>
      </w:r>
      <w:r>
        <w:t xml:space="preserve"> </w:t>
      </w:r>
      <w:r>
        <w:t xml:space="preserve">in R</w:t>
      </w:r>
      <w:r>
        <w:rPr>
          <w:vertAlign w:val="superscript"/>
        </w:rPr>
        <w:t xml:space="preserve">2</w:t>
      </w:r>
      <w:r>
        <w:t xml:space="preserve"> </w:t>
      </w:r>
      <w:r>
        <w:t xml:space="preserve">on every target; and a demonstration that direct zT regression outperforms the component-wise route under both random and chemistry-cluster validation, with a gap</w:t>
      </w:r>
      <w:r>
        <w:t xml:space="preserve"> </w:t>
      </w:r>
      <w:r>
        <w:t xml:space="preserve">5.1</w:t>
      </w:r>
      <w:r>
        <w:t xml:space="preserve"> </w:t>
      </w:r>
      <w:r>
        <w:t xml:space="preserve">times larger under chemistry-cluster validation (</w:t>
      </w:r>
      <w:r>
        <w:t xml:space="preserve">0.186</w:t>
      </w:r>
      <w:r>
        <w:t xml:space="preserve"> </w:t>
      </w:r>
      <w:r>
        <w:t xml:space="preserve">against</w:t>
      </w:r>
      <w:r>
        <w:t xml:space="preserve"> </w:t>
      </w:r>
      <w:r>
        <w:t xml:space="preserve">0.036</w:t>
      </w:r>
      <w:r>
        <w:t xml:space="preserve"> </w:t>
      </w:r>
      <w:r>
        <w:t xml:space="preserve">in R</w:t>
      </w:r>
      <w:r>
        <w:rPr>
          <w:vertAlign w:val="superscript"/>
        </w:rPr>
        <w:t xml:space="preserve">2</w:t>
      </w:r>
      <w:r>
        <w:t xml:space="preserve">).</w:t>
      </w:r>
    </w:p>
    <w:p>
      <w:pPr>
        <w:pStyle w:val="BodyText"/>
      </w:pPr>
      <w:r>
        <w:t xml:space="preserve">The remainder of the paper is organised as follows. Section 2 describes the data, descriptors, models, validation design, Materials Project screening and literature comparison; Section 3 presents and discusses the results, with the screening in Section 3.3; Section 4 concludes. Extended background, detailed procedures and further results are in the Supplement and are cited where they are needed; symbols and abbreviations are in Supplementary Note S11.</w:t>
      </w:r>
    </w:p>
    <w:bookmarkEnd w:id="13"/>
    <w:bookmarkStart w:id="29" w:name="methods"/>
    <w:p>
      <w:pPr>
        <w:pStyle w:val="Heading1"/>
      </w:pPr>
      <w:r>
        <w:t xml:space="preserve">2 Methods</w:t>
      </w:r>
    </w:p>
    <w:bookmarkStart w:id="23" w:name="data-and-cleaning"/>
    <w:p>
      <w:pPr>
        <w:pStyle w:val="Heading2"/>
      </w:pPr>
      <w:r>
        <w:t xml:space="preserve">2.1 Data and cleaning</w:t>
      </w:r>
    </w:p>
    <w:p>
      <w:pPr>
        <w:pStyle w:val="FirstParagraph"/>
      </w:pPr>
      <w:r>
        <w:t xml:space="preserve">The research follows a four-phase pipeline (Fig. 2): (1) data acquisition and curation from Starrydata2; (2) feature engineering with two complementary compositional featurization schemes; (3) model development with chemistry-aware validation; and (4) virtual screening of lead-free perovskite candidates from the Materials Project. Each phase addresses a particular challenge: noise and inconsistency in experimental databases, translation of formulas into physically meaningful numerical representations, avoidance of temperature-series leakage, and the listing of lead-free candidates for experimental testing.</w:t>
      </w:r>
    </w:p>
    <w:p>
      <w:pPr>
        <w:pStyle w:val="CaptionedFigure"/>
      </w:pPr>
      <w:r>
        <w:drawing>
          <wp:inline>
            <wp:extent cx="5334000" cy="6073813"/>
            <wp:effectExtent b="0" l="0" r="0" t="0"/>
            <wp:docPr descr="Figure 2" title="" id="15" name="Picture"/>
            <a:graphic>
              <a:graphicData uri="http://schemas.openxmlformats.org/drawingml/2006/picture">
                <pic:pic>
                  <pic:nvPicPr>
                    <pic:cNvPr descr="../figures/fig4_workflow.png" id="16" name="Picture"/>
                    <pic:cNvPicPr>
                      <a:picLocks noChangeArrowheads="1" noChangeAspect="1"/>
                    </pic:cNvPicPr>
                  </pic:nvPicPr>
                  <pic:blipFill>
                    <a:blip r:embed="rId14"/>
                    <a:stretch>
                      <a:fillRect/>
                    </a:stretch>
                  </pic:blipFill>
                  <pic:spPr bwMode="auto">
                    <a:xfrm>
                      <a:off x="0" y="0"/>
                      <a:ext cx="5334000" cy="6073813"/>
                    </a:xfrm>
                    <a:prstGeom prst="rect">
                      <a:avLst/>
                    </a:prstGeom>
                    <a:noFill/>
                    <a:ln w="9525">
                      <a:noFill/>
                      <a:headEnd/>
                      <a:tailEnd/>
                    </a:ln>
                  </pic:spPr>
                </pic:pic>
              </a:graphicData>
            </a:graphic>
          </wp:inline>
        </w:drawing>
      </w:r>
    </w:p>
    <w:p>
      <w:pPr>
        <w:pStyle w:val="ImageCaption"/>
      </w:pPr>
      <w:r>
        <w:t xml:space="preserve">Figure 2</w:t>
      </w:r>
    </w:p>
    <w:p>
      <w:pPr>
        <w:pStyle w:val="BodyText"/>
      </w:pPr>
      <w:r>
        <w:rPr>
          <w:b/>
          <w:bCs/>
        </w:rPr>
        <w:t xml:space="preserve">Figure 2:</w:t>
      </w:r>
      <w:r>
        <w:t xml:space="preserve"> </w:t>
      </w:r>
      <w:r>
        <w:t xml:space="preserve">Study workflow, from data acquisition to the outputs. Every count is read from a committed artifact and every section number from the headings of this manuscript; the screening yields hypotheses, not findings.</w:t>
      </w:r>
    </w:p>
    <w:p>
      <w:pPr>
        <w:pStyle w:val="BodyText"/>
      </w:pPr>
      <w:r>
        <w:t xml:space="preserve">The main data source is Starrydata2</w:t>
      </w:r>
      <w:r>
        <w:rPr>
          <w:vertAlign w:val="superscript"/>
        </w:rPr>
        <w:t xml:space="preserve">26,27</w:t>
      </w:r>
      <w:r>
        <w:t xml:space="preserve">, which covers bismuth tellurides, lead chalcogenides, skutterudites, half-Heuslers, oxides and silicides, among others. The study uses a single pinned pull of the Starrydata2 export taken on</w:t>
      </w:r>
      <w:r>
        <w:t xml:space="preserve"> </w:t>
      </w:r>
      <w:r>
        <w:t xml:space="preserve">22 August 2026</w:t>
      </w:r>
      <w:r>
        <w:t xml:space="preserve"> </w:t>
      </w:r>
      <w:r>
        <w:t xml:space="preserve">(the export is regenerated daily, so an unpinned pull is not reproducible):</w:t>
      </w:r>
      <w:r>
        <w:t xml:space="preserve"> </w:t>
      </w:r>
      <w:r>
        <w:t xml:space="preserve">9,494</w:t>
      </w:r>
      <w:r>
        <w:t xml:space="preserve"> </w:t>
      </w:r>
      <w:r>
        <w:t xml:space="preserve">publications,</w:t>
      </w:r>
      <w:r>
        <w:t xml:space="preserve"> </w:t>
      </w:r>
      <w:r>
        <w:t xml:space="preserve">55,261</w:t>
      </w:r>
      <w:r>
        <w:t xml:space="preserve"> </w:t>
      </w:r>
      <w:r>
        <w:t xml:space="preserve">samples and</w:t>
      </w:r>
      <w:r>
        <w:t xml:space="preserve"> </w:t>
      </w:r>
      <w:r>
        <w:t xml:space="preserve">156,101</w:t>
      </w:r>
      <w:r>
        <w:t xml:space="preserve"> </w:t>
      </w:r>
      <w:r>
        <w:t xml:space="preserve">digitised property curves, held in three files (papers, samples and curves). The raw curves hold</w:t>
      </w:r>
      <w:r>
        <w:t xml:space="preserve"> </w:t>
      </w:r>
      <w:r>
        <w:t xml:space="preserve">2,679,279</w:t>
      </w:r>
      <w:r>
        <w:t xml:space="preserve"> </w:t>
      </w:r>
      <w:r>
        <w:t xml:space="preserve">digitised points in total, of which</w:t>
      </w:r>
      <w:r>
        <w:t xml:space="preserve"> </w:t>
      </w:r>
      <w:r>
        <w:t xml:space="preserve">2,068,554</w:t>
      </w:r>
      <w:r>
        <w:t xml:space="preserve"> </w:t>
      </w:r>
      <w:r>
        <w:t xml:space="preserve">are points of the four target properties against temperature (</w:t>
      </w:r>
      <w:r>
        <w:t xml:space="preserve">1,996,047</w:t>
      </w:r>
      <w:r>
        <w:t xml:space="preserve"> </w:t>
      </w:r>
      <w:r>
        <w:t xml:space="preserve">remain after range filtering). Each data point is a single property reading of one sample at one temperature, so counts of data points reflect measurement volume rather than the number of distinct compositions. Four targets were extracted: S,</w:t>
      </w:r>
      <w:r>
        <w:t xml:space="preserve"> </w:t>
      </w:r>
      <w:r>
        <w:rPr>
          <w:i/>
          <w:iCs/>
        </w:rPr>
        <w:t xml:space="preserve">σ</w:t>
      </w:r>
      <w:r>
        <w:t xml:space="preserve">,</w:t>
      </w:r>
      <w:r>
        <w:t xml:space="preserve"> </w:t>
      </w:r>
      <w:r>
        <w:rPr>
          <w:i/>
          <w:iCs/>
        </w:rPr>
        <w:t xml:space="preserve">κ</w:t>
      </w:r>
      <w:r>
        <w:t xml:space="preserve"> </w:t>
      </w:r>
      <w:r>
        <w:t xml:space="preserve">and zT; where resistivity</w:t>
      </w:r>
      <w:r>
        <w:t xml:space="preserve"> </w:t>
      </w:r>
      <w:r>
        <w:rPr>
          <w:i/>
          <w:iCs/>
        </w:rPr>
        <w:t xml:space="preserve">ρ</w:t>
      </w:r>
      <w:r>
        <w:t xml:space="preserve"> </w:t>
      </w:r>
      <w:r>
        <w:t xml:space="preserve">was reported instead of conductivity, it was converted using</w:t>
      </w:r>
      <w:r>
        <w:t xml:space="preserve"> </w:t>
      </w:r>
      <w:r>
        <w:rPr>
          <w:i/>
          <w:iCs/>
        </w:rPr>
        <w:t xml:space="preserve">σ</w:t>
      </w:r>
      <w:r>
        <w:t xml:space="preserve"> </w:t>
      </w:r>
      <w:r>
        <w:t xml:space="preserve">= 1/</w:t>
      </w:r>
      <w:r>
        <w:rPr>
          <w:i/>
          <w:iCs/>
        </w:rPr>
        <w:t xml:space="preserve">ρ</w:t>
      </w:r>
      <w:r>
        <w:t xml:space="preserve">. Each formula is also assigned a parent chemical system (the sorted set of its constituent elements, e.g. Bi–Sb–Te for all bismuth antimony telluride variants irrespective of stoichiometry or doping), kept for reference; the grouping used for validation is the chemistry cluster defined in Section 2.4.</w:t>
      </w:r>
    </w:p>
    <w:p>
      <w:pPr>
        <w:pStyle w:val="BodyText"/>
      </w:pPr>
      <w:r>
        <w:t xml:space="preserve">An eleven-step cleaning pipeline converted the raw data into a reliable training set (Fig. 3): data preparation (steps 1–5), quality filtering (steps 6–8) and statistical filtering (steps 9–11). Each step, the number of rows it removed and the criterion it applied are described in Supplementary Note S2.</w:t>
      </w:r>
    </w:p>
    <w:p>
      <w:pPr>
        <w:pStyle w:val="CaptionedFigure"/>
      </w:pPr>
      <w:r>
        <w:drawing>
          <wp:inline>
            <wp:extent cx="5334000" cy="2467928"/>
            <wp:effectExtent b="0" l="0" r="0" t="0"/>
            <wp:docPr descr="Figure 3" title="" id="18" name="Picture"/>
            <a:graphic>
              <a:graphicData uri="http://schemas.openxmlformats.org/drawingml/2006/picture">
                <pic:pic>
                  <pic:nvPicPr>
                    <pic:cNvPr descr="../figures/paper_a/cleaning_funnel.png" id="19" name="Picture"/>
                    <pic:cNvPicPr>
                      <a:picLocks noChangeArrowheads="1" noChangeAspect="1"/>
                    </pic:cNvPicPr>
                  </pic:nvPicPr>
                  <pic:blipFill>
                    <a:blip r:embed="rId17"/>
                    <a:stretch>
                      <a:fillRect/>
                    </a:stretch>
                  </pic:blipFill>
                  <pic:spPr bwMode="auto">
                    <a:xfrm>
                      <a:off x="0" y="0"/>
                      <a:ext cx="5334000" cy="2467928"/>
                    </a:xfrm>
                    <a:prstGeom prst="rect">
                      <a:avLst/>
                    </a:prstGeom>
                    <a:noFill/>
                    <a:ln w="9525">
                      <a:noFill/>
                      <a:headEnd/>
                      <a:tailEnd/>
                    </a:ln>
                  </pic:spPr>
                </pic:pic>
              </a:graphicData>
            </a:graphic>
          </wp:inline>
        </w:drawing>
      </w:r>
    </w:p>
    <w:p>
      <w:pPr>
        <w:pStyle w:val="ImageCaption"/>
      </w:pPr>
      <w:r>
        <w:t xml:space="preserve">Figure 3</w:t>
      </w:r>
    </w:p>
    <w:p>
      <w:pPr>
        <w:pStyle w:val="BodyText"/>
      </w:pPr>
      <w:r>
        <w:rPr>
          <w:b/>
          <w:bCs/>
        </w:rPr>
        <w:t xml:space="preserve">Figure 3:</w:t>
      </w:r>
      <w:r>
        <w:t xml:space="preserve"> </w:t>
      </w:r>
      <w:r>
        <w:t xml:space="preserve">Row count through the eleven-step cleaning pipeline, from</w:t>
      </w:r>
      <w:r>
        <w:t xml:space="preserve"> </w:t>
      </w:r>
      <w:r>
        <w:t xml:space="preserve">1,996,047</w:t>
      </w:r>
      <w:r>
        <w:t xml:space="preserve"> </w:t>
      </w:r>
      <w:r>
        <w:t xml:space="preserve">property observations after range filtering to</w:t>
      </w:r>
      <w:r>
        <w:t xml:space="preserve"> </w:t>
      </w:r>
      <w:r>
        <w:t xml:space="preserve">280,664</w:t>
      </w:r>
      <w:r>
        <w:t xml:space="preserve"> </w:t>
      </w:r>
      <w:r>
        <w:t xml:space="preserve">rows in the final cleaned dataset.</w:t>
      </w:r>
    </w:p>
    <w:p>
      <w:pPr>
        <w:pStyle w:val="BodyText"/>
      </w:pPr>
      <w:r>
        <w:rPr>
          <w:i/>
          <w:iCs/>
        </w:rPr>
        <w:t xml:space="preserve">Analysis choices.</w:t>
      </w:r>
      <w:r>
        <w:t xml:space="preserve"> </w:t>
      </w:r>
      <w:r>
        <w:t xml:space="preserve">The following settings of the cleaning pipeline are choices of this study, fixed before any model was trained; none was tuned on model performance and none was tested by a sensitivity analysis, so the results are conditional on them. (i) The temperature window of</w:t>
      </w:r>
      <w:r>
        <w:t xml:space="preserve"> </w:t>
      </w:r>
      <w:r>
        <w:t xml:space="preserve">300</w:t>
      </w:r>
      <w:r>
        <w:t xml:space="preserve">–</w:t>
      </w:r>
      <w:r>
        <w:t xml:space="preserve">800</w:t>
      </w:r>
      <w:r>
        <w:t xml:space="preserve"> </w:t>
      </w:r>
      <w:r>
        <w:t xml:space="preserve">K restricts the study to near-room-temperature and mid-temperature readings; readings outside it are outside the scope of the prediction and are not used. (ii) The</w:t>
      </w:r>
      <w:r>
        <w:t xml:space="preserve"> </w:t>
      </w:r>
      <w:r>
        <w:t xml:space="preserve">25</w:t>
      </w:r>
      <w:r>
        <w:t xml:space="preserve"> </w:t>
      </w:r>
      <w:r>
        <w:t xml:space="preserve">K bin width groups readings of one sample that were reported at slightly different temperatures into one bin while keeping the shape of the curve; it was not varied. (iii) The</w:t>
      </w:r>
      <w:r>
        <w:t xml:space="preserve"> </w:t>
      </w:r>
      <w:r>
        <w:t xml:space="preserve">50</w:t>
      </w:r>
      <w:r>
        <w:t xml:space="preserve">% tolerance of the zT consistency check is deliberately loose: it removes gross inconsistencies between a reported zT and the value recomputed from the same sample’s S,</w:t>
      </w:r>
      <w:r>
        <w:t xml:space="preserve"> </w:t>
      </w:r>
      <w:r>
        <w:rPr>
          <w:i/>
          <w:iCs/>
        </w:rPr>
        <w:t xml:space="preserve">σ</w:t>
      </w:r>
      <w:r>
        <w:t xml:space="preserve"> </w:t>
      </w:r>
      <w:r>
        <w:t xml:space="preserve">and</w:t>
      </w:r>
      <w:r>
        <w:t xml:space="preserve"> </w:t>
      </w:r>
      <w:r>
        <w:rPr>
          <w:i/>
          <w:iCs/>
        </w:rPr>
        <w:t xml:space="preserve">κ</w:t>
      </w:r>
      <w:r>
        <w:t xml:space="preserve">, without discarding rows over the ordinary digitization and measurement uncertainty of the three properties. (iv) Formulas with fewer than</w:t>
      </w:r>
      <w:r>
        <w:t xml:space="preserve"> </w:t>
      </w:r>
      <w:r>
        <w:t xml:space="preserve">3</w:t>
      </w:r>
      <w:r>
        <w:t xml:space="preserve"> </w:t>
      </w:r>
      <w:r>
        <w:t xml:space="preserve">distinct temperatures are removed because the smoothness filter, whose window is</w:t>
      </w:r>
      <w:r>
        <w:t xml:space="preserve"> </w:t>
      </w:r>
      <w:r>
        <w:t xml:space="preserve">3</w:t>
      </w:r>
      <w:r>
        <w:t xml:space="preserve">, cannot judge a curve with fewer points. (v) A window of</w:t>
      </w:r>
      <w:r>
        <w:t xml:space="preserve"> </w:t>
      </w:r>
      <w:r>
        <w:t xml:space="preserve">3</w:t>
      </w:r>
      <w:r>
        <w:t xml:space="preserve"> </w:t>
      </w:r>
      <w:r>
        <w:t xml:space="preserve">is the smallest odd window that defines a local median; a wider window would also flatten genuine extrema of zT(T). The multiplier</w:t>
      </w:r>
      <w:r>
        <w:t xml:space="preserve"> </w:t>
      </w:r>
      <w:r>
        <w:t xml:space="preserve">3.5</w:t>
      </w:r>
      <w:r>
        <w:t xml:space="preserve"> </w:t>
      </w:r>
      <w:r>
        <w:t xml:space="preserve">of the two MAD filters (Steps 9 and 11) is likewise a choice.</w:t>
      </w:r>
    </w:p>
    <w:p>
      <w:pPr>
        <w:pStyle w:val="BodyText"/>
      </w:pPr>
      <w:r>
        <w:t xml:space="preserve">The final cleaned dataset contains</w:t>
      </w:r>
      <w:r>
        <w:t xml:space="preserve"> </w:t>
      </w:r>
      <w:r>
        <w:t xml:space="preserve">280,664</w:t>
      </w:r>
      <w:r>
        <w:t xml:space="preserve"> </w:t>
      </w:r>
      <w:r>
        <w:t xml:space="preserve">rows; featurisation (formulas that fail either featuriser are excluded and logged) leaves</w:t>
      </w:r>
      <w:r>
        <w:t xml:space="preserve"> </w:t>
      </w:r>
      <w:r>
        <w:t xml:space="preserve">280,173</w:t>
      </w:r>
      <w:r>
        <w:t xml:space="preserve"> </w:t>
      </w:r>
      <w:r>
        <w:t xml:space="preserve">rows covering</w:t>
      </w:r>
      <w:r>
        <w:t xml:space="preserve"> </w:t>
      </w:r>
      <w:r>
        <w:t xml:space="preserve">17,977</w:t>
      </w:r>
      <w:r>
        <w:t xml:space="preserve"> </w:t>
      </w:r>
      <w:r>
        <w:t xml:space="preserve">unique chemical formulas in</w:t>
      </w:r>
      <w:r>
        <w:t xml:space="preserve"> </w:t>
      </w:r>
      <w:r>
        <w:t xml:space="preserve">8,908</w:t>
      </w:r>
      <w:r>
        <w:t xml:space="preserve"> </w:t>
      </w:r>
      <w:r>
        <w:t xml:space="preserve">chemistry clusters and</w:t>
      </w:r>
      <w:r>
        <w:t xml:space="preserve"> </w:t>
      </w:r>
      <w:r>
        <w:t xml:space="preserve">3,909</w:t>
      </w:r>
      <w:r>
        <w:t xml:space="preserve"> </w:t>
      </w:r>
      <w:r>
        <w:t xml:space="preserve">parent chemical systems. The four per-target datasets contain</w:t>
      </w:r>
      <w:r>
        <w:t xml:space="preserve"> </w:t>
      </w:r>
      <w:r>
        <w:t xml:space="preserve">185,064</w:t>
      </w:r>
      <w:r>
        <w:t xml:space="preserve"> </w:t>
      </w:r>
      <w:r>
        <w:t xml:space="preserve">rows with S,</w:t>
      </w:r>
      <w:r>
        <w:t xml:space="preserve"> </w:t>
      </w:r>
      <w:r>
        <w:t xml:space="preserve">182,755</w:t>
      </w:r>
      <w:r>
        <w:t xml:space="preserve"> </w:t>
      </w:r>
      <w:r>
        <w:t xml:space="preserve">with</w:t>
      </w:r>
      <w:r>
        <w:t xml:space="preserve"> </w:t>
      </w:r>
      <w:r>
        <w:rPr>
          <w:i/>
          <w:iCs/>
        </w:rPr>
        <w:t xml:space="preserve">σ</w:t>
      </w:r>
      <w:r>
        <w:t xml:space="preserve">,</w:t>
      </w:r>
      <w:r>
        <w:t xml:space="preserve"> </w:t>
      </w:r>
      <w:r>
        <w:t xml:space="preserve">121,110</w:t>
      </w:r>
      <w:r>
        <w:t xml:space="preserve"> </w:t>
      </w:r>
      <w:r>
        <w:t xml:space="preserve">with</w:t>
      </w:r>
      <w:r>
        <w:t xml:space="preserve"> </w:t>
      </w:r>
      <w:r>
        <w:rPr>
          <w:i/>
          <w:iCs/>
        </w:rPr>
        <w:t xml:space="preserve">κ</w:t>
      </w:r>
      <w:r>
        <w:t xml:space="preserve"> </w:t>
      </w:r>
      <w:r>
        <w:t xml:space="preserve">and</w:t>
      </w:r>
      <w:r>
        <w:t xml:space="preserve"> </w:t>
      </w:r>
      <w:r>
        <w:t xml:space="preserve">129,419</w:t>
      </w:r>
      <w:r>
        <w:t xml:space="preserve"> </w:t>
      </w:r>
      <w:r>
        <w:t xml:space="preserve">with zT (</w:t>
      </w:r>
      <w:r>
        <w:t xml:space="preserve">66.1</w:t>
      </w:r>
      <w:r>
        <w:t xml:space="preserve">%,</w:t>
      </w:r>
      <w:r>
        <w:t xml:space="preserve"> </w:t>
      </w:r>
      <w:r>
        <w:t xml:space="preserve">65.2</w:t>
      </w:r>
      <w:r>
        <w:t xml:space="preserve">%,</w:t>
      </w:r>
      <w:r>
        <w:t xml:space="preserve"> </w:t>
      </w:r>
      <w:r>
        <w:t xml:space="preserve">43.2</w:t>
      </w:r>
      <w:r>
        <w:t xml:space="preserve">% and</w:t>
      </w:r>
      <w:r>
        <w:t xml:space="preserve"> </w:t>
      </w:r>
      <w:r>
        <w:t xml:space="preserve">46.2</w:t>
      </w:r>
      <w:r>
        <w:t xml:space="preserve">% of the featurised rows); they overlap and are not a partition. The mean zT of the retained rows is</w:t>
      </w:r>
      <w:r>
        <w:t xml:space="preserve"> </w:t>
      </w:r>
      <w:r>
        <w:t xml:space="preserve">0.427</w:t>
      </w:r>
      <w:r>
        <w:t xml:space="preserve"> </w:t>
      </w:r>
      <w:r>
        <w:t xml:space="preserve">(</w:t>
      </w:r>
      <w:r>
        <w:t xml:space="preserve">0.426</w:t>
      </w:r>
      <w:r>
        <w:t xml:space="preserve"> </w:t>
      </w:r>
      <w:r>
        <w:t xml:space="preserve">over the</w:t>
      </w:r>
      <w:r>
        <w:t xml:space="preserve"> </w:t>
      </w:r>
      <w:r>
        <w:t xml:space="preserve">280,664</w:t>
      </w:r>
      <w:r>
        <w:t xml:space="preserve"> </w:t>
      </w:r>
      <w:r>
        <w:t xml:space="preserve">cleaned rows, against</w:t>
      </w:r>
      <w:r>
        <w:t xml:space="preserve"> </w:t>
      </w:r>
      <w:r>
        <w:t xml:space="preserve">0.387</w:t>
      </w:r>
      <w:r>
        <w:t xml:space="preserve"> </w:t>
      </w:r>
      <w:r>
        <w:t xml:space="preserve">after Step 6). The S distribution (Fig. 4a) mixes p-type samples (</w:t>
      </w:r>
      <w:r>
        <w:t xml:space="preserve">55.6</w:t>
      </w:r>
      <w:r>
        <w:t xml:space="preserve">% of the S rows) and n-type samples, and the negative values of the latter pull the mean (</w:t>
      </w:r>
      <w:r>
        <w:t xml:space="preserve">19.1</w:t>
      </w:r>
      <w:r>
        <w:t xml:space="preserve"> </w:t>
      </w:r>
      <w:r>
        <w:rPr>
          <w:i/>
          <w:iCs/>
        </w:rPr>
        <w:t xml:space="preserve">µ</w:t>
      </w:r>
      <w:r>
        <w:t xml:space="preserve">V K</w:t>
      </w:r>
      <w:r>
        <w:rPr>
          <w:vertAlign w:val="superscript"/>
        </w:rPr>
        <w:t xml:space="preserve">−1</w:t>
      </w:r>
      <w:r>
        <w:t xml:space="preserve">) below the median (</w:t>
      </w:r>
      <w:r>
        <w:t xml:space="preserve">50.0</w:t>
      </w:r>
      <w:r>
        <w:t xml:space="preserve"> </w:t>
      </w:r>
      <w:r>
        <w:rPr>
          <w:i/>
          <w:iCs/>
        </w:rPr>
        <w:t xml:space="preserve">µ</w:t>
      </w:r>
      <w:r>
        <w:t xml:space="preserve">V K</w:t>
      </w:r>
      <w:r>
        <w:rPr>
          <w:vertAlign w:val="superscript"/>
        </w:rPr>
        <w:t xml:space="preserve">−1</w:t>
      </w:r>
      <w:r>
        <w:t xml:space="preserve">) (Table 2).</w:t>
      </w:r>
    </w:p>
    <w:p>
      <w:pPr>
        <w:pStyle w:val="BodyText"/>
      </w:pPr>
      <w:r>
        <w:rPr>
          <w:b/>
          <w:bCs/>
        </w:rPr>
        <w:t xml:space="preserve">Table 2:</w:t>
      </w:r>
      <w:r>
        <w:t xml:space="preserve"> </w:t>
      </w:r>
      <w:r>
        <w:t xml:space="preserve">Final dataset statistics: the 280,173 featurised rows, per property (coverage is the share of those rows with a value; SD is the sample standard deviation).</w:t>
      </w:r>
    </w:p>
    <w:tbl>
      <w:tblPr>
        <w:tblStyle w:val="Table"/>
        <w:tblW w:type="pct" w:w="5000"/>
        <w:tblLayout w:type="fixed"/>
        <w:tblLook w:firstRow="1" w:lastRow="0" w:firstColumn="0" w:lastColumn="0" w:noHBand="0" w:noVBand="0" w:val="0020"/>
      </w:tblPr>
      <w:tblGrid>
        <w:gridCol w:w="1414"/>
        <w:gridCol w:w="848"/>
        <w:gridCol w:w="1037"/>
        <w:gridCol w:w="1037"/>
        <w:gridCol w:w="1037"/>
        <w:gridCol w:w="1037"/>
        <w:gridCol w:w="1508"/>
      </w:tblGrid>
      <w:tr>
        <w:trPr>
          <w:tblHeader w:val="on"/>
        </w:trPr>
        <w:tc>
          <w:tcPr/>
          <w:p>
            <w:pPr>
              <w:pStyle w:val="Compact"/>
            </w:pPr>
            <w:r>
              <w:rPr>
                <w:b/>
                <w:bCs/>
              </w:rPr>
              <w:t xml:space="preserve">Property</w:t>
            </w:r>
          </w:p>
        </w:tc>
        <w:tc>
          <w:tcPr/>
          <w:p>
            <w:pPr>
              <w:pStyle w:val="Compact"/>
            </w:pPr>
            <w:r>
              <w:rPr>
                <w:b/>
                <w:bCs/>
              </w:rPr>
              <w:t xml:space="preserve">Rows</w:t>
            </w:r>
          </w:p>
        </w:tc>
        <w:tc>
          <w:tcPr/>
          <w:p>
            <w:pPr>
              <w:pStyle w:val="Compact"/>
            </w:pPr>
            <w:r>
              <w:rPr>
                <w:b/>
                <w:bCs/>
              </w:rPr>
              <w:t xml:space="preserve">Coverage</w:t>
            </w:r>
          </w:p>
        </w:tc>
        <w:tc>
          <w:tcPr/>
          <w:p>
            <w:pPr>
              <w:pStyle w:val="Compact"/>
            </w:pPr>
            <w:r>
              <w:rPr>
                <w:b/>
                <w:bCs/>
              </w:rPr>
              <w:t xml:space="preserve">Mean</w:t>
            </w:r>
          </w:p>
        </w:tc>
        <w:tc>
          <w:tcPr/>
          <w:p>
            <w:pPr>
              <w:pStyle w:val="Compact"/>
            </w:pPr>
            <w:r>
              <w:rPr>
                <w:b/>
                <w:bCs/>
              </w:rPr>
              <w:t xml:space="preserve">Median</w:t>
            </w:r>
          </w:p>
        </w:tc>
        <w:tc>
          <w:tcPr/>
          <w:p>
            <w:pPr>
              <w:pStyle w:val="Compact"/>
            </w:pPr>
            <w:r>
              <w:rPr>
                <w:b/>
                <w:bCs/>
              </w:rPr>
              <w:t xml:space="preserve">SD</w:t>
            </w:r>
          </w:p>
        </w:tc>
        <w:tc>
          <w:tcPr/>
          <w:p>
            <w:pPr>
              <w:pStyle w:val="Compact"/>
            </w:pPr>
            <w:r>
              <w:rPr>
                <w:b/>
                <w:bCs/>
              </w:rPr>
              <w:t xml:space="preserve">Range</w:t>
            </w:r>
          </w:p>
        </w:tc>
      </w:tr>
      <w:tr>
        <w:tc>
          <w:tcPr/>
          <w:p>
            <w:pPr>
              <w:pStyle w:val="Compact"/>
            </w:pPr>
            <w:r>
              <w:t xml:space="preserve">S (</w:t>
            </w:r>
            <w:r>
              <w:rPr>
                <w:i/>
                <w:iCs/>
              </w:rPr>
              <w:t xml:space="preserve">µ</w:t>
            </w:r>
            <w:r>
              <w:t xml:space="preserve">V K</w:t>
            </w:r>
            <w:r>
              <w:rPr>
                <w:vertAlign w:val="superscript"/>
              </w:rPr>
              <w:t xml:space="preserve">−1</w:t>
            </w:r>
            <w:r>
              <w:t xml:space="preserve">)</w:t>
            </w:r>
          </w:p>
        </w:tc>
        <w:tc>
          <w:tcPr/>
          <w:p>
            <w:pPr>
              <w:pStyle w:val="Compact"/>
            </w:pPr>
            <w:r>
              <w:t xml:space="preserve">185,064</w:t>
            </w:r>
          </w:p>
        </w:tc>
        <w:tc>
          <w:tcPr/>
          <w:p>
            <w:pPr>
              <w:pStyle w:val="Compact"/>
            </w:pPr>
            <w:r>
              <w:t xml:space="preserve">66.1%</w:t>
            </w:r>
          </w:p>
        </w:tc>
        <w:tc>
          <w:tcPr/>
          <w:p>
            <w:pPr>
              <w:pStyle w:val="Compact"/>
            </w:pPr>
            <w:r>
              <w:t xml:space="preserve">19.1</w:t>
            </w:r>
          </w:p>
        </w:tc>
        <w:tc>
          <w:tcPr/>
          <w:p>
            <w:pPr>
              <w:pStyle w:val="Compact"/>
            </w:pPr>
            <w:r>
              <w:t xml:space="preserve">50.0</w:t>
            </w:r>
          </w:p>
        </w:tc>
        <w:tc>
          <w:tcPr/>
          <w:p>
            <w:pPr>
              <w:pStyle w:val="Compact"/>
            </w:pPr>
            <w:r>
              <w:t xml:space="preserve">176.9</w:t>
            </w:r>
          </w:p>
        </w:tc>
        <w:tc>
          <w:tcPr/>
          <w:p>
            <w:pPr>
              <w:pStyle w:val="Compact"/>
            </w:pPr>
            <w:r>
              <w:t xml:space="preserve">−461 to 562.5</w:t>
            </w:r>
          </w:p>
        </w:tc>
      </w:tr>
      <w:tr>
        <w:tc>
          <w:tcPr/>
          <w:p>
            <w:pPr>
              <w:pStyle w:val="Compact"/>
            </w:pPr>
            <w:r>
              <w:rPr>
                <w:i/>
                <w:iCs/>
              </w:rPr>
              <w:t xml:space="preserve">σ</w:t>
            </w:r>
            <w:r>
              <w:t xml:space="preserve"> </w:t>
            </w:r>
            <w:r>
              <w:t xml:space="preserve">(S m</w:t>
            </w:r>
            <w:r>
              <w:rPr>
                <w:vertAlign w:val="superscript"/>
              </w:rPr>
              <w:t xml:space="preserve">−1</w:t>
            </w:r>
            <w:r>
              <w:t xml:space="preserve">)</w:t>
            </w:r>
          </w:p>
        </w:tc>
        <w:tc>
          <w:tcPr/>
          <w:p>
            <w:pPr>
              <w:pStyle w:val="Compact"/>
            </w:pPr>
            <w:r>
              <w:t xml:space="preserve">182,755</w:t>
            </w:r>
          </w:p>
        </w:tc>
        <w:tc>
          <w:tcPr/>
          <w:p>
            <w:pPr>
              <w:pStyle w:val="Compact"/>
            </w:pPr>
            <w:r>
              <w:t xml:space="preserve">65.2%</w:t>
            </w:r>
          </w:p>
        </w:tc>
        <w:tc>
          <w:tcPr/>
          <w:p>
            <w:pPr>
              <w:pStyle w:val="Compact"/>
            </w:pPr>
            <w:r>
              <w:t xml:space="preserve">83,498</w:t>
            </w:r>
          </w:p>
        </w:tc>
        <w:tc>
          <w:tcPr/>
          <w:p>
            <w:pPr>
              <w:pStyle w:val="Compact"/>
            </w:pPr>
            <w:r>
              <w:t xml:space="preserve">45,262</w:t>
            </w:r>
          </w:p>
        </w:tc>
        <w:tc>
          <w:tcPr/>
          <w:p>
            <w:pPr>
              <w:pStyle w:val="Compact"/>
            </w:pPr>
            <w:r>
              <w:t xml:space="preserve">129,514</w:t>
            </w:r>
          </w:p>
        </w:tc>
        <w:tc>
          <w:tcPr/>
          <w:p>
            <w:pPr>
              <w:pStyle w:val="Compact"/>
            </w:pPr>
            <w:r>
              <w:t xml:space="preserve">959 to 1.66 × 10</w:t>
            </w:r>
            <w:r>
              <w:rPr>
                <w:vertAlign w:val="superscript"/>
              </w:rPr>
              <w:t xml:space="preserve">6</w:t>
            </w:r>
          </w:p>
        </w:tc>
      </w:tr>
      <w:tr>
        <w:tc>
          <w:tcPr/>
          <w:p>
            <w:pPr>
              <w:pStyle w:val="Compact"/>
            </w:pPr>
            <w:r>
              <w:rPr>
                <w:i/>
                <w:iCs/>
              </w:rPr>
              <w:t xml:space="preserve">κ</w:t>
            </w:r>
            <w:r>
              <w:t xml:space="preserve"> </w:t>
            </w:r>
            <w:r>
              <w:t xml:space="preserve">(W m</w:t>
            </w:r>
            <w:r>
              <w:rPr>
                <w:vertAlign w:val="superscript"/>
              </w:rPr>
              <w:t xml:space="preserve">−1</w:t>
            </w:r>
            <w:r>
              <w:t xml:space="preserve"> </w:t>
            </w:r>
            <w:r>
              <w:t xml:space="preserve">K</w:t>
            </w:r>
            <w:r>
              <w:rPr>
                <w:vertAlign w:val="superscript"/>
              </w:rPr>
              <w:t xml:space="preserve">−1</w:t>
            </w:r>
            <w:r>
              <w:t xml:space="preserve">)</w:t>
            </w:r>
          </w:p>
        </w:tc>
        <w:tc>
          <w:tcPr/>
          <w:p>
            <w:pPr>
              <w:pStyle w:val="Compact"/>
            </w:pPr>
            <w:r>
              <w:t xml:space="preserve">121,110</w:t>
            </w:r>
          </w:p>
        </w:tc>
        <w:tc>
          <w:tcPr/>
          <w:p>
            <w:pPr>
              <w:pStyle w:val="Compact"/>
            </w:pPr>
            <w:r>
              <w:t xml:space="preserve">43.2%</w:t>
            </w:r>
          </w:p>
        </w:tc>
        <w:tc>
          <w:tcPr/>
          <w:p>
            <w:pPr>
              <w:pStyle w:val="Compact"/>
            </w:pPr>
            <w:r>
              <w:t xml:space="preserve">2.54</w:t>
            </w:r>
          </w:p>
        </w:tc>
        <w:tc>
          <w:tcPr/>
          <w:p>
            <w:pPr>
              <w:pStyle w:val="Compact"/>
            </w:pPr>
            <w:r>
              <w:t xml:space="preserve">2.00</w:t>
            </w:r>
          </w:p>
        </w:tc>
        <w:tc>
          <w:tcPr/>
          <w:p>
            <w:pPr>
              <w:pStyle w:val="Compact"/>
            </w:pPr>
            <w:r>
              <w:t xml:space="preserve">1.98</w:t>
            </w:r>
          </w:p>
        </w:tc>
        <w:tc>
          <w:tcPr/>
          <w:p>
            <w:pPr>
              <w:pStyle w:val="Compact"/>
            </w:pPr>
            <w:r>
              <w:t xml:space="preserve">0.28 to 13.78</w:t>
            </w:r>
          </w:p>
        </w:tc>
      </w:tr>
      <w:tr>
        <w:tc>
          <w:tcPr/>
          <w:p>
            <w:pPr>
              <w:pStyle w:val="Compact"/>
            </w:pPr>
            <w:r>
              <w:t xml:space="preserve">zT</w:t>
            </w:r>
          </w:p>
        </w:tc>
        <w:tc>
          <w:tcPr/>
          <w:p>
            <w:pPr>
              <w:pStyle w:val="Compact"/>
            </w:pPr>
            <w:r>
              <w:t xml:space="preserve">129,419</w:t>
            </w:r>
          </w:p>
        </w:tc>
        <w:tc>
          <w:tcPr/>
          <w:p>
            <w:pPr>
              <w:pStyle w:val="Compact"/>
            </w:pPr>
            <w:r>
              <w:t xml:space="preserve">46.2%</w:t>
            </w:r>
          </w:p>
        </w:tc>
        <w:tc>
          <w:tcPr/>
          <w:p>
            <w:pPr>
              <w:pStyle w:val="Compact"/>
            </w:pPr>
            <w:r>
              <w:t xml:space="preserve">0.427</w:t>
            </w:r>
          </w:p>
        </w:tc>
        <w:tc>
          <w:tcPr/>
          <w:p>
            <w:pPr>
              <w:pStyle w:val="Compact"/>
            </w:pPr>
            <w:r>
              <w:t xml:space="preserve">0.316</w:t>
            </w:r>
          </w:p>
        </w:tc>
        <w:tc>
          <w:tcPr/>
          <w:p>
            <w:pPr>
              <w:pStyle w:val="Compact"/>
            </w:pPr>
            <w:r>
              <w:t xml:space="preserve">0.388</w:t>
            </w:r>
          </w:p>
        </w:tc>
        <w:tc>
          <w:tcPr/>
          <w:p>
            <w:pPr>
              <w:pStyle w:val="Compact"/>
            </w:pPr>
            <w:r>
              <w:t xml:space="preserve">0.000 to 3.899</w:t>
            </w:r>
          </w:p>
        </w:tc>
      </w:tr>
    </w:tbl>
    <w:p>
      <w:pPr>
        <w:pStyle w:val="CaptionedFigure"/>
      </w:pPr>
      <w:r>
        <w:drawing>
          <wp:inline>
            <wp:extent cx="5334000" cy="2866071"/>
            <wp:effectExtent b="0" l="0" r="0" t="0"/>
            <wp:docPr descr="Figure 4" title="" id="21" name="Picture"/>
            <a:graphic>
              <a:graphicData uri="http://schemas.openxmlformats.org/drawingml/2006/picture">
                <pic:pic>
                  <pic:nvPicPr>
                    <pic:cNvPr descr="../figures/fig6_property_distributions.png" id="22" name="Picture"/>
                    <pic:cNvPicPr>
                      <a:picLocks noChangeArrowheads="1" noChangeAspect="1"/>
                    </pic:cNvPicPr>
                  </pic:nvPicPr>
                  <pic:blipFill>
                    <a:blip r:embed="rId20"/>
                    <a:stretch>
                      <a:fillRect/>
                    </a:stretch>
                  </pic:blipFill>
                  <pic:spPr bwMode="auto">
                    <a:xfrm>
                      <a:off x="0" y="0"/>
                      <a:ext cx="5334000" cy="2866071"/>
                    </a:xfrm>
                    <a:prstGeom prst="rect">
                      <a:avLst/>
                    </a:prstGeom>
                    <a:noFill/>
                    <a:ln w="9525">
                      <a:noFill/>
                      <a:headEnd/>
                      <a:tailEnd/>
                    </a:ln>
                  </pic:spPr>
                </pic:pic>
              </a:graphicData>
            </a:graphic>
          </wp:inline>
        </w:drawing>
      </w:r>
    </w:p>
    <w:p>
      <w:pPr>
        <w:pStyle w:val="ImageCaption"/>
      </w:pPr>
      <w:r>
        <w:t xml:space="preserve">Figure 4</w:t>
      </w:r>
    </w:p>
    <w:p>
      <w:pPr>
        <w:pStyle w:val="BodyText"/>
      </w:pPr>
      <w:r>
        <w:rPr>
          <w:b/>
          <w:bCs/>
        </w:rPr>
        <w:t xml:space="preserve">Figure 4:</w:t>
      </w:r>
      <w:r>
        <w:t xml:space="preserve"> </w:t>
      </w:r>
      <w:r>
        <w:t xml:space="preserve">Distribution of thermoelectric properties in the final dataset (</w:t>
      </w:r>
      <w:r>
        <w:t xml:space="preserve">280,173</w:t>
      </w:r>
      <w:r>
        <w:t xml:space="preserve"> </w:t>
      </w:r>
      <w:r>
        <w:t xml:space="preserve">featurised rows): (a) Seebeck coefficient, (b) electrical conductivity, (c) thermal conductivity and (d) figure of merit.</w:t>
      </w:r>
    </w:p>
    <w:bookmarkEnd w:id="23"/>
    <w:bookmarkStart w:id="24" w:name="descriptors"/>
    <w:p>
      <w:pPr>
        <w:pStyle w:val="Heading2"/>
      </w:pPr>
      <w:r>
        <w:t xml:space="preserve">2.2 Descriptors</w:t>
      </w:r>
    </w:p>
    <w:p>
      <w:pPr>
        <w:pStyle w:val="FirstParagraph"/>
      </w:pPr>
      <w:r>
        <w:t xml:space="preserve">The first feature set was generated with the MAGPIE preset of the matminer library</w:t>
      </w:r>
      <w:r>
        <w:rPr>
          <w:vertAlign w:val="superscript"/>
        </w:rPr>
        <w:t xml:space="preserve">28,29</w:t>
      </w:r>
      <w:r>
        <w:t xml:space="preserve">: six statistics for each of</w:t>
      </w:r>
      <w:r>
        <w:t xml:space="preserve"> </w:t>
      </w:r>
      <w:r>
        <w:t xml:space="preserve">22</w:t>
      </w:r>
      <w:r>
        <w:t xml:space="preserve"> </w:t>
      </w:r>
      <w:r>
        <w:t xml:space="preserve">elemental properties, i.e. </w:t>
      </w:r>
      <w:r>
        <w:t xml:space="preserve">132</w:t>
      </w:r>
      <w:r>
        <w:t xml:space="preserve"> </w:t>
      </w:r>
      <w:r>
        <w:t xml:space="preserve">features computed from the chemical formula alone. The second set was generated with CBFV using the Oliynyk element property set</w:t>
      </w:r>
      <w:r>
        <w:rPr>
          <w:vertAlign w:val="superscript"/>
        </w:rPr>
        <w:t xml:space="preserve">30</w:t>
      </w:r>
      <w:r>
        <w:t xml:space="preserve">, which includes properties not available in MAGPIE (polarizability, Gordy and Mulliken electronegativity, heat of atomization); all</w:t>
      </w:r>
      <w:r>
        <w:t xml:space="preserve"> </w:t>
      </w:r>
      <w:r>
        <w:t xml:space="preserve">264</w:t>
      </w:r>
      <w:r>
        <w:t xml:space="preserve"> </w:t>
      </w:r>
      <w:r>
        <w:t xml:space="preserve">CBFV features were retained, without a correlation filter. Temperature (T, K) was added as a direct input feature, giving</w:t>
      </w:r>
      <w:r>
        <w:t xml:space="preserve"> </w:t>
      </w:r>
      <w:r>
        <w:t xml:space="preserve">132</w:t>
      </w:r>
      <w:r>
        <w:t xml:space="preserve"> </w:t>
      </w:r>
      <w:r>
        <w:t xml:space="preserve">+</w:t>
      </w:r>
      <w:r>
        <w:t xml:space="preserve"> </w:t>
      </w:r>
      <w:r>
        <w:t xml:space="preserve">264</w:t>
      </w:r>
      <w:r>
        <w:t xml:space="preserve"> </w:t>
      </w:r>
      <w:r>
        <w:t xml:space="preserve">+</w:t>
      </w:r>
      <w:r>
        <w:t xml:space="preserve"> </w:t>
      </w:r>
      <w:r>
        <w:t xml:space="preserve">1</w:t>
      </w:r>
      <w:r>
        <w:t xml:space="preserve"> </w:t>
      </w:r>
      <w:r>
        <w:t xml:space="preserve">=</w:t>
      </w:r>
      <w:r>
        <w:t xml:space="preserve"> </w:t>
      </w:r>
      <w:r>
        <w:t xml:space="preserve">397</w:t>
      </w:r>
      <w:r>
        <w:t xml:space="preserve"> </w:t>
      </w:r>
      <w:r>
        <w:t xml:space="preserve">descriptors in total.</w:t>
      </w:r>
    </w:p>
    <w:p>
      <w:pPr>
        <w:pStyle w:val="BodyText"/>
      </w:pPr>
      <w:r>
        <w:t xml:space="preserve">All results use the full</w:t>
      </w:r>
      <w:r>
        <w:t xml:space="preserve"> </w:t>
      </w:r>
      <w:r>
        <w:t xml:space="preserve">397</w:t>
      </w:r>
      <w:r>
        <w:t xml:space="preserve">-feature set; no explicit feature selection is applied, because XGBoost subsamples columns at every tree; the explicit selection of the earlier work was tested as a paired comparison and lowers R</w:t>
      </w:r>
      <w:r>
        <w:rPr>
          <w:vertAlign w:val="superscript"/>
        </w:rPr>
        <w:t xml:space="preserve">2</w:t>
      </w:r>
      <w:r>
        <w:t xml:space="preserve"> </w:t>
      </w:r>
      <w:r>
        <w:t xml:space="preserve">on every target (Section 3.1.4). A descriptor ablation with the hyperparameters frozen at their full-feature values (so that only the descriptor set changes) shows how little each block adds: restricting the descriptors to MAGPIE and temperature (</w:t>
      </w:r>
      <w:r>
        <w:t xml:space="preserve">133</w:t>
      </w:r>
      <w:r>
        <w:t xml:space="preserve"> </w:t>
      </w:r>
      <w:r>
        <w:t xml:space="preserve">features) lowers the chemistry-cluster R</w:t>
      </w:r>
      <w:r>
        <w:rPr>
          <w:vertAlign w:val="superscript"/>
        </w:rPr>
        <w:t xml:space="preserve">2</w:t>
      </w:r>
      <w:r>
        <w:t xml:space="preserve"> </w:t>
      </w:r>
      <w:r>
        <w:t xml:space="preserve">by only</w:t>
      </w:r>
      <w:r>
        <w:t xml:space="preserve"> </w:t>
      </w:r>
      <w:r>
        <w:t xml:space="preserve">0.006</w:t>
      </w:r>
      <w:r>
        <w:t xml:space="preserve"> </w:t>
      </w:r>
      <w:r>
        <w:t xml:space="preserve">for S,</w:t>
      </w:r>
      <w:r>
        <w:t xml:space="preserve"> </w:t>
      </w:r>
      <w:r>
        <w:t xml:space="preserve">0.010</w:t>
      </w:r>
      <w:r>
        <w:t xml:space="preserve"> </w:t>
      </w:r>
      <w:r>
        <w:t xml:space="preserve">for</w:t>
      </w:r>
      <w:r>
        <w:t xml:space="preserve"> </w:t>
      </w:r>
      <w:r>
        <w:rPr>
          <w:i/>
          <w:iCs/>
        </w:rPr>
        <w:t xml:space="preserve">σ</w:t>
      </w:r>
      <w:r>
        <w:t xml:space="preserve">,</w:t>
      </w:r>
      <w:r>
        <w:t xml:space="preserve"> </w:t>
      </w:r>
      <w:r>
        <w:t xml:space="preserve">0.006</w:t>
      </w:r>
      <w:r>
        <w:t xml:space="preserve"> </w:t>
      </w:r>
      <w:r>
        <w:t xml:space="preserve">for</w:t>
      </w:r>
      <w:r>
        <w:t xml:space="preserve"> </w:t>
      </w:r>
      <w:r>
        <w:rPr>
          <w:i/>
          <w:iCs/>
        </w:rPr>
        <w:t xml:space="preserve">κ</w:t>
      </w:r>
      <w:r>
        <w:t xml:space="preserve"> </w:t>
      </w:r>
      <w:r>
        <w:t xml:space="preserve">and</w:t>
      </w:r>
      <w:r>
        <w:t xml:space="preserve"> </w:t>
      </w:r>
      <w:r>
        <w:t xml:space="preserve">0.005</w:t>
      </w:r>
      <w:r>
        <w:t xml:space="preserve"> </w:t>
      </w:r>
      <w:r>
        <w:t xml:space="preserve">for zT, and the CBFV block alone reaches</w:t>
      </w:r>
      <w:r>
        <w:t xml:space="preserve"> </w:t>
      </w:r>
      <w:r>
        <w:t xml:space="preserve">0.744</w:t>
      </w:r>
      <w:r>
        <w:t xml:space="preserve"> </w:t>
      </w:r>
      <w:r>
        <w:t xml:space="preserve">for zT against</w:t>
      </w:r>
      <w:r>
        <w:t xml:space="preserve"> </w:t>
      </w:r>
      <w:r>
        <w:t xml:space="preserve">0.746</w:t>
      </w:r>
      <w:r>
        <w:t xml:space="preserve"> </w:t>
      </w:r>
      <w:r>
        <w:t xml:space="preserve">for the full set.</w:t>
      </w:r>
    </w:p>
    <w:bookmarkEnd w:id="24"/>
    <w:bookmarkStart w:id="25" w:name="models"/>
    <w:p>
      <w:pPr>
        <w:pStyle w:val="Heading2"/>
      </w:pPr>
      <w:r>
        <w:t xml:space="preserve">2.3 Models</w:t>
      </w:r>
    </w:p>
    <w:p>
      <w:pPr>
        <w:pStyle w:val="FirstParagraph"/>
      </w:pPr>
      <w:r>
        <w:t xml:space="preserve">XGBoost</w:t>
      </w:r>
      <w:r>
        <w:rPr>
          <w:vertAlign w:val="superscript"/>
        </w:rPr>
        <w:t xml:space="preserve">31</w:t>
      </w:r>
      <w:r>
        <w:t xml:space="preserve"> </w:t>
      </w:r>
      <w:r>
        <w:t xml:space="preserve">was selected after comparison with LightGBM</w:t>
      </w:r>
      <w:r>
        <w:rPr>
          <w:vertAlign w:val="superscript"/>
        </w:rPr>
        <w:t xml:space="preserve">32</w:t>
      </w:r>
      <w:r>
        <w:t xml:space="preserve">, random forest</w:t>
      </w:r>
      <w:r>
        <w:rPr>
          <w:vertAlign w:val="superscript"/>
        </w:rPr>
        <w:t xml:space="preserve">33</w:t>
      </w:r>
      <w:r>
        <w:t xml:space="preserve"> </w:t>
      </w:r>
      <w:r>
        <w:t xml:space="preserve">and a stacking ensemble (Section 3.1.2): under chemistry-cluster CV XGBoost scored highest of the single models on</w:t>
      </w:r>
      <w:r>
        <w:t xml:space="preserve"> </w:t>
      </w:r>
      <w:r>
        <w:t xml:space="preserve">3</w:t>
      </w:r>
      <w:r>
        <w:t xml:space="preserve"> </w:t>
      </w:r>
      <w:r>
        <w:t xml:space="preserve">of the four targets (on S the forest was nominally higher by</w:t>
      </w:r>
      <w:r>
        <w:t xml:space="preserve"> </w:t>
      </w:r>
      <w:r>
        <w:t xml:space="preserve">+0.000</w:t>
      </w:r>
      <w:r>
        <w:t xml:space="preserve">, a tie within the interval), and no single model differed from it by more than</w:t>
      </w:r>
      <w:r>
        <w:t xml:space="preserve"> </w:t>
      </w:r>
      <w:r>
        <w:t xml:space="preserve">0.007</w:t>
      </w:r>
      <w:r>
        <w:t xml:space="preserve"> </w:t>
      </w:r>
      <w:r>
        <w:t xml:space="preserve">in R</w:t>
      </w:r>
      <w:r>
        <w:rPr>
          <w:vertAlign w:val="superscript"/>
        </w:rPr>
        <w:t xml:space="preserve">2</w:t>
      </w:r>
      <w:r>
        <w:t xml:space="preserve">; the nested stack was not distinguishable from the unweighted mean of the three, which was above XGBoost by at most</w:t>
      </w:r>
      <w:r>
        <w:t xml:space="preserve"> </w:t>
      </w:r>
      <w:r>
        <w:t xml:space="preserve">0.005</w:t>
      </w:r>
      <w:r>
        <w:t xml:space="preserve"> </w:t>
      </w:r>
      <w:r>
        <w:t xml:space="preserve">(Section 3.1.2). XGBoost was preferred for its robustness to missing features (</w:t>
      </w:r>
      <w:r>
        <w:rPr>
          <w:i/>
          <w:iCs/>
        </w:rPr>
        <w:t xml:space="preserve">κ</w:t>
      </w:r>
      <w:r>
        <w:t xml:space="preserve"> </w:t>
      </w:r>
      <w:r>
        <w:t xml:space="preserve">is present in</w:t>
      </w:r>
      <w:r>
        <w:t xml:space="preserve"> </w:t>
      </w:r>
      <w:r>
        <w:t xml:space="preserve">43.2</w:t>
      </w:r>
      <w:r>
        <w:t xml:space="preserve">% of the featurised rows), feature subsampling, computational efficiency and compatibility with SHAP. The models are scikit-learn</w:t>
      </w:r>
      <w:r>
        <w:rPr>
          <w:vertAlign w:val="superscript"/>
        </w:rPr>
        <w:t xml:space="preserve">34</w:t>
      </w:r>
      <w:r>
        <w:t xml:space="preserve">-compatible XGBRegressor objects fitted directly on the features: no imputation or standardisation is applied, since XGBoost handles missing values natively and tree splits are invariant to feature scaling. Four models were trained for S (</w:t>
      </w:r>
      <w:r>
        <w:rPr>
          <w:i/>
          <w:iCs/>
        </w:rPr>
        <w:t xml:space="preserve">µ</w:t>
      </w:r>
      <w:r>
        <w:t xml:space="preserve">V K</w:t>
      </w:r>
      <w:r>
        <w:rPr>
          <w:vertAlign w:val="superscript"/>
        </w:rPr>
        <w:t xml:space="preserve">−1</w:t>
      </w:r>
      <w:r>
        <w:t xml:space="preserve">), log</w:t>
      </w:r>
      <w:r>
        <w:rPr>
          <w:vertAlign w:val="subscript"/>
        </w:rPr>
        <w:t xml:space="preserve">10</w:t>
      </w:r>
      <w:r>
        <w:rPr>
          <w:i/>
          <w:iCs/>
        </w:rPr>
        <w:t xml:space="preserve">σ</w:t>
      </w:r>
      <w:r>
        <w:t xml:space="preserve">, log</w:t>
      </w:r>
      <w:r>
        <w:rPr>
          <w:vertAlign w:val="subscript"/>
        </w:rPr>
        <w:t xml:space="preserve">10</w:t>
      </w:r>
      <w:r>
        <w:rPr>
          <w:i/>
          <w:iCs/>
        </w:rPr>
        <w:t xml:space="preserve">κ</w:t>
      </w:r>
      <w:r>
        <w:t xml:space="preserve"> </w:t>
      </w:r>
      <w:r>
        <w:t xml:space="preserve">and zT; the logarithmic transformation was applied to</w:t>
      </w:r>
      <w:r>
        <w:t xml:space="preserve"> </w:t>
      </w:r>
      <w:r>
        <w:rPr>
          <w:i/>
          <w:iCs/>
        </w:rPr>
        <w:t xml:space="preserve">σ</w:t>
      </w:r>
      <w:r>
        <w:t xml:space="preserve"> </w:t>
      </w:r>
      <w:r>
        <w:t xml:space="preserve">and</w:t>
      </w:r>
      <w:r>
        <w:t xml:space="preserve"> </w:t>
      </w:r>
      <w:r>
        <w:rPr>
          <w:i/>
          <w:iCs/>
        </w:rPr>
        <w:t xml:space="preserve">κ</w:t>
      </w:r>
      <w:r>
        <w:t xml:space="preserve"> </w:t>
      </w:r>
      <w:r>
        <w:t xml:space="preserve">because they span several orders of magnitude, and every R</w:t>
      </w:r>
      <w:r>
        <w:rPr>
          <w:vertAlign w:val="superscript"/>
        </w:rPr>
        <w:t xml:space="preserve">2</w:t>
      </w:r>
      <w:r>
        <w:t xml:space="preserve"> </w:t>
      </w:r>
      <w:r>
        <w:t xml:space="preserve">is computed in the space the target was trained in.</w:t>
      </w:r>
    </w:p>
    <w:p>
      <w:pPr>
        <w:pStyle w:val="BodyText"/>
      </w:pPr>
      <w:r>
        <w:t xml:space="preserve">Hyperparameters were tuned once per target on all rows of that target, by an Optuna search of</w:t>
      </w:r>
      <w:r>
        <w:t xml:space="preserve"> </w:t>
      </w:r>
      <w:r>
        <w:t xml:space="preserve">20</w:t>
      </w:r>
      <w:r>
        <w:t xml:space="preserve"> </w:t>
      </w:r>
      <w:r>
        <w:t xml:space="preserve">trials scored by R</w:t>
      </w:r>
      <w:r>
        <w:rPr>
          <w:vertAlign w:val="superscript"/>
        </w:rPr>
        <w:t xml:space="preserve">2</w:t>
      </w:r>
      <w:r>
        <w:t xml:space="preserve"> </w:t>
      </w:r>
      <w:r>
        <w:t xml:space="preserve">under</w:t>
      </w:r>
      <w:r>
        <w:t xml:space="preserve"> </w:t>
      </w:r>
      <w:r>
        <w:t xml:space="preserve">3</w:t>
      </w:r>
      <w:r>
        <w:t xml:space="preserve">-fold chemistry-cluster cross-validation, then frozen and reused unchanged across every validation protocol and experiment, so that differences between conditions reflect the condition and not the tuning (Table 3); the frozen values differ between targets. Because the evaluation folds draw on rows that were also used for tuning, the grouped R</w:t>
      </w:r>
      <w:r>
        <w:rPr>
          <w:vertAlign w:val="superscript"/>
        </w:rPr>
        <w:t xml:space="preserve">2</w:t>
      </w:r>
      <w:r>
        <w:t xml:space="preserve"> </w:t>
      </w:r>
      <w:r>
        <w:t xml:space="preserve">values may be optimistic</w:t>
      </w:r>
      <w:r>
        <w:rPr>
          <w:vertAlign w:val="superscript"/>
        </w:rPr>
        <w:t xml:space="preserve">35,36</w:t>
      </w:r>
      <w:r>
        <w:t xml:space="preserve">; its size was measured by re-tuning inside every outer training fold (a fresh</w:t>
      </w:r>
      <w:r>
        <w:t xml:space="preserve"> </w:t>
      </w:r>
      <w:r>
        <w:t xml:space="preserve">20</w:t>
      </w:r>
      <w:r>
        <w:t xml:space="preserve">-trial search on the outer training rows only, same folds, five repeats of five folds: nested CV). The committed value minus the nested one is</w:t>
      </w:r>
      <w:r>
        <w:t xml:space="preserve"> </w:t>
      </w:r>
      <w:r>
        <w:t xml:space="preserve">+0.006</w:t>
      </w:r>
      <w:r>
        <w:t xml:space="preserve"> </w:t>
      </w:r>
      <w:r>
        <w:t xml:space="preserve">for S (chemistry-cluster bootstrap interval</w:t>
      </w:r>
      <w:r>
        <w:t xml:space="preserve"> </w:t>
      </w:r>
      <w:r>
        <w:t xml:space="preserve">+0.004</w:t>
      </w:r>
      <w:r>
        <w:t xml:space="preserve"> </w:t>
      </w:r>
      <w:r>
        <w:t xml:space="preserve">to</w:t>
      </w:r>
      <w:r>
        <w:t xml:space="preserve"> </w:t>
      </w:r>
      <w:r>
        <w:t xml:space="preserve">+0.009</w:t>
      </w:r>
      <w:r>
        <w:t xml:space="preserve">),</w:t>
      </w:r>
      <w:r>
        <w:t xml:space="preserve"> </w:t>
      </w:r>
      <w:r>
        <w:t xml:space="preserve">+0.006</w:t>
      </w:r>
      <w:r>
        <w:t xml:space="preserve"> </w:t>
      </w:r>
      <w:r>
        <w:t xml:space="preserve">for</w:t>
      </w:r>
      <w:r>
        <w:t xml:space="preserve"> </w:t>
      </w:r>
      <w:r>
        <w:rPr>
          <w:i/>
          <w:iCs/>
        </w:rPr>
        <w:t xml:space="preserve">σ</w:t>
      </w:r>
      <w:r>
        <w:t xml:space="preserve"> </w:t>
      </w:r>
      <w:r>
        <w:t xml:space="preserve">(</w:t>
      </w:r>
      <w:r>
        <w:t xml:space="preserve">+0.004</w:t>
      </w:r>
      <w:r>
        <w:t xml:space="preserve"> </w:t>
      </w:r>
      <w:r>
        <w:t xml:space="preserve">to</w:t>
      </w:r>
      <w:r>
        <w:t xml:space="preserve"> </w:t>
      </w:r>
      <w:r>
        <w:t xml:space="preserve">+0.008</w:t>
      </w:r>
      <w:r>
        <w:t xml:space="preserve">),</w:t>
      </w:r>
      <w:r>
        <w:t xml:space="preserve"> </w:t>
      </w:r>
      <w:r>
        <w:t xml:space="preserve">+0.002</w:t>
      </w:r>
      <w:r>
        <w:t xml:space="preserve"> </w:t>
      </w:r>
      <w:r>
        <w:t xml:space="preserve">for</w:t>
      </w:r>
      <w:r>
        <w:t xml:space="preserve"> </w:t>
      </w:r>
      <w:r>
        <w:rPr>
          <w:i/>
          <w:iCs/>
        </w:rPr>
        <w:t xml:space="preserve">κ</w:t>
      </w:r>
      <w:r>
        <w:t xml:space="preserve"> </w:t>
      </w:r>
      <w:r>
        <w:t xml:space="preserve">(</w:t>
      </w:r>
      <w:r>
        <w:t xml:space="preserve">+0.000</w:t>
      </w:r>
      <w:r>
        <w:t xml:space="preserve"> </w:t>
      </w:r>
      <w:r>
        <w:t xml:space="preserve">to</w:t>
      </w:r>
      <w:r>
        <w:t xml:space="preserve"> </w:t>
      </w:r>
      <w:r>
        <w:t xml:space="preserve">+0.004</w:t>
      </w:r>
      <w:r>
        <w:t xml:space="preserve">) and</w:t>
      </w:r>
      <w:r>
        <w:t xml:space="preserve"> </w:t>
      </w:r>
      <w:r>
        <w:t xml:space="preserve">−0.001</w:t>
      </w:r>
      <w:r>
        <w:t xml:space="preserve"> </w:t>
      </w:r>
      <w:r>
        <w:t xml:space="preserve">for zT (</w:t>
      </w:r>
      <w:r>
        <w:t xml:space="preserve">−0.004</w:t>
      </w:r>
      <w:r>
        <w:t xml:space="preserve"> </w:t>
      </w:r>
      <w:r>
        <w:t xml:space="preserve">to</w:t>
      </w:r>
      <w:r>
        <w:t xml:space="preserve"> </w:t>
      </w:r>
      <w:r>
        <w:t xml:space="preserve">+0.002</w:t>
      </w:r>
      <w:r>
        <w:t xml:space="preserve">, no measurable optimism): the grouped values reported here are optimistic by at most about</w:t>
      </w:r>
      <w:r>
        <w:t xml:space="preserve"> </w:t>
      </w:r>
      <w:r>
        <w:t xml:space="preserve">0.007</w:t>
      </w:r>
      <w:r>
        <w:t xml:space="preserve"> </w:t>
      </w:r>
      <w:r>
        <w:t xml:space="preserve">R</w:t>
      </w:r>
      <w:r>
        <w:rPr>
          <w:vertAlign w:val="superscript"/>
        </w:rPr>
        <w:t xml:space="preserve">2</w:t>
      </w:r>
      <w:r>
        <w:t xml:space="preserve">, an order of magnitude below the gap between random and grouped validation.</w:t>
      </w:r>
    </w:p>
    <w:p>
      <w:pPr>
        <w:pStyle w:val="BodyText"/>
      </w:pPr>
      <w:r>
        <w:t xml:space="preserve">Comparison models (Section 3.1.2). LightGBM</w:t>
      </w:r>
      <w:r>
        <w:rPr>
          <w:vertAlign w:val="superscript"/>
        </w:rPr>
        <w:t xml:space="preserve">32</w:t>
      </w:r>
      <w:r>
        <w:t xml:space="preserve"> </w:t>
      </w:r>
      <w:r>
        <w:t xml:space="preserve">is tuned exactly as XGBoost (</w:t>
      </w:r>
      <w:r>
        <w:t xml:space="preserve">20</w:t>
      </w:r>
      <w:r>
        <w:t xml:space="preserve"> </w:t>
      </w:r>
      <w:r>
        <w:t xml:space="preserve">Optuna trials,</w:t>
      </w:r>
      <w:r>
        <w:t xml:space="preserve"> </w:t>
      </w:r>
      <w:r>
        <w:t xml:space="preserve">3</w:t>
      </w:r>
      <w:r>
        <w:t xml:space="preserve">-fold chemistry-cluster CV on all rows of the target, then frozen; the tuned values are in Supplementary Table S2). The random forest</w:t>
      </w:r>
      <w:r>
        <w:rPr>
          <w:vertAlign w:val="superscript"/>
        </w:rPr>
        <w:t xml:space="preserve">33</w:t>
      </w:r>
      <w:r>
        <w:t xml:space="preserve"> </w:t>
      </w:r>
      <w:r>
        <w:t xml:space="preserve">is not tuned: all four targets use one setting fixed in advance from the software defaults for regression reviewed by Probst et al.</w:t>
      </w:r>
      <w:r>
        <w:rPr>
          <w:vertAlign w:val="superscript"/>
        </w:rPr>
        <w:t xml:space="preserve">37</w:t>
      </w:r>
      <w:r>
        <w:t xml:space="preserve"> </w:t>
      </w:r>
      <w:r>
        <w:t xml:space="preserve">(</w:t>
      </w:r>
      <w:r>
        <w:t xml:space="preserve">500</w:t>
      </w:r>
      <w:r>
        <w:t xml:space="preserve"> </w:t>
      </w:r>
      <w:r>
        <w:t xml:space="preserve">trees, a third of the features per split, a minimum node size of</w:t>
      </w:r>
      <w:r>
        <w:t xml:space="preserve"> </w:t>
      </w:r>
      <w:r>
        <w:t xml:space="preserve">5</w:t>
      </w:r>
      <w:r>
        <w:t xml:space="preserve">, no depth limit, bootstrap sampling; Supplementary Table S2), because a tuned search was too slow for the available compute: the first session ran</w:t>
      </w:r>
      <w:r>
        <w:t xml:space="preserve"> </w:t>
      </w:r>
      <w:r>
        <w:t xml:space="preserve">10.7</w:t>
      </w:r>
      <w:r>
        <w:t xml:space="preserve"> </w:t>
      </w:r>
      <w:r>
        <w:t xml:space="preserve">h and completed</w:t>
      </w:r>
      <w:r>
        <w:t xml:space="preserve"> </w:t>
      </w:r>
      <w:r>
        <w:t xml:space="preserve">15</w:t>
      </w:r>
      <w:r>
        <w:t xml:space="preserve"> </w:t>
      </w:r>
      <w:r>
        <w:t xml:space="preserve">trials for S,</w:t>
      </w:r>
      <w:r>
        <w:t xml:space="preserve"> </w:t>
      </w:r>
      <w:r>
        <w:t xml:space="preserve">12</w:t>
      </w:r>
      <w:r>
        <w:t xml:space="preserve"> </w:t>
      </w:r>
      <w:r>
        <w:t xml:space="preserve">scored and</w:t>
      </w:r>
      <w:r>
        <w:t xml:space="preserve"> </w:t>
      </w:r>
      <w:r>
        <w:t xml:space="preserve">3</w:t>
      </w:r>
      <w:r>
        <w:t xml:space="preserve"> </w:t>
      </w:r>
      <w:r>
        <w:t xml:space="preserve">pruned, before it was stopped, and the design was changed before any random-forest test-fold result existed. The inner-CV R</w:t>
      </w:r>
      <w:r>
        <w:rPr>
          <w:vertAlign w:val="superscript"/>
        </w:rPr>
        <w:t xml:space="preserve">2</w:t>
      </w:r>
      <w:r>
        <w:t xml:space="preserve"> </w:t>
      </w:r>
      <w:r>
        <w:t xml:space="preserve">of the scored S trials ranged from</w:t>
      </w:r>
      <w:r>
        <w:t xml:space="preserve"> </w:t>
      </w:r>
      <w:r>
        <w:t xml:space="preserve">0.306</w:t>
      </w:r>
      <w:r>
        <w:t xml:space="preserve"> </w:t>
      </w:r>
      <w:r>
        <w:t xml:space="preserve">to</w:t>
      </w:r>
      <w:r>
        <w:t xml:space="preserve"> </w:t>
      </w:r>
      <w:r>
        <w:t xml:space="preserve">0.739</w:t>
      </w:r>
      <w:r>
        <w:t xml:space="preserve"> </w:t>
      </w:r>
      <w:r>
        <w:t xml:space="preserve">(no trial excluded); the one trial with trees of depth</w:t>
      </w:r>
      <w:r>
        <w:t xml:space="preserve"> </w:t>
      </w:r>
      <w:r>
        <w:t xml:space="preserve">3</w:t>
      </w:r>
      <w:r>
        <w:t xml:space="preserve"> </w:t>
      </w:r>
      <w:r>
        <w:t xml:space="preserve">was clearly worse (</w:t>
      </w:r>
      <w:r>
        <w:t xml:space="preserve">0.306</w:t>
      </w:r>
      <w:r>
        <w:t xml:space="preserve">), and the</w:t>
      </w:r>
      <w:r>
        <w:t xml:space="preserve"> </w:t>
      </w:r>
      <w:r>
        <w:t xml:space="preserve">11</w:t>
      </w:r>
      <w:r>
        <w:t xml:space="preserve"> </w:t>
      </w:r>
      <w:r>
        <w:t xml:space="preserve">trials with trees of depth</w:t>
      </w:r>
      <w:r>
        <w:t xml:space="preserve"> </w:t>
      </w:r>
      <w:r>
        <w:t xml:space="preserve">15</w:t>
      </w:r>
      <w:r>
        <w:t xml:space="preserve"> </w:t>
      </w:r>
      <w:r>
        <w:t xml:space="preserve">or more, the region the fixed setting also occupies, ranged from</w:t>
      </w:r>
      <w:r>
        <w:t xml:space="preserve"> </w:t>
      </w:r>
      <w:r>
        <w:t xml:space="preserve">0.725</w:t>
      </w:r>
      <w:r>
        <w:t xml:space="preserve"> </w:t>
      </w:r>
      <w:r>
        <w:t xml:space="preserve">to</w:t>
      </w:r>
      <w:r>
        <w:t xml:space="preserve"> </w:t>
      </w:r>
      <w:r>
        <w:t xml:space="preserve">0.739</w:t>
      </w:r>
      <w:r>
        <w:t xml:space="preserve">, a spread of</w:t>
      </w:r>
      <w:r>
        <w:t xml:space="preserve"> </w:t>
      </w:r>
      <w:r>
        <w:t xml:space="preserve">0.014</w:t>
      </w:r>
      <w:r>
        <w:t xml:space="preserve">, against</w:t>
      </w:r>
      <w:r>
        <w:t xml:space="preserve"> </w:t>
      </w:r>
      <w:r>
        <w:t xml:space="preserve">0.797</w:t>
      </w:r>
      <w:r>
        <w:t xml:space="preserve"> </w:t>
      </w:r>
      <w:r>
        <w:t xml:space="preserve">for the frozen XGBoost model on the same objective. This asymmetry (XGBoost tuned, random forest fixed) favours XGBoost: a forest that tuning would improve is understated, so an XGBoost advantage over the fixed forest is an upper bound on its advantage over a tuned one, and a forest that matches or beats XGBoost stands despite it. The tuning evidence is for S only, and the average tuning gains that Probst et al. report are for classification, so neither shows that regression on composition features is insensitive to tuning.</w:t>
      </w:r>
    </w:p>
    <w:p>
      <w:pPr>
        <w:pStyle w:val="BodyText"/>
      </w:pPr>
      <w:r>
        <w:rPr>
          <w:b/>
          <w:bCs/>
        </w:rPr>
        <w:t xml:space="preserve">Table 3:</w:t>
      </w:r>
      <w:r>
        <w:t xml:space="preserve"> </w:t>
      </w:r>
      <w:r>
        <w:t xml:space="preserve">XGBoost hyperparameters: the four frozen sets (each tuned once on all rows of its target, by a 20-trial Optuna search scored with 3-fold chemistry-cluster cross-validation) and the search space.</w:t>
      </w:r>
    </w:p>
    <w:tbl>
      <w:tblPr>
        <w:tblStyle w:val="Table"/>
        <w:tblW w:type="pct" w:w="5000"/>
        <w:tblLayout w:type="fixed"/>
        <w:tblLook w:firstRow="1" w:lastRow="0" w:firstColumn="0" w:lastColumn="0" w:noHBand="0" w:noVBand="0" w:val="0020"/>
      </w:tblPr>
      <w:tblGrid>
        <w:gridCol w:w="2003"/>
        <w:gridCol w:w="1049"/>
        <w:gridCol w:w="1049"/>
        <w:gridCol w:w="1049"/>
        <w:gridCol w:w="1049"/>
        <w:gridCol w:w="1717"/>
      </w:tblGrid>
      <w:tr>
        <w:trPr>
          <w:tblHeader w:val="on"/>
        </w:trPr>
        <w:tc>
          <w:tcPr/>
          <w:p>
            <w:pPr>
              <w:pStyle w:val="Compact"/>
            </w:pPr>
            <w:r>
              <w:rPr>
                <w:b/>
                <w:bCs/>
              </w:rPr>
              <w:t xml:space="preserve">Parameter</w:t>
            </w:r>
          </w:p>
        </w:tc>
        <w:tc>
          <w:tcPr/>
          <w:p>
            <w:pPr>
              <w:pStyle w:val="Compact"/>
            </w:pPr>
            <w:r>
              <w:rPr>
                <w:b/>
                <w:bCs/>
              </w:rPr>
              <w:t xml:space="preserve">S</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w:t>
            </w:r>
          </w:p>
        </w:tc>
        <w:tc>
          <w:tcPr/>
          <w:p>
            <w:pPr>
              <w:pStyle w:val="Compact"/>
            </w:pPr>
            <w:r>
              <w:rPr>
                <w:b/>
                <w:bCs/>
              </w:rPr>
              <w:t xml:space="preserve">Search range</w:t>
            </w:r>
          </w:p>
        </w:tc>
      </w:tr>
      <w:tr>
        <w:tc>
          <w:tcPr/>
          <w:p>
            <w:pPr>
              <w:pStyle w:val="Compact"/>
            </w:pPr>
            <w:r>
              <w:t xml:space="preserve">n_estimators</w:t>
            </w:r>
          </w:p>
        </w:tc>
        <w:tc>
          <w:tcPr/>
          <w:p>
            <w:pPr>
              <w:pStyle w:val="Compact"/>
            </w:pPr>
            <w:r>
              <w:t xml:space="preserve">500</w:t>
            </w:r>
          </w:p>
        </w:tc>
        <w:tc>
          <w:tcPr/>
          <w:p>
            <w:pPr>
              <w:pStyle w:val="Compact"/>
            </w:pPr>
            <w:r>
              <w:t xml:space="preserve">550</w:t>
            </w:r>
          </w:p>
        </w:tc>
        <w:tc>
          <w:tcPr/>
          <w:p>
            <w:pPr>
              <w:pStyle w:val="Compact"/>
            </w:pPr>
            <w:r>
              <w:t xml:space="preserve">350</w:t>
            </w:r>
          </w:p>
        </w:tc>
        <w:tc>
          <w:tcPr/>
          <w:p>
            <w:pPr>
              <w:pStyle w:val="Compact"/>
            </w:pPr>
            <w:r>
              <w:t xml:space="preserve">500</w:t>
            </w:r>
          </w:p>
        </w:tc>
        <w:tc>
          <w:tcPr/>
          <w:p>
            <w:pPr>
              <w:pStyle w:val="Compact"/>
            </w:pPr>
            <w:r>
              <w:t xml:space="preserve">100–600</w:t>
            </w:r>
          </w:p>
        </w:tc>
      </w:tr>
      <w:tr>
        <w:tc>
          <w:tcPr/>
          <w:p>
            <w:pPr>
              <w:pStyle w:val="Compact"/>
            </w:pPr>
            <w:r>
              <w:t xml:space="preserve">max_depth</w:t>
            </w:r>
          </w:p>
        </w:tc>
        <w:tc>
          <w:tcPr/>
          <w:p>
            <w:pPr>
              <w:pStyle w:val="Compact"/>
            </w:pPr>
            <w:r>
              <w:t xml:space="preserve">10</w:t>
            </w:r>
          </w:p>
        </w:tc>
        <w:tc>
          <w:tcPr/>
          <w:p>
            <w:pPr>
              <w:pStyle w:val="Compact"/>
            </w:pPr>
            <w:r>
              <w:t xml:space="preserve">10</w:t>
            </w:r>
          </w:p>
        </w:tc>
        <w:tc>
          <w:tcPr/>
          <w:p>
            <w:pPr>
              <w:pStyle w:val="Compact"/>
            </w:pPr>
            <w:r>
              <w:t xml:space="preserve">9</w:t>
            </w:r>
          </w:p>
        </w:tc>
        <w:tc>
          <w:tcPr/>
          <w:p>
            <w:pPr>
              <w:pStyle w:val="Compact"/>
            </w:pPr>
            <w:r>
              <w:t xml:space="preserve">9</w:t>
            </w:r>
          </w:p>
        </w:tc>
        <w:tc>
          <w:tcPr/>
          <w:p>
            <w:pPr>
              <w:pStyle w:val="Compact"/>
            </w:pPr>
            <w:r>
              <w:t xml:space="preserve">3–10</w:t>
            </w:r>
          </w:p>
        </w:tc>
      </w:tr>
      <w:tr>
        <w:tc>
          <w:tcPr/>
          <w:p>
            <w:pPr>
              <w:pStyle w:val="Compact"/>
            </w:pPr>
            <w:r>
              <w:t xml:space="preserve">learning_rate</w:t>
            </w:r>
          </w:p>
        </w:tc>
        <w:tc>
          <w:tcPr/>
          <w:p>
            <w:pPr>
              <w:pStyle w:val="Compact"/>
            </w:pPr>
            <w:r>
              <w:t xml:space="preserve">0.03183</w:t>
            </w:r>
          </w:p>
        </w:tc>
        <w:tc>
          <w:tcPr/>
          <w:p>
            <w:pPr>
              <w:pStyle w:val="Compact"/>
            </w:pPr>
            <w:r>
              <w:t xml:space="preserve">0.02669</w:t>
            </w:r>
          </w:p>
        </w:tc>
        <w:tc>
          <w:tcPr/>
          <w:p>
            <w:pPr>
              <w:pStyle w:val="Compact"/>
            </w:pPr>
            <w:r>
              <w:t xml:space="preserve">0.05742</w:t>
            </w:r>
          </w:p>
        </w:tc>
        <w:tc>
          <w:tcPr/>
          <w:p>
            <w:pPr>
              <w:pStyle w:val="Compact"/>
            </w:pPr>
            <w:r>
              <w:t xml:space="preserve">0.02188</w:t>
            </w:r>
          </w:p>
        </w:tc>
        <w:tc>
          <w:tcPr/>
          <w:p>
            <w:pPr>
              <w:pStyle w:val="Compact"/>
            </w:pPr>
            <w:r>
              <w:t xml:space="preserve">0.01–0.3</w:t>
            </w:r>
          </w:p>
        </w:tc>
      </w:tr>
      <w:tr>
        <w:tc>
          <w:tcPr/>
          <w:p>
            <w:pPr>
              <w:pStyle w:val="Compact"/>
            </w:pPr>
            <w:r>
              <w:t xml:space="preserve">subsample</w:t>
            </w:r>
          </w:p>
        </w:tc>
        <w:tc>
          <w:tcPr/>
          <w:p>
            <w:pPr>
              <w:pStyle w:val="Compact"/>
            </w:pPr>
            <w:r>
              <w:t xml:space="preserve">0.8969</w:t>
            </w:r>
          </w:p>
        </w:tc>
        <w:tc>
          <w:tcPr/>
          <w:p>
            <w:pPr>
              <w:pStyle w:val="Compact"/>
            </w:pPr>
            <w:r>
              <w:t xml:space="preserve">0.8676</w:t>
            </w:r>
          </w:p>
        </w:tc>
        <w:tc>
          <w:tcPr/>
          <w:p>
            <w:pPr>
              <w:pStyle w:val="Compact"/>
            </w:pPr>
            <w:r>
              <w:t xml:space="preserve">0.9052</w:t>
            </w:r>
          </w:p>
        </w:tc>
        <w:tc>
          <w:tcPr/>
          <w:p>
            <w:pPr>
              <w:pStyle w:val="Compact"/>
            </w:pPr>
            <w:r>
              <w:t xml:space="preserve">0.6804</w:t>
            </w:r>
          </w:p>
        </w:tc>
        <w:tc>
          <w:tcPr/>
          <w:p>
            <w:pPr>
              <w:pStyle w:val="Compact"/>
            </w:pPr>
            <w:r>
              <w:t xml:space="preserve">0.5–1.0</w:t>
            </w:r>
          </w:p>
        </w:tc>
      </w:tr>
      <w:tr>
        <w:tc>
          <w:tcPr/>
          <w:p>
            <w:pPr>
              <w:pStyle w:val="Compact"/>
            </w:pPr>
            <w:r>
              <w:t xml:space="preserve">colsample_bytree</w:t>
            </w:r>
          </w:p>
        </w:tc>
        <w:tc>
          <w:tcPr/>
          <w:p>
            <w:pPr>
              <w:pStyle w:val="Compact"/>
            </w:pPr>
            <w:r>
              <w:t xml:space="preserve">0.5062</w:t>
            </w:r>
          </w:p>
        </w:tc>
        <w:tc>
          <w:tcPr/>
          <w:p>
            <w:pPr>
              <w:pStyle w:val="Compact"/>
            </w:pPr>
            <w:r>
              <w:t xml:space="preserve">0.5167</w:t>
            </w:r>
          </w:p>
        </w:tc>
        <w:tc>
          <w:tcPr/>
          <w:p>
            <w:pPr>
              <w:pStyle w:val="Compact"/>
            </w:pPr>
            <w:r>
              <w:t xml:space="preserve">0.7082</w:t>
            </w:r>
          </w:p>
        </w:tc>
        <w:tc>
          <w:tcPr/>
          <w:p>
            <w:pPr>
              <w:pStyle w:val="Compact"/>
            </w:pPr>
            <w:r>
              <w:t xml:space="preserve">0.6984</w:t>
            </w:r>
          </w:p>
        </w:tc>
        <w:tc>
          <w:tcPr/>
          <w:p>
            <w:pPr>
              <w:pStyle w:val="Compact"/>
            </w:pPr>
            <w:r>
              <w:t xml:space="preserve">0.5–1.0</w:t>
            </w:r>
          </w:p>
        </w:tc>
      </w:tr>
      <w:tr>
        <w:tc>
          <w:tcPr/>
          <w:p>
            <w:pPr>
              <w:pStyle w:val="Compact"/>
            </w:pPr>
            <w:r>
              <w:t xml:space="preserve">min_child_weight</w:t>
            </w:r>
          </w:p>
        </w:tc>
        <w:tc>
          <w:tcPr/>
          <w:p>
            <w:pPr>
              <w:pStyle w:val="Compact"/>
            </w:pPr>
            <w:r>
              <w:t xml:space="preserve">4</w:t>
            </w:r>
          </w:p>
        </w:tc>
        <w:tc>
          <w:tcPr/>
          <w:p>
            <w:pPr>
              <w:pStyle w:val="Compact"/>
            </w:pPr>
            <w:r>
              <w:t xml:space="preserve">4</w:t>
            </w:r>
          </w:p>
        </w:tc>
        <w:tc>
          <w:tcPr/>
          <w:p>
            <w:pPr>
              <w:pStyle w:val="Compact"/>
            </w:pPr>
            <w:r>
              <w:t xml:space="preserve">6</w:t>
            </w:r>
          </w:p>
        </w:tc>
        <w:tc>
          <w:tcPr/>
          <w:p>
            <w:pPr>
              <w:pStyle w:val="Compact"/>
            </w:pPr>
            <w:r>
              <w:t xml:space="preserve">4</w:t>
            </w:r>
          </w:p>
        </w:tc>
        <w:tc>
          <w:tcPr/>
          <w:p>
            <w:pPr>
              <w:pStyle w:val="Compact"/>
            </w:pPr>
            <w:r>
              <w:t xml:space="preserve">1–10</w:t>
            </w:r>
          </w:p>
        </w:tc>
      </w:tr>
      <w:tr>
        <w:tc>
          <w:tcPr/>
          <w:p>
            <w:pPr>
              <w:pStyle w:val="Compact"/>
            </w:pPr>
            <w:r>
              <w:t xml:space="preserve">reg_lambda</w:t>
            </w:r>
          </w:p>
        </w:tc>
        <w:tc>
          <w:tcPr/>
          <w:p>
            <w:pPr>
              <w:pStyle w:val="Compact"/>
            </w:pPr>
            <w:r>
              <w:t xml:space="preserve">0.6494</w:t>
            </w:r>
          </w:p>
        </w:tc>
        <w:tc>
          <w:tcPr/>
          <w:p>
            <w:pPr>
              <w:pStyle w:val="Compact"/>
            </w:pPr>
            <w:r>
              <w:t xml:space="preserve">0.8074</w:t>
            </w:r>
          </w:p>
        </w:tc>
        <w:tc>
          <w:tcPr/>
          <w:p>
            <w:pPr>
              <w:pStyle w:val="Compact"/>
            </w:pPr>
            <w:r>
              <w:t xml:space="preserve">0.05444</w:t>
            </w:r>
          </w:p>
        </w:tc>
        <w:tc>
          <w:tcPr/>
          <w:p>
            <w:pPr>
              <w:pStyle w:val="Compact"/>
            </w:pPr>
            <w:r>
              <w:t xml:space="preserve">1.713</w:t>
            </w:r>
          </w:p>
        </w:tc>
        <w:tc>
          <w:tcPr/>
          <w:p>
            <w:pPr>
              <w:pStyle w:val="Compact"/>
            </w:pPr>
            <w:r>
              <w:t xml:space="preserve">1e-3–10.0</w:t>
            </w:r>
          </w:p>
        </w:tc>
      </w:tr>
      <w:tr>
        <w:tc>
          <w:tcPr/>
          <w:p>
            <w:pPr>
              <w:pStyle w:val="Compact"/>
            </w:pPr>
            <w:r>
              <w:t xml:space="preserve">reg_alpha</w:t>
            </w:r>
          </w:p>
        </w:tc>
        <w:tc>
          <w:tcPr/>
          <w:p>
            <w:pPr>
              <w:pStyle w:val="Compact"/>
            </w:pPr>
            <w:r>
              <w:t xml:space="preserve">8.793</w:t>
            </w:r>
          </w:p>
        </w:tc>
        <w:tc>
          <w:tcPr/>
          <w:p>
            <w:pPr>
              <w:pStyle w:val="Compact"/>
            </w:pPr>
            <w:r>
              <w:t xml:space="preserve">6.548</w:t>
            </w:r>
          </w:p>
        </w:tc>
        <w:tc>
          <w:tcPr/>
          <w:p>
            <w:pPr>
              <w:pStyle w:val="Compact"/>
            </w:pPr>
            <w:r>
              <w:t xml:space="preserve">3.351</w:t>
            </w:r>
          </w:p>
        </w:tc>
        <w:tc>
          <w:tcPr/>
          <w:p>
            <w:pPr>
              <w:pStyle w:val="Compact"/>
            </w:pPr>
            <w:r>
              <w:t xml:space="preserve">0.05033</w:t>
            </w:r>
          </w:p>
        </w:tc>
        <w:tc>
          <w:tcPr/>
          <w:p>
            <w:pPr>
              <w:pStyle w:val="Compact"/>
            </w:pPr>
            <w:r>
              <w:t xml:space="preserve">1e-3–10.0</w:t>
            </w:r>
          </w:p>
        </w:tc>
      </w:tr>
    </w:tbl>
    <w:p>
      <w:pPr>
        <w:pStyle w:val="BodyText"/>
      </w:pPr>
      <w:r>
        <w:t xml:space="preserve">The Seebeck regressor is trained on signed S and predicts the sign implicitly, but for compositions far from the training distribution the predicted sign may be unreliable. An XGBoost classifier was therefore trained on the same</w:t>
      </w:r>
      <w:r>
        <w:t xml:space="preserve"> </w:t>
      </w:r>
      <w:r>
        <w:t xml:space="preserve">397</w:t>
      </w:r>
      <w:r>
        <w:t xml:space="preserve"> </w:t>
      </w:r>
      <w:r>
        <w:t xml:space="preserve">features to predict carrier type (p vs n), with the frozen hyperparameters of the Seebeck regressor and the sign of the measured S as label (rows whose measured S is exactly zero are dropped;</w:t>
      </w:r>
      <w:r>
        <w:t xml:space="preserve"> </w:t>
      </w:r>
      <w:r>
        <w:t xml:space="preserve">185,056</w:t>
      </w:r>
      <w:r>
        <w:t xml:space="preserve"> </w:t>
      </w:r>
      <w:r>
        <w:t xml:space="preserve">rows,</w:t>
      </w:r>
      <w:r>
        <w:t xml:space="preserve"> </w:t>
      </w:r>
      <w:r>
        <w:t xml:space="preserve">55.6</w:t>
      </w:r>
      <w:r>
        <w:t xml:space="preserve">% p-type); its inputs are the same composition descriptors and the temperature bin, no measured property. Whether its sign should replace the regressor’s was decided before the screening: on the regressor’s own chemistry-cluster folds (the classifier refitted on them, so that both rules are scored on the same partition of the rows), the classifier’s sign accuracy is compared with that of the sign of the regressor’s out-of-fold prediction, and the classifier is used only if the cluster-bootstrap interval of the paired difference lies above zero. It does: sign accuracy</w:t>
      </w:r>
      <w:r>
        <w:t xml:space="preserve"> </w:t>
      </w:r>
      <w:r>
        <w:t xml:space="preserve">0.949</w:t>
      </w:r>
      <w:r>
        <w:t xml:space="preserve"> </w:t>
      </w:r>
      <w:r>
        <w:t xml:space="preserve">against</w:t>
      </w:r>
      <w:r>
        <w:t xml:space="preserve"> </w:t>
      </w:r>
      <w:r>
        <w:t xml:space="preserve">0.941</w:t>
      </w:r>
      <w:r>
        <w:t xml:space="preserve">, a difference of</w:t>
      </w:r>
      <w:r>
        <w:t xml:space="preserve"> </w:t>
      </w:r>
      <w:r>
        <w:t xml:space="preserve">0.008</w:t>
      </w:r>
      <w:r>
        <w:t xml:space="preserve"> </w:t>
      </w:r>
      <w:r>
        <w:t xml:space="preserve">(interval</w:t>
      </w:r>
      <w:r>
        <w:t xml:space="preserve"> </w:t>
      </w:r>
      <w:r>
        <w:t xml:space="preserve">0.004</w:t>
      </w:r>
      <w:r>
        <w:t xml:space="preserve">–</w:t>
      </w:r>
      <w:r>
        <w:t xml:space="preserve">0.012</w:t>
      </w:r>
      <w:r>
        <w:t xml:space="preserve">). The gain is small and comes mostly from rows whose measured |S| is below</w:t>
      </w:r>
      <w:r>
        <w:t xml:space="preserve"> </w:t>
      </w:r>
      <w:r>
        <w:t xml:space="preserve">20</w:t>
      </w:r>
      <w:r>
        <w:t xml:space="preserve"> </w:t>
      </w:r>
      <w:r>
        <w:rPr>
          <w:i/>
          <w:iCs/>
        </w:rPr>
        <w:t xml:space="preserve">µ</w:t>
      </w:r>
      <w:r>
        <w:t xml:space="preserve">V K</w:t>
      </w:r>
      <w:r>
        <w:rPr>
          <w:vertAlign w:val="superscript"/>
        </w:rPr>
        <w:t xml:space="preserve">−1</w:t>
      </w:r>
      <w:r>
        <w:t xml:space="preserve"> </w:t>
      </w:r>
      <w:r>
        <w:t xml:space="preserve">(</w:t>
      </w:r>
      <w:r>
        <w:t xml:space="preserve">7,307</w:t>
      </w:r>
      <w:r>
        <w:t xml:space="preserve"> </w:t>
      </w:r>
      <w:r>
        <w:t xml:space="preserve">rows, difference</w:t>
      </w:r>
      <w:r>
        <w:t xml:space="preserve"> </w:t>
      </w:r>
      <w:r>
        <w:t xml:space="preserve">0.058</w:t>
      </w:r>
      <w:r>
        <w:t xml:space="preserve">, against</w:t>
      </w:r>
      <w:r>
        <w:t xml:space="preserve"> </w:t>
      </w:r>
      <w:r>
        <w:t xml:space="preserve">0.006</w:t>
      </w:r>
      <w:r>
        <w:t xml:space="preserve"> </w:t>
      </w:r>
      <w:r>
        <w:t xml:space="preserve">for the others). During screening, when the classifier and regressor disagree on the sign, the classifier’s prediction is used.</w:t>
      </w:r>
    </w:p>
    <w:p>
      <w:pPr>
        <w:pStyle w:val="BodyText"/>
      </w:pPr>
      <w:r>
        <w:t xml:space="preserve">SHAP TreeExplainer</w:t>
      </w:r>
      <w:r>
        <w:rPr>
          <w:vertAlign w:val="superscript"/>
        </w:rPr>
        <w:t xml:space="preserve">38</w:t>
      </w:r>
      <w:r>
        <w:t xml:space="preserve"> </w:t>
      </w:r>
      <w:r>
        <w:t xml:space="preserve">is applied to each model on a fixed random subsample of</w:t>
      </w:r>
      <w:r>
        <w:t xml:space="preserve"> </w:t>
      </w:r>
      <w:r>
        <w:t xml:space="preserve">20,000</w:t>
      </w:r>
      <w:r>
        <w:t xml:space="preserve"> </w:t>
      </w:r>
      <w:r>
        <w:t xml:space="preserve">rows of each of the</w:t>
      </w:r>
      <w:r>
        <w:t xml:space="preserve"> </w:t>
      </w:r>
      <w:r>
        <w:t xml:space="preserve">25</w:t>
      </w:r>
      <w:r>
        <w:t xml:space="preserve"> </w:t>
      </w:r>
      <w:r>
        <w:t xml:space="preserve">chemistry-cluster test folds (five repeats of five folds), with the frozen hyperparameters of Paper A; the mean absolute SHAP value of each feature is averaged over the folds, and its SD across folds is shown. Global bar plots (mean |SHAP| per feature) are created for the top</w:t>
      </w:r>
      <w:r>
        <w:t xml:space="preserve"> </w:t>
      </w:r>
      <w:r>
        <w:t xml:space="preserve">15</w:t>
      </w:r>
      <w:r>
        <w:t xml:space="preserve"> </w:t>
      </w:r>
      <w:r>
        <w:t xml:space="preserve">features per target; the beeswarm plots use a second run that saved the SHAP values of individual rows for the first repeat (the same folds and frozen hyperparameters):</w:t>
      </w:r>
      <w:r>
        <w:t xml:space="preserve"> </w:t>
      </w:r>
      <w:r>
        <w:t xml:space="preserve">1,000</w:t>
      </w:r>
      <w:r>
        <w:t xml:space="preserve"> </w:t>
      </w:r>
      <w:r>
        <w:t xml:space="preserve">seeded test rows per fold,</w:t>
      </w:r>
      <w:r>
        <w:t xml:space="preserve"> </w:t>
      </w:r>
      <w:r>
        <w:t xml:space="preserve">5,000</w:t>
      </w:r>
      <w:r>
        <w:t xml:space="preserve"> </w:t>
      </w:r>
      <w:r>
        <w:t xml:space="preserve">per model, and show the</w:t>
      </w:r>
      <w:r>
        <w:t xml:space="preserve"> </w:t>
      </w:r>
      <w:r>
        <w:t xml:space="preserve">10</w:t>
      </w:r>
      <w:r>
        <w:t xml:space="preserve"> </w:t>
      </w:r>
      <w:r>
        <w:t xml:space="preserve">features with the largest mean |SHAP| among those rows. Agreement between the most important features and known thermoelectric physics provides an independent check that the models have learned meaningful relationships rather than spurious correlations.</w:t>
      </w:r>
    </w:p>
    <w:bookmarkEnd w:id="25"/>
    <w:bookmarkStart w:id="26" w:name="validation-design"/>
    <w:p>
      <w:pPr>
        <w:pStyle w:val="Heading2"/>
      </w:pPr>
      <w:r>
        <w:t xml:space="preserve">2.4 Validation design</w:t>
      </w:r>
    </w:p>
    <w:p>
      <w:pPr>
        <w:pStyle w:val="FirstParagraph"/>
      </w:pPr>
      <w:r>
        <w:t xml:space="preserve">Chemistry-cluster grouped cross-validation prevents temperature-series and doping-series leakage. Each formula is assigned to a chemistry cluster: elements present below</w:t>
      </w:r>
      <w:r>
        <w:t xml:space="preserve"> </w:t>
      </w:r>
      <w:r>
        <w:t xml:space="preserve">5</w:t>
      </w:r>
      <w:r>
        <w:t xml:space="preserve"> </w:t>
      </w:r>
      <w:r>
        <w:t xml:space="preserve">atomic percent are treated as dopants and removed, remaining amounts within</w:t>
      </w:r>
      <w:r>
        <w:t xml:space="preserve"> </w:t>
      </w:r>
      <w:r>
        <w:t xml:space="preserve">5</w:t>
      </w:r>
      <w:r>
        <w:t xml:space="preserve">% of an integer are snapped to that integer, and the formula is reduced; a doped material therefore groups with its parent ((PbTe)</w:t>
      </w:r>
      <w:r>
        <w:rPr>
          <w:vertAlign w:val="subscript"/>
        </w:rPr>
        <w:t xml:space="preserve">0.97</w:t>
      </w:r>
      <w:r>
        <w:t xml:space="preserve">(SrTe)</w:t>
      </w:r>
      <w:r>
        <w:rPr>
          <w:vertAlign w:val="subscript"/>
        </w:rPr>
        <w:t xml:space="preserve">0.02</w:t>
      </w:r>
      <w:r>
        <w:t xml:space="preserve">(Na</w:t>
      </w:r>
      <w:r>
        <w:rPr>
          <w:vertAlign w:val="subscript"/>
        </w:rPr>
        <w:t xml:space="preserve">2</w:t>
      </w:r>
      <w:r>
        <w:t xml:space="preserve">Te)</w:t>
      </w:r>
      <w:r>
        <w:rPr>
          <w:vertAlign w:val="subscript"/>
        </w:rPr>
        <w:t xml:space="preserve">0.01</w:t>
      </w:r>
      <w:r>
        <w:t xml:space="preserve"> </w:t>
      </w:r>
      <w:r>
        <w:t xml:space="preserve">and Pb</w:t>
      </w:r>
      <w:r>
        <w:rPr>
          <w:vertAlign w:val="subscript"/>
        </w:rPr>
        <w:t xml:space="preserve">0.97</w:t>
      </w:r>
      <w:r>
        <w:t xml:space="preserve">Te both group with PbTe, while Bi</w:t>
      </w:r>
      <w:r>
        <w:rPr>
          <w:vertAlign w:val="subscript"/>
        </w:rPr>
        <w:t xml:space="preserve">2</w:t>
      </w:r>
      <w:r>
        <w:t xml:space="preserve">Te</w:t>
      </w:r>
      <w:r>
        <w:rPr>
          <w:vertAlign w:val="subscript"/>
        </w:rPr>
        <w:t xml:space="preserve">2.7</w:t>
      </w:r>
      <w:r>
        <w:t xml:space="preserve">Se</w:t>
      </w:r>
      <w:r>
        <w:rPr>
          <w:vertAlign w:val="subscript"/>
        </w:rPr>
        <w:t xml:space="preserve">0.3</w:t>
      </w:r>
      <w:r>
        <w:t xml:space="preserve">, where selenium occupies</w:t>
      </w:r>
      <w:r>
        <w:t xml:space="preserve"> </w:t>
      </w:r>
      <w:r>
        <w:t xml:space="preserve">6.0</w:t>
      </w:r>
      <w:r>
        <w:t xml:space="preserve"> </w:t>
      </w:r>
      <w:r>
        <w:t xml:space="preserve">atomic percent and is an alloy component, does not group with Bi</w:t>
      </w:r>
      <w:r>
        <w:rPr>
          <w:vertAlign w:val="subscript"/>
        </w:rPr>
        <w:t xml:space="preserve">2</w:t>
      </w:r>
      <w:r>
        <w:t xml:space="preserve">Te</w:t>
      </w:r>
      <w:r>
        <w:rPr>
          <w:vertAlign w:val="subscript"/>
        </w:rPr>
        <w:t xml:space="preserve">3</w:t>
      </w:r>
      <w:r>
        <w:t xml:space="preserve">). The snapshot contains</w:t>
      </w:r>
      <w:r>
        <w:t xml:space="preserve"> </w:t>
      </w:r>
      <w:r>
        <w:t xml:space="preserve">8,908</w:t>
      </w:r>
      <w:r>
        <w:t xml:space="preserve"> </w:t>
      </w:r>
      <w:r>
        <w:t xml:space="preserve">chemistry clusters, against</w:t>
      </w:r>
      <w:r>
        <w:t xml:space="preserve"> </w:t>
      </w:r>
      <w:r>
        <w:t xml:space="preserve">3,909</w:t>
      </w:r>
      <w:r>
        <w:t xml:space="preserve"> </w:t>
      </w:r>
      <w:r>
        <w:t xml:space="preserve">parent chemical systems; the two groupings cross-cut each other, and the cluster is the stricter safeguard against near-duplicate dopant variants of one host lattice. Folds are generated by a custom assignment of whole clusters, with the placement of the largest clusters randomised between repeats:</w:t>
      </w:r>
      <w:r>
        <w:t xml:space="preserve"> </w:t>
      </w:r>
      <w:r>
        <w:t xml:space="preserve">5</w:t>
      </w:r>
      <w:r>
        <w:t xml:space="preserve"> </w:t>
      </w:r>
      <w:r>
        <w:t xml:space="preserve">repeats of</w:t>
      </w:r>
      <w:r>
        <w:t xml:space="preserve"> </w:t>
      </w:r>
      <w:r>
        <w:t xml:space="preserve">5</w:t>
      </w:r>
      <w:r>
        <w:t xml:space="preserve">-fold CV</w:t>
      </w:r>
      <w:r>
        <w:rPr>
          <w:vertAlign w:val="superscript"/>
        </w:rPr>
        <w:t xml:space="preserve">39</w:t>
      </w:r>
      <w:r>
        <w:t xml:space="preserve">. To quantify inflation, five splitting strategies were applied with the same model, hyperparameters and features: (i)</w:t>
      </w:r>
      <w:r>
        <w:t xml:space="preserve"> </w:t>
      </w:r>
      <w:r>
        <w:t xml:space="preserve">20</w:t>
      </w:r>
      <w:r>
        <w:t xml:space="preserve"> </w:t>
      </w:r>
      <w:r>
        <w:t xml:space="preserve">independent random 80/20 draws, pooled; (ii) 5-fold and (iii) 10-fold CV, all partitioning data at row level; (iv) composition-level CV following Jia et al.</w:t>
      </w:r>
      <w:r>
        <w:rPr>
          <w:vertAlign w:val="superscript"/>
        </w:rPr>
        <w:t xml:space="preserve">15</w:t>
      </w:r>
      <w:r>
        <w:t xml:space="preserve">, where all temperature points of a given formula are kept in the same fold, preventing intra-formula leakage but allowing related compounds of the same family (e.g. Bi</w:t>
      </w:r>
      <w:r>
        <w:rPr>
          <w:vertAlign w:val="subscript"/>
        </w:rPr>
        <w:t xml:space="preserve">2</w:t>
      </w:r>
      <w:r>
        <w:t xml:space="preserve">Te</w:t>
      </w:r>
      <w:r>
        <w:rPr>
          <w:vertAlign w:val="subscript"/>
        </w:rPr>
        <w:t xml:space="preserve">3</w:t>
      </w:r>
      <w:r>
        <w:t xml:space="preserve"> </w:t>
      </w:r>
      <w:r>
        <w:t xml:space="preserve">and Bi</w:t>
      </w:r>
      <w:r>
        <w:rPr>
          <w:vertAlign w:val="subscript"/>
        </w:rPr>
        <w:t xml:space="preserve">0.5</w:t>
      </w:r>
      <w:r>
        <w:t xml:space="preserve">Sb</w:t>
      </w:r>
      <w:r>
        <w:rPr>
          <w:vertAlign w:val="subscript"/>
        </w:rPr>
        <w:t xml:space="preserve">1.5</w:t>
      </w:r>
      <w:r>
        <w:t xml:space="preserve">Te</w:t>
      </w:r>
      <w:r>
        <w:rPr>
          <w:vertAlign w:val="subscript"/>
        </w:rPr>
        <w:t xml:space="preserve">3</w:t>
      </w:r>
      <w:r>
        <w:t xml:space="preserve">) on opposite sides of the split; and (v) chemistry-cluster CV, in which no member of a cluster appears in testing if any member appears in training. Performance was quantified by the coefficient of determination and the mean absolute error,</w:t>
      </w:r>
    </w:p>
    <w:p>
      <w:pPr>
        <w:pStyle w:val="BodyText"/>
      </w:pPr>
      <m:oMath>
        <m:sSup>
          <m:e>
            <m:r>
              <m:t>R</m:t>
            </m:r>
          </m:e>
          <m:sup>
            <m:r>
              <m:t>2</m:t>
            </m:r>
          </m:sup>
        </m:sSup>
        <m:r>
          <m:rPr>
            <m:sty m:val="p"/>
          </m:rPr>
          <m:t>=</m:t>
        </m:r>
        <m:r>
          <m:t>1</m:t>
        </m:r>
        <m:r>
          <m:rPr>
            <m:sty m:val="p"/>
          </m:rPr>
          <m:t>−</m:t>
        </m:r>
        <m:f>
          <m:fPr>
            <m:type m:val="bar"/>
          </m:fPr>
          <m:num>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sSub>
                          <m:e>
                            <m:r>
                              <m:t>y</m:t>
                            </m:r>
                            <m:acc>
                              <m:accPr>
                                <m:chr m:val="̂"/>
                              </m:accPr>
                              <m:e>
                                <m:r>
                                  <m:t>​</m:t>
                                </m:r>
                              </m:e>
                            </m:acc>
                          </m:e>
                          <m:sub>
                            <m:r>
                              <m:t>i</m:t>
                            </m:r>
                          </m:sub>
                        </m:sSub>
                      </m:e>
                    </m:d>
                  </m:e>
                  <m:sup>
                    <m:r>
                      <m:t>2</m:t>
                    </m:r>
                  </m:sup>
                </m:sSup>
              </m:e>
            </m:nary>
          </m:num>
          <m:den>
            <m:nary>
              <m:naryPr>
                <m:chr m:val="∑"/>
                <m:limLoc m:val="undOvr"/>
                <m:subHide m:val="off"/>
                <m:supHide m:val="on"/>
              </m:naryPr>
              <m:sub>
                <m:r>
                  <m:t>i</m:t>
                </m:r>
              </m:sub>
              <m:sup>
                <m:r>
                  <m:t>​</m:t>
                </m:r>
              </m:sup>
              <m:e>
                <m:sSup>
                  <m:e>
                    <m:d>
                      <m:dPr>
                        <m:begChr m:val="("/>
                        <m:sepChr m:val=""/>
                        <m:endChr m:val=")"/>
                        <m:grow/>
                      </m:dPr>
                      <m:e>
                        <m:sSub>
                          <m:e>
                            <m:r>
                              <m:t>y</m:t>
                            </m:r>
                          </m:e>
                          <m:sub>
                            <m:r>
                              <m:t>i</m:t>
                            </m:r>
                          </m:sub>
                        </m:sSub>
                        <m:r>
                          <m:rPr>
                            <m:sty m:val="p"/>
                          </m:rPr>
                          <m:t>−</m:t>
                        </m:r>
                        <m:r>
                          <m:t>y</m:t>
                        </m:r>
                        <m:acc>
                          <m:accPr>
                            <m:chr m:val="‾"/>
                          </m:accPr>
                          <m:e>
                            <m:r>
                              <m:t>​</m:t>
                            </m:r>
                          </m:e>
                        </m:acc>
                      </m:e>
                    </m:d>
                  </m:e>
                  <m:sup>
                    <m:r>
                      <m:t>2</m:t>
                    </m:r>
                  </m:sup>
                </m:sSup>
              </m:e>
            </m:nary>
          </m:den>
        </m:f>
        <m:r>
          <m:rPr>
            <m:sty m:val="p"/>
          </m:rPr>
          <m:t>,</m:t>
        </m:r>
        <m:r>
          <m:t> </m:t>
        </m:r>
        <m:r>
          <m:t> </m:t>
        </m:r>
        <m:r>
          <m:t>M</m:t>
        </m:r>
        <m:r>
          <m:t>A</m:t>
        </m:r>
        <m:r>
          <m:t>E</m:t>
        </m:r>
        <m:r>
          <m:rPr>
            <m:sty m:val="p"/>
          </m:rPr>
          <m:t>=</m:t>
        </m:r>
        <m:f>
          <m:fPr>
            <m:type m:val="bar"/>
          </m:fPr>
          <m:num>
            <m:r>
              <m:t>1</m:t>
            </m:r>
          </m:num>
          <m:den>
            <m:r>
              <m:t>n</m:t>
            </m:r>
          </m:den>
        </m:f>
        <m:nary>
          <m:naryPr>
            <m:chr m:val="∑"/>
            <m:limLoc m:val="undOvr"/>
            <m:subHide m:val="off"/>
            <m:supHide m:val="on"/>
          </m:naryPr>
          <m:sub>
            <m:r>
              <m:t>i</m:t>
            </m:r>
          </m:sub>
          <m:sup>
            <m:r>
              <m:t>​</m:t>
            </m:r>
          </m:sup>
          <m:e>
            <m:r>
              <m:rPr>
                <m:sty m:val="p"/>
              </m:rPr>
              <m:t>|</m:t>
            </m:r>
            <m:sSub>
              <m:e>
                <m:r>
                  <m:t>y</m:t>
                </m:r>
              </m:e>
              <m:sub>
                <m:r>
                  <m:t>i</m:t>
                </m:r>
              </m:sub>
            </m:sSub>
            <m:r>
              <m:rPr>
                <m:sty m:val="p"/>
              </m:rPr>
              <m:t>−</m:t>
            </m:r>
            <m:sSub>
              <m:e>
                <m:r>
                  <m:t>y</m:t>
                </m:r>
                <m:acc>
                  <m:accPr>
                    <m:chr m:val="̂"/>
                  </m:accPr>
                  <m:e>
                    <m:r>
                      <m:t>​</m:t>
                    </m:r>
                  </m:e>
                </m:acc>
              </m:e>
              <m:sub>
                <m:r>
                  <m:t>i</m:t>
                </m:r>
              </m:sub>
            </m:sSub>
            <m:r>
              <m:rPr>
                <m:sty m:val="p"/>
              </m:rPr>
              <m:t>|</m:t>
            </m:r>
          </m:e>
        </m:nary>
      </m:oMath>
      <w:r>
        <w:t xml:space="preserve"> </w:t>
      </w:r>
      <w:r>
        <w:t xml:space="preserve">(3)</w:t>
      </w:r>
    </w:p>
    <w:p>
      <w:pPr>
        <w:pStyle w:val="BodyText"/>
      </w:pPr>
      <w:r>
        <w:t xml:space="preserve">and the validation inflation was defined as</w:t>
      </w:r>
    </w:p>
    <w:p>
      <w:pPr>
        <w:pStyle w:val="BodyText"/>
      </w:pPr>
      <m:oMath>
        <m:r>
          <m:rPr>
            <m:sty m:val="p"/>
          </m:rPr>
          <m:t>Δ</m:t>
        </m:r>
        <m:sSup>
          <m:e>
            <m:r>
              <m:t>R</m:t>
            </m:r>
          </m:e>
          <m:sup>
            <m:r>
              <m:t>2</m:t>
            </m:r>
          </m:sup>
        </m:sSup>
        <m:r>
          <m:rPr>
            <m:sty m:val="p"/>
          </m:rPr>
          <m:t>=</m:t>
        </m:r>
        <m:sSubSup>
          <m:e>
            <m:r>
              <m:t>R</m:t>
            </m:r>
          </m:e>
          <m:sub>
            <m:r>
              <m:t>r</m:t>
            </m:r>
            <m:r>
              <m:t>a</m:t>
            </m:r>
            <m:r>
              <m:t>n</m:t>
            </m:r>
            <m:r>
              <m:t>d</m:t>
            </m:r>
            <m:r>
              <m:t>o</m:t>
            </m:r>
            <m:r>
              <m:t>m</m:t>
            </m:r>
          </m:sub>
          <m:sup>
            <m:r>
              <m:t>2</m:t>
            </m:r>
          </m:sup>
        </m:sSubSup>
        <m:r>
          <m:rPr>
            <m:sty m:val="p"/>
          </m:rPr>
          <m:t>−</m:t>
        </m:r>
        <m:sSubSup>
          <m:e>
            <m:r>
              <m:t>R</m:t>
            </m:r>
          </m:e>
          <m:sub>
            <m:r>
              <m:t>c</m:t>
            </m:r>
            <m:r>
              <m:t>l</m:t>
            </m:r>
            <m:r>
              <m:t>u</m:t>
            </m:r>
            <m:r>
              <m:t>s</m:t>
            </m:r>
            <m:r>
              <m:t>t</m:t>
            </m:r>
            <m:r>
              <m:t>e</m:t>
            </m:r>
            <m:r>
              <m:t>r</m:t>
            </m:r>
          </m:sub>
          <m:sup>
            <m:r>
              <m:t>2</m:t>
            </m:r>
          </m:sup>
        </m:sSubSup>
      </m:oMath>
      <w:r>
        <w:t xml:space="preserve"> </w:t>
      </w:r>
      <w:r>
        <w:t xml:space="preserve">(4)</w:t>
      </w:r>
    </w:p>
    <w:p>
      <w:pPr>
        <w:pStyle w:val="BodyText"/>
      </w:pPr>
      <w:r>
        <w:t xml:space="preserve">For external validation, the four final models, each fitted on all rows of its target with the frozen hyperparameters, were applied to ESTM</w:t>
      </w:r>
      <w:r>
        <w:rPr>
          <w:vertAlign w:val="superscript"/>
        </w:rPr>
        <w:t xml:space="preserve">40</w:t>
      </w:r>
      <w:r>
        <w:t xml:space="preserve">. After restricting to</w:t>
      </w:r>
      <w:r>
        <w:t xml:space="preserve"> </w:t>
      </w:r>
      <w:r>
        <w:t xml:space="preserve">300</w:t>
      </w:r>
      <w:r>
        <w:t xml:space="preserve">–</w:t>
      </w:r>
      <w:r>
        <w:t xml:space="preserve">800</w:t>
      </w:r>
      <w:r>
        <w:t xml:space="preserve"> </w:t>
      </w:r>
      <w:r>
        <w:t xml:space="preserve">K, ESTM has</w:t>
      </w:r>
      <w:r>
        <w:t xml:space="preserve"> </w:t>
      </w:r>
      <w:r>
        <w:t xml:space="preserve">4,539</w:t>
      </w:r>
      <w:r>
        <w:t xml:space="preserve"> </w:t>
      </w:r>
      <w:r>
        <w:t xml:space="preserve">rows. ESTM and Starrydata2 are both digitised from the literature and share source papers:</w:t>
      </w:r>
      <w:r>
        <w:t xml:space="preserve"> </w:t>
      </w:r>
      <w:r>
        <w:t xml:space="preserve">69</w:t>
      </w:r>
      <w:r>
        <w:t xml:space="preserve"> </w:t>
      </w:r>
      <w:r>
        <w:t xml:space="preserve">ESTM source publications also appear in the training data. The rows are therefore partitioned in two ways that are never pooled: (a) the</w:t>
      </w:r>
      <w:r>
        <w:t xml:space="preserve"> </w:t>
      </w:r>
      <w:r>
        <w:t xml:space="preserve">1,416</w:t>
      </w:r>
      <w:r>
        <w:t xml:space="preserve"> </w:t>
      </w:r>
      <w:r>
        <w:t xml:space="preserve">rows sharing a source DOI with the training data are removed, leaving</w:t>
      </w:r>
      <w:r>
        <w:t xml:space="preserve"> </w:t>
      </w:r>
      <w:r>
        <w:t xml:space="preserve">3,123</w:t>
      </w:r>
      <w:r>
        <w:t xml:space="preserve">, which tests measurement transfer; (b) the</w:t>
      </w:r>
      <w:r>
        <w:t xml:space="preserve"> </w:t>
      </w:r>
      <w:r>
        <w:t xml:space="preserve">3,091</w:t>
      </w:r>
      <w:r>
        <w:t xml:space="preserve"> </w:t>
      </w:r>
      <w:r>
        <w:t xml:space="preserve">rows whose chemistry cluster appears in the training data are removed, leaving</w:t>
      </w:r>
      <w:r>
        <w:t xml:space="preserve"> </w:t>
      </w:r>
      <w:r>
        <w:t xml:space="preserve">1,448</w:t>
      </w:r>
      <w:r>
        <w:t xml:space="preserve">, which tests chemistry transfer. Because ESTM extends beyond the property ranges of the training data, results are also reported restricted to rows inside the training range of S,</w:t>
      </w:r>
      <w:r>
        <w:t xml:space="preserve"> </w:t>
      </w:r>
      <w:r>
        <w:rPr>
          <w:i/>
          <w:iCs/>
        </w:rPr>
        <w:t xml:space="preserve">σ</w:t>
      </w:r>
      <w:r>
        <w:t xml:space="preserve">,</w:t>
      </w:r>
      <w:r>
        <w:t xml:space="preserve"> </w:t>
      </w:r>
      <w:r>
        <w:rPr>
          <w:i/>
          <w:iCs/>
        </w:rPr>
        <w:t xml:space="preserve">κ</w:t>
      </w:r>
      <w:r>
        <w:t xml:space="preserve"> </w:t>
      </w:r>
      <w:r>
        <w:t xml:space="preserve">and temperature (</w:t>
      </w:r>
      <w:r>
        <w:t xml:space="preserve">2,709</w:t>
      </w:r>
      <w:r>
        <w:t xml:space="preserve"> </w:t>
      </w:r>
      <w:r>
        <w:t xml:space="preserve">of</w:t>
      </w:r>
      <w:r>
        <w:t xml:space="preserve"> </w:t>
      </w:r>
      <w:r>
        <w:t xml:space="preserve">3,123</w:t>
      </w:r>
      <w:r>
        <w:t xml:space="preserve"> </w:t>
      </w:r>
      <w:r>
        <w:t xml:space="preserve">rows in (a),</w:t>
      </w:r>
      <w:r>
        <w:t xml:space="preserve"> </w:t>
      </w:r>
      <w:r>
        <w:t xml:space="preserve">1,196</w:t>
      </w:r>
      <w:r>
        <w:t xml:space="preserve"> </w:t>
      </w:r>
      <w:r>
        <w:t xml:space="preserve">of</w:t>
      </w:r>
      <w:r>
        <w:t xml:space="preserve"> </w:t>
      </w:r>
      <w:r>
        <w:t xml:space="preserve">1,448</w:t>
      </w:r>
      <w:r>
        <w:t xml:space="preserve"> </w:t>
      </w:r>
      <w:r>
        <w:t xml:space="preserve">in (b)). Back-transformation of the log-space predictions of</w:t>
      </w:r>
      <w:r>
        <w:t xml:space="preserve"> </w:t>
      </w:r>
      <w:r>
        <w:rPr>
          <w:i/>
          <w:iCs/>
        </w:rPr>
        <w:t xml:space="preserve">σ</w:t>
      </w:r>
      <w:r>
        <w:t xml:space="preserve"> </w:t>
      </w:r>
      <w:r>
        <w:t xml:space="preserve">and</w:t>
      </w:r>
      <w:r>
        <w:t xml:space="preserve"> </w:t>
      </w:r>
      <w:r>
        <w:rPr>
          <w:i/>
          <w:iCs/>
        </w:rPr>
        <w:t xml:space="preserve">κ</w:t>
      </w:r>
      <w:r>
        <w:t xml:space="preserve"> </w:t>
      </w:r>
      <w:r>
        <w:t xml:space="preserve">uses smearing factors computed from training-side out-of-fold residuals only, so that no external label is used for calibration. The</w:t>
      </w:r>
      <w:r>
        <w:t xml:space="preserve"> </w:t>
      </w:r>
      <w:r>
        <w:t xml:space="preserve">4,539</w:t>
      </w:r>
      <w:r>
        <w:t xml:space="preserve"> </w:t>
      </w:r>
      <w:r>
        <w:t xml:space="preserve">rows cover</w:t>
      </w:r>
      <w:r>
        <w:t xml:space="preserve"> </w:t>
      </w:r>
      <w:r>
        <w:t xml:space="preserve">853</w:t>
      </w:r>
      <w:r>
        <w:t xml:space="preserve"> </w:t>
      </w:r>
      <w:r>
        <w:t xml:space="preserve">distinct formulas, of which</w:t>
      </w:r>
      <w:r>
        <w:t xml:space="preserve"> </w:t>
      </w:r>
      <w:r>
        <w:t xml:space="preserve">343</w:t>
      </w:r>
      <w:r>
        <w:t xml:space="preserve"> </w:t>
      </w:r>
      <w:r>
        <w:t xml:space="preserve">also occur in the training data (</w:t>
      </w:r>
      <w:r>
        <w:t xml:space="preserve">300</w:t>
      </w:r>
      <w:r>
        <w:t xml:space="preserve"> </w:t>
      </w:r>
      <w:r>
        <w:t xml:space="preserve">of the</w:t>
      </w:r>
      <w:r>
        <w:t xml:space="preserve"> </w:t>
      </w:r>
      <w:r>
        <w:t xml:space="preserve">528</w:t>
      </w:r>
      <w:r>
        <w:t xml:space="preserve"> </w:t>
      </w:r>
      <w:r>
        <w:t xml:space="preserve">chemistry clusters occur in it). As a cross-domain description, the S model is also applied to DFT-computed Seebeck coefficients from the JARVIS dft_3d dataset</w:t>
      </w:r>
      <w:r>
        <w:rPr>
          <w:vertAlign w:val="superscript"/>
        </w:rPr>
        <w:t xml:space="preserve">41</w:t>
      </w:r>
      <w:r>
        <w:t xml:space="preserve">:</w:t>
      </w:r>
      <w:r>
        <w:t xml:space="preserve"> </w:t>
      </w:r>
      <w:r>
        <w:t xml:space="preserve">23,218</w:t>
      </w:r>
      <w:r>
        <w:t xml:space="preserve"> </w:t>
      </w:r>
      <w:r>
        <w:t xml:space="preserve">of its</w:t>
      </w:r>
      <w:r>
        <w:t xml:space="preserve"> </w:t>
      </w:r>
      <w:r>
        <w:t xml:space="preserve">93,902</w:t>
      </w:r>
      <w:r>
        <w:t xml:space="preserve"> </w:t>
      </w:r>
      <w:r>
        <w:t xml:space="preserve">entries carry a Seebeck coefficient for both n-type and p-type doping, each tabulated at</w:t>
      </w:r>
      <w:r>
        <w:t xml:space="preserve"> </w:t>
      </w:r>
      <w:r>
        <w:t xml:space="preserve">600</w:t>
      </w:r>
      <w:r>
        <w:t xml:space="preserve"> </w:t>
      </w:r>
      <w:r>
        <w:t xml:space="preserve">K and a doping of</w:t>
      </w:r>
      <w:r>
        <w:t xml:space="preserve"> </w:t>
      </w:r>
      <w:r>
        <w:t xml:space="preserve">10</w:t>
      </w:r>
      <w:r>
        <w:rPr>
          <w:vertAlign w:val="superscript"/>
        </w:rPr>
        <w:t xml:space="preserve">20</w:t>
      </w:r>
      <w:r>
        <w:t xml:space="preserve"> </w:t>
      </w:r>
      <w:r>
        <w:t xml:space="preserve">cm</w:t>
      </w:r>
      <w:r>
        <w:rPr>
          <w:vertAlign w:val="superscript"/>
        </w:rPr>
        <w:t xml:space="preserve">−3</w:t>
      </w:r>
      <w:r>
        <w:t xml:space="preserve">, calculated from the DFT band structure with BoltzTraP in the constant-relaxation-time approximation (the relaxation time cancels in the Seebeck coefficient). All were featurised as the training data were, with the temperature input set to that temperature, and the Seebeck model was applied to them. The JARVIS values are computed for ideal crystals, so the comparison is not a validation. Because the two JARVIS values of a semiconductor have opposite signs by construction (the sign follows the imposed doping), a JARVIS sign exists only for the</w:t>
      </w:r>
      <w:r>
        <w:t xml:space="preserve"> </w:t>
      </w:r>
      <w:r>
        <w:t xml:space="preserve">13,123</w:t>
      </w:r>
      <w:r>
        <w:t xml:space="preserve"> </w:t>
      </w:r>
      <w:r>
        <w:t xml:space="preserve">entries whose n-type and p-type values have the same sign. The predicted sign is the sign of the predicted S; sign agreement is computed on these entries when the magnitude of the reference, the mean of the absolute n-type and p-type values, is at least</w:t>
      </w:r>
      <w:r>
        <w:t xml:space="preserve"> </w:t>
      </w:r>
      <w:r>
        <w:t xml:space="preserve">20</w:t>
      </w:r>
      <w:r>
        <w:t xml:space="preserve"> </w:t>
      </w:r>
      <w:r>
        <w:rPr>
          <w:i/>
          <w:iCs/>
        </w:rPr>
        <w:t xml:space="preserve">µ</w:t>
      </w:r>
      <w:r>
        <w:t xml:space="preserve">V K</w:t>
      </w:r>
      <w:r>
        <w:rPr>
          <w:vertAlign w:val="superscript"/>
        </w:rPr>
        <w:t xml:space="preserve">−1</w:t>
      </w:r>
      <w:r>
        <w:t xml:space="preserve"> </w:t>
      </w:r>
      <w:r>
        <w:t xml:space="preserve">(</w:t>
      </w:r>
      <w:r>
        <w:t xml:space="preserve">3,885</w:t>
      </w:r>
      <w:r>
        <w:t xml:space="preserve"> </w:t>
      </w:r>
      <w:r>
        <w:t xml:space="preserve">entries), and the rank correlation (Spearman) of the absolute predicted S with that reference is computed for every entry. Entries with an optb88vdw gap below</w:t>
      </w:r>
      <w:r>
        <w:t xml:space="preserve"> </w:t>
      </w:r>
      <w:r>
        <w:t xml:space="preserve">0.05</w:t>
      </w:r>
      <w:r>
        <w:t xml:space="preserve"> </w:t>
      </w:r>
      <w:r>
        <w:t xml:space="preserve">eV are treated as metals or semimetals and the others as semiconductors, and the entries are split by whether their chemistry cluster occurs in the training data. Intervals are chemistry-cluster bootstrap percentile intervals (clusters resampled with replacement). Electrical and thermal conductivity and zT are not compared: JARVIS gives conductivity only divided by an unknown relaxation time and no zT.</w:t>
      </w:r>
    </w:p>
    <w:p>
      <w:pPr>
        <w:pStyle w:val="BodyText"/>
      </w:pPr>
      <w:r>
        <w:t xml:space="preserve">As a second external dataset, the teMatDb collection of digitised experimental thermoelectric curves</w:t>
      </w:r>
      <w:r>
        <w:rPr>
          <w:vertAlign w:val="superscript"/>
        </w:rPr>
        <w:t xml:space="preserve">42,43</w:t>
      </w:r>
      <w:r>
        <w:t xml:space="preserve"> </w:t>
      </w:r>
      <w:r>
        <w:t xml:space="preserve">was used at repository commit</w:t>
      </w:r>
      <w:r>
        <w:t xml:space="preserve"> </w:t>
      </w:r>
      <w:r>
        <w:rPr>
          <w:rStyle w:val="VerbatimChar"/>
        </w:rPr>
        <w:t xml:space="preserve">86a9bf9</w:t>
      </w:r>
      <w:r>
        <w:t xml:space="preserve"> </w:t>
      </w:r>
      <w:r>
        <w:t xml:space="preserve">(its three data files are byte-identical to those of the Zenodo release v1.1.6):</w:t>
      </w:r>
      <w:r>
        <w:t xml:space="preserve"> </w:t>
      </w:r>
      <w:r>
        <w:t xml:space="preserve">272</w:t>
      </w:r>
      <w:r>
        <w:t xml:space="preserve"> </w:t>
      </w:r>
      <w:r>
        <w:t xml:space="preserve">samples with their source DOI and composition, of which</w:t>
      </w:r>
      <w:r>
        <w:t xml:space="preserve"> </w:t>
      </w:r>
      <w:r>
        <w:t xml:space="preserve">184</w:t>
      </w:r>
      <w:r>
        <w:t xml:space="preserve"> </w:t>
      </w:r>
      <w:r>
        <w:t xml:space="preserve">have a composition that the training canonicalisation can parse and are scored. Their curves, restricted to</w:t>
      </w:r>
      <w:r>
        <w:t xml:space="preserve"> </w:t>
      </w:r>
      <w:r>
        <w:t xml:space="preserve">300</w:t>
      </w:r>
      <w:r>
        <w:t xml:space="preserve">–</w:t>
      </w:r>
      <w:r>
        <w:t xml:space="preserve">800</w:t>
      </w:r>
      <w:r>
        <w:t xml:space="preserve"> </w:t>
      </w:r>
      <w:r>
        <w:t xml:space="preserve">K, are assigned to the</w:t>
      </w:r>
      <w:r>
        <w:t xml:space="preserve"> </w:t>
      </w:r>
      <w:r>
        <w:t xml:space="preserve">25</w:t>
      </w:r>
      <w:r>
        <w:t xml:space="preserve"> </w:t>
      </w:r>
      <w:r>
        <w:t xml:space="preserve">K temperature bins of the training data (one row per sample and bin) and featurised as ESTM was. The samples are grouped in three strata that are never pooled: a0, the sample’s source DOI is in the training data; a, it is not; b, its chemistry cluster (the fixed definition) is absent from the training data. The models, the smearing factors and the scoring are those of ESTM and nothing is refitted; R</w:t>
      </w:r>
      <w:r>
        <w:rPr>
          <w:vertAlign w:val="superscript"/>
        </w:rPr>
        <w:t xml:space="preserve">2</w:t>
      </w:r>
      <w:r>
        <w:t xml:space="preserve"> </w:t>
      </w:r>
      <w:r>
        <w:t xml:space="preserve">is computed in the space of the target (log</w:t>
      </w:r>
      <w:r>
        <w:rPr>
          <w:vertAlign w:val="subscript"/>
        </w:rPr>
        <w:t xml:space="preserve">10</w:t>
      </w:r>
      <w:r>
        <w:t xml:space="preserve"> </w:t>
      </w:r>
      <w:r>
        <w:t xml:space="preserve">for</w:t>
      </w:r>
      <w:r>
        <w:t xml:space="preserve"> </w:t>
      </w:r>
      <w:r>
        <w:rPr>
          <w:i/>
          <w:iCs/>
        </w:rPr>
        <w:t xml:space="preserve">σ</w:t>
      </w:r>
      <w:r>
        <w:t xml:space="preserve"> </w:t>
      </w:r>
      <w:r>
        <w:t xml:space="preserve">and</w:t>
      </w:r>
      <w:r>
        <w:t xml:space="preserve"> </w:t>
      </w:r>
      <w:r>
        <w:rPr>
          <w:i/>
          <w:iCs/>
        </w:rPr>
        <w:t xml:space="preserve">κ</w:t>
      </w:r>
      <w:r>
        <w:t xml:space="preserve">), for zT against the declared value and against the value recomputed from the measured Seebeck coefficient, resistivity and thermal conductivity. Intervals are the 2.5th to 97.5th percentile of a bootstrap that resamples whole samples (</w:t>
      </w:r>
      <w:r>
        <w:t xml:space="preserve">2000</w:t>
      </w:r>
      <w:r>
        <w:t xml:space="preserve"> </w:t>
      </w:r>
      <w:r>
        <w:t xml:space="preserve">draws).</w:t>
      </w:r>
    </w:p>
    <w:bookmarkEnd w:id="26"/>
    <w:bookmarkStart w:id="27" w:name="screening-of-the-materials-project"/>
    <w:p>
      <w:pPr>
        <w:pStyle w:val="Heading2"/>
      </w:pPr>
      <w:r>
        <w:t xml:space="preserve">2.5 Screening of the Materials Project</w:t>
      </w:r>
    </w:p>
    <w:p>
      <w:pPr>
        <w:pStyle w:val="FirstParagraph"/>
      </w:pPr>
      <w:r>
        <w:t xml:space="preserve">The Materials Project API</w:t>
      </w:r>
      <w:r>
        <w:rPr>
          <w:vertAlign w:val="superscript"/>
        </w:rPr>
        <w:t xml:space="preserve">44</w:t>
      </w:r>
      <w:r>
        <w:t xml:space="preserve"> </w:t>
      </w:r>
      <w:r>
        <w:t xml:space="preserve">is queried for compounds with energy above the convex hull E</w:t>
      </w:r>
      <w:r>
        <w:rPr>
          <w:vertAlign w:val="subscript"/>
        </w:rPr>
        <w:t xml:space="preserve">hull</w:t>
      </w:r>
      <w:r>
        <w:t xml:space="preserve"> </w:t>
      </w:r>
      <w:r>
        <w:t xml:space="preserve">≤</w:t>
      </w:r>
      <w:r>
        <w:t xml:space="preserve"> </w:t>
      </w:r>
      <w:r>
        <w:t xml:space="preserve">0.05</w:t>
      </w:r>
      <w:r>
        <w:t xml:space="preserve"> </w:t>
      </w:r>
      <w:r>
        <w:t xml:space="preserve">eV atom</w:t>
      </w:r>
      <w:r>
        <w:rPr>
          <w:vertAlign w:val="superscript"/>
        </w:rPr>
        <w:t xml:space="preserve">−1</w:t>
      </w:r>
      <w:r>
        <w:t xml:space="preserve"> </w:t>
      </w:r>
      <w:r>
        <w:t xml:space="preserve">(lower values indicate greater thermodynamic stability) and a PBE band-gap window of</w:t>
      </w:r>
      <w:r>
        <w:t xml:space="preserve"> </w:t>
      </w:r>
      <w:r>
        <w:t xml:space="preserve">0.1</w:t>
      </w:r>
      <w:r>
        <w:t xml:space="preserve"> </w:t>
      </w:r>
      <w:r>
        <w:t xml:space="preserve">to</w:t>
      </w:r>
      <w:r>
        <w:t xml:space="preserve"> </w:t>
      </w:r>
      <w:r>
        <w:t xml:space="preserve">3</w:t>
      </w:r>
      <w:r>
        <w:t xml:space="preserve"> </w:t>
      </w:r>
      <w:r>
        <w:t xml:space="preserve">eV, then filtered for lead and for radioactive, unstable and toxic elements and reduced to ABX</w:t>
      </w:r>
      <w:r>
        <w:rPr>
          <w:vertAlign w:val="subscript"/>
        </w:rPr>
        <w:t xml:space="preserve">3</w:t>
      </w:r>
      <w:r>
        <w:t xml:space="preserve"> </w:t>
      </w:r>
      <w:r>
        <w:t xml:space="preserve">candidates. Perovskite-type structure is decided by an explicit connectivity test (six-fold B–X coordination with corner-sharing BX</w:t>
      </w:r>
      <w:r>
        <w:rPr>
          <w:vertAlign w:val="subscript"/>
        </w:rPr>
        <w:t xml:space="preserve">6</w:t>
      </w:r>
      <w:r>
        <w:t xml:space="preserve"> </w:t>
      </w:r>
      <w:r>
        <w:t xml:space="preserve">octahedra), not by space group alone, because the same space group is shared by perovskites and non-perovskite ABX</w:t>
      </w:r>
      <w:r>
        <w:rPr>
          <w:vertAlign w:val="subscript"/>
        </w:rPr>
        <w:t xml:space="preserve">3</w:t>
      </w:r>
      <w:r>
        <w:t xml:space="preserve"> </w:t>
      </w:r>
      <w:r>
        <w:t xml:space="preserve">structures (for example the needle-like chain structure of</w:t>
      </w:r>
      <w:r>
        <w:t xml:space="preserve"> </w:t>
      </w:r>
      <w:r>
        <w:rPr>
          <w:i/>
          <w:iCs/>
        </w:rPr>
        <w:t xml:space="preserve">α</w:t>
      </w:r>
      <w:r>
        <w:t xml:space="preserve">-SrZrS</w:t>
      </w:r>
      <w:r>
        <w:rPr>
          <w:vertAlign w:val="subscript"/>
        </w:rPr>
        <w:t xml:space="preserve">3</w:t>
      </w:r>
      <w:r>
        <w:t xml:space="preserve"> </w:t>
      </w:r>
      <w:r>
        <w:t xml:space="preserve">and the GdFeO</w:t>
      </w:r>
      <w:r>
        <w:rPr>
          <w:vertAlign w:val="subscript"/>
        </w:rPr>
        <w:t xml:space="preserve">3</w:t>
      </w:r>
      <w:r>
        <w:t xml:space="preserve">-type perovskite</w:t>
      </w:r>
      <w:r>
        <w:t xml:space="preserve"> </w:t>
      </w:r>
      <w:r>
        <w:rPr>
          <w:i/>
          <w:iCs/>
        </w:rPr>
        <w:t xml:space="preserve">β</w:t>
      </w:r>
      <w:r>
        <w:t xml:space="preserve">-SrZrS</w:t>
      </w:r>
      <w:r>
        <w:rPr>
          <w:vertAlign w:val="subscript"/>
        </w:rPr>
        <w:t xml:space="preserve">3</w:t>
      </w:r>
      <w:r>
        <w:t xml:space="preserve"> </w:t>
      </w:r>
      <w:r>
        <w:t xml:space="preserve">are both</w:t>
      </w:r>
      <w:r>
        <w:t xml:space="preserve"> </w:t>
      </w:r>
      <w:r>
        <w:rPr>
          <w:i/>
          <w:iCs/>
        </w:rPr>
        <w:t xml:space="preserve">Pnma</w:t>
      </w:r>
      <w:r>
        <w:rPr>
          <w:vertAlign w:val="superscript"/>
        </w:rPr>
        <w:t xml:space="preserve">45</w:t>
      </w:r>
      <w:r>
        <w:t xml:space="preserve">). Materials Project band gaps are PBE values, which underestimate experimental gaps</w:t>
      </w:r>
      <w:r>
        <w:rPr>
          <w:vertAlign w:val="superscript"/>
        </w:rPr>
        <w:t xml:space="preserve">46</w:t>
      </w:r>
      <w:r>
        <w:t xml:space="preserve">; the band-gap criteria are therefore applied as stated, and sensitivity rows in which the gap criteria are widened by a factor of</w:t>
      </w:r>
      <w:r>
        <w:t xml:space="preserve"> </w:t>
      </w:r>
      <w:r>
        <w:t xml:space="preserve">1.5</w:t>
      </w:r>
      <w:r>
        <w:t xml:space="preserve"> </w:t>
      </w:r>
      <w:r>
        <w:t xml:space="preserve">and the stability limit is raised to</w:t>
      </w:r>
      <w:r>
        <w:t xml:space="preserve"> </w:t>
      </w:r>
      <w:r>
        <w:t xml:space="preserve">0.1</w:t>
      </w:r>
      <w:r>
        <w:t xml:space="preserve"> </w:t>
      </w:r>
      <w:r>
        <w:t xml:space="preserve">eV atom</w:t>
      </w:r>
      <w:r>
        <w:rPr>
          <w:vertAlign w:val="superscript"/>
        </w:rPr>
        <w:t xml:space="preserve">−1</w:t>
      </w:r>
      <w:r>
        <w:t xml:space="preserve"> </w:t>
      </w:r>
      <w:r>
        <w:t xml:space="preserve">are reported alongside the counts. The filters are applied in the order stability, band-gap window, exclusion of lead and of radioactive elements, ABX</w:t>
      </w:r>
      <w:r>
        <w:rPr>
          <w:vertAlign w:val="subscript"/>
        </w:rPr>
        <w:t xml:space="preserve">3</w:t>
      </w:r>
      <w:r>
        <w:t xml:space="preserve"> </w:t>
      </w:r>
      <w:r>
        <w:t xml:space="preserve">stoichiometry (anti-perovskites, with the anion on the A site, are set aside), the connectivity test, a final band-gap cap of</w:t>
      </w:r>
      <w:r>
        <w:t xml:space="preserve"> </w:t>
      </w:r>
      <w:r>
        <w:t xml:space="preserve">0.6</w:t>
      </w:r>
      <w:r>
        <w:t xml:space="preserve"> </w:t>
      </w:r>
      <w:r>
        <w:t xml:space="preserve">eV, and exclusion of Tl, Hg, Cd, As and Be; the counts after each filter are given in Section 3.3. The stability limit, the gap window and the cap are choices, not findings (the gap window has no literature justification, and PBE gaps underestimate measured ones), which is why the sensitivity lists are reported.</w:t>
      </w:r>
    </w:p>
    <w:p>
      <w:pPr>
        <w:pStyle w:val="BodyText"/>
      </w:pPr>
      <w:r>
        <w:t xml:space="preserve">For each candidate, MAGPIE and CBFV features are computed and the four models predict S,</w:t>
      </w:r>
      <w:r>
        <w:t xml:space="preserve"> </w:t>
      </w:r>
      <w:r>
        <w:rPr>
          <w:i/>
          <w:iCs/>
        </w:rPr>
        <w:t xml:space="preserve">σ</w:t>
      </w:r>
      <w:r>
        <w:t xml:space="preserve">,</w:t>
      </w:r>
      <w:r>
        <w:t xml:space="preserve"> </w:t>
      </w:r>
      <w:r>
        <w:rPr>
          <w:i/>
          <w:iCs/>
        </w:rPr>
        <w:t xml:space="preserve">κ</w:t>
      </w:r>
      <w:r>
        <w:t xml:space="preserve"> </w:t>
      </w:r>
      <w:r>
        <w:t xml:space="preserve">and zT from</w:t>
      </w:r>
      <w:r>
        <w:t xml:space="preserve"> </w:t>
      </w:r>
      <w:r>
        <w:t xml:space="preserve">300</w:t>
      </w:r>
      <w:r>
        <w:t xml:space="preserve"> </w:t>
      </w:r>
      <w:r>
        <w:t xml:space="preserve">to</w:t>
      </w:r>
      <w:r>
        <w:t xml:space="preserve"> </w:t>
      </w:r>
      <w:r>
        <w:t xml:space="preserve">800</w:t>
      </w:r>
      <w:r>
        <w:t xml:space="preserve"> </w:t>
      </w:r>
      <w:r>
        <w:t xml:space="preserve">K in</w:t>
      </w:r>
      <w:r>
        <w:t xml:space="preserve"> </w:t>
      </w:r>
      <w:r>
        <w:t xml:space="preserve">100</w:t>
      </w:r>
      <w:r>
        <w:t xml:space="preserve"> </w:t>
      </w:r>
      <w:r>
        <w:t xml:space="preserve">K steps; the carrier-type classifier assigns the sign of S (Section 2.3). Each candidate is flagged by whether its chemistry cluster occurs in the training data, and the candidates in seen and unseen clusters are reported separately, because the models are far less reliable outside the training chemistries (Sections 3.1 and 3.2). The screening is framed as hypothesis generation: the candidates are ordered by predicted zT, using the direct prediction because it was more accurate under chemistry-cluster CV than the derived S</w:t>
      </w:r>
      <w:r>
        <w:rPr>
          <w:vertAlign w:val="superscript"/>
        </w:rPr>
        <w:t xml:space="preserve">2</w:t>
      </w:r>
      <w:r>
        <w:rPr>
          <w:i/>
          <w:iCs/>
        </w:rPr>
        <w:t xml:space="preserve">σ</w:t>
      </w:r>
      <w:r>
        <w:t xml:space="preserve">T/</w:t>
      </w:r>
      <w:r>
        <w:rPr>
          <w:i/>
          <w:iCs/>
        </w:rPr>
        <w:t xml:space="preserve">κ</w:t>
      </w:r>
      <w:r>
        <w:t xml:space="preserve"> </w:t>
      </w:r>
      <w:r>
        <w:t xml:space="preserve">route (Section 3.1.6), but the ordering is a way of listing hypotheses, and no predicted zT is presented as a finding. Which candidates are highlighted was fixed before any prediction was seen: only the shortlist of compounds that are on the convex hull in every stability variant and whose chemistry cluster is in the training data (</w:t>
      </w:r>
      <w:r>
        <w:t xml:space="preserve">4</w:t>
      </w:r>
      <w:r>
        <w:t xml:space="preserve"> </w:t>
      </w:r>
      <w:r>
        <w:t xml:space="preserve">candidates), ordered by their maximum predicted zT over the grid, is named in the abstract and the conclusion; all other candidates appear only in the full ranked list with their cluster and stability labels. Every candidate is also labelled by a literature check, made independently of the predictions, for whether it has been studied as a thermoelectric. The four final models were fitted on all rows of their target with the frozen hyperparameters.</w:t>
      </w:r>
    </w:p>
    <w:bookmarkEnd w:id="27"/>
    <w:bookmarkStart w:id="28" w:name="literature-comparison"/>
    <w:p>
      <w:pPr>
        <w:pStyle w:val="Heading2"/>
      </w:pPr>
      <w:r>
        <w:t xml:space="preserve">2.6 Literature comparison</w:t>
      </w:r>
    </w:p>
    <w:p>
      <w:pPr>
        <w:pStyle w:val="FirstParagraph"/>
      </w:pPr>
      <w:r>
        <w:rPr>
          <w:b/>
          <w:bCs/>
        </w:rPr>
        <w:t xml:space="preserve">Papers and compounds.</w:t>
      </w:r>
      <w:r>
        <w:t xml:space="preserve"> </w:t>
      </w:r>
      <w:r>
        <w:t xml:space="preserve">The literature check was fixed before any value was read and before any prediction for these compounds was looked at (pre-registration B,</w:t>
      </w:r>
      <w:r>
        <w:t xml:space="preserve"> </w:t>
      </w:r>
      <w:r>
        <w:rPr>
          <w:rStyle w:val="VerbatimChar"/>
        </w:rPr>
        <w:t xml:space="preserve">docs/decisions.md</w:t>
      </w:r>
      <w:r>
        <w:t xml:space="preserve">). It uses</w:t>
      </w:r>
      <w:r>
        <w:t xml:space="preserve"> </w:t>
      </w:r>
      <w:r>
        <w:t xml:space="preserve">7</w:t>
      </w:r>
      <w:r>
        <w:t xml:space="preserve"> </w:t>
      </w:r>
      <w:r>
        <w:t xml:space="preserve">papers, each matched by DOI to its title, first author and journal through Crossref: CsSnI</w:t>
      </w:r>
      <w:r>
        <w:rPr>
          <w:vertAlign w:val="subscript"/>
        </w:rPr>
        <w:t xml:space="preserve">3</w:t>
      </w:r>
      <w:r>
        <w:t xml:space="preserve"> </w:t>
      </w:r>
      <w:r>
        <w:t xml:space="preserve">(vacuum-deposited films)</w:t>
      </w:r>
      <w:r>
        <w:rPr>
          <w:vertAlign w:val="superscript"/>
        </w:rPr>
        <w:t xml:space="preserve">47</w:t>
      </w:r>
      <w:r>
        <w:t xml:space="preserve">, LaCoO</w:t>
      </w:r>
      <w:r>
        <w:rPr>
          <w:vertAlign w:val="subscript"/>
        </w:rPr>
        <w:t xml:space="preserve">3</w:t>
      </w:r>
      <w:r>
        <w:rPr>
          <w:vertAlign w:val="superscript"/>
        </w:rPr>
        <w:t xml:space="preserve">48</w:t>
      </w:r>
      <w:r>
        <w:t xml:space="preserve">, LaRhO</w:t>
      </w:r>
      <w:r>
        <w:rPr>
          <w:vertAlign w:val="subscript"/>
        </w:rPr>
        <w:t xml:space="preserve">3</w:t>
      </w:r>
      <w:r>
        <w:rPr>
          <w:vertAlign w:val="superscript"/>
        </w:rPr>
        <w:t xml:space="preserve">49</w:t>
      </w:r>
      <w:r>
        <w:t xml:space="preserve">, La-doped BaSnO</w:t>
      </w:r>
      <w:r>
        <w:rPr>
          <w:vertAlign w:val="subscript"/>
        </w:rPr>
        <w:t xml:space="preserve">3</w:t>
      </w:r>
      <w:r>
        <w:rPr>
          <w:vertAlign w:val="superscript"/>
        </w:rPr>
        <w:t xml:space="preserve">50</w:t>
      </w:r>
      <w:r>
        <w:t xml:space="preserve">,</w:t>
      </w:r>
      <w:r>
        <w:t xml:space="preserve"> </w:t>
      </w:r>
      <w:r>
        <w:t xml:space="preserve">La- and Nb-doped SrTiO</w:t>
      </w:r>
      <w:r>
        <w:rPr>
          <w:vertAlign w:val="subscript"/>
        </w:rPr>
        <w:t xml:space="preserve">3</w:t>
      </w:r>
      <w:r>
        <w:t xml:space="preserve"> </w:t>
      </w:r>
      <w:r>
        <w:t xml:space="preserve">single crystals</w:t>
      </w:r>
      <w:r>
        <w:rPr>
          <w:vertAlign w:val="superscript"/>
        </w:rPr>
        <w:t xml:space="preserve">51</w:t>
      </w:r>
      <w:r>
        <w:t xml:space="preserve">, doped CaMnO</w:t>
      </w:r>
      <w:r>
        <w:rPr>
          <w:vertAlign w:val="subscript"/>
        </w:rPr>
        <w:t xml:space="preserve">3</w:t>
      </w:r>
      <w:r>
        <w:rPr>
          <w:vertAlign w:val="superscript"/>
        </w:rPr>
        <w:t xml:space="preserve">11,52</w:t>
      </w:r>
      <w:r>
        <w:t xml:space="preserve">. The compositions, dopants included, are those the papers state. BaSnO</w:t>
      </w:r>
      <w:r>
        <w:rPr>
          <w:vertAlign w:val="subscript"/>
        </w:rPr>
        <w:t xml:space="preserve">3</w:t>
      </w:r>
      <w:r>
        <w:t xml:space="preserve"> </w:t>
      </w:r>
      <w:r>
        <w:t xml:space="preserve">and LaRhO</w:t>
      </w:r>
      <w:r>
        <w:rPr>
          <w:vertAlign w:val="subscript"/>
        </w:rPr>
        <w:t xml:space="preserve">3</w:t>
      </w:r>
      <w:r>
        <w:t xml:space="preserve"> </w:t>
      </w:r>
      <w:r>
        <w:t xml:space="preserve">stay in only if their paper</w:t>
      </w:r>
      <w:r>
        <w:t xml:space="preserve"> </w:t>
      </w:r>
      <w:r>
        <w:t xml:space="preserve">gives measured values. The test is not blind: the compounds were chosen because they have published measurements and, for the pre-registered shortlist, a chemistry cluster present in the training data.</w:t>
      </w:r>
    </w:p>
    <w:p>
      <w:pPr>
        <w:pStyle w:val="BodyText"/>
      </w:pPr>
      <w:r>
        <w:rPr>
          <w:b/>
          <w:bCs/>
        </w:rPr>
        <w:t xml:space="preserve">What is compared.</w:t>
      </w:r>
      <w:r>
        <w:t xml:space="preserve"> </w:t>
      </w:r>
      <w:r>
        <w:t xml:space="preserve">The predictions are the out-of-fold predictions of the chemistry-cluster cross-validation of Section 3.1.1 (frozen hyperparameters, five repeats of five folds), in which the chemistry cluster of</w:t>
      </w:r>
      <w:r>
        <w:t xml:space="preserve"> </w:t>
      </w:r>
      <w:r>
        <w:t xml:space="preserve">the row was held out. They are not the predictions of the final models, and not those of the ranked list of Section 3.3, which are final-model predictions for Materials Project compounds. Nothing is refitted. Each literature value is</w:t>
      </w:r>
      <w:r>
        <w:t xml:space="preserve"> </w:t>
      </w:r>
      <w:r>
        <w:t xml:space="preserve">compared at two levels that are reported separately:</w:t>
      </w:r>
      <w:r>
        <w:t xml:space="preserve"> </w:t>
      </w:r>
      <w:r>
        <w:rPr>
          <w:i/>
          <w:iCs/>
        </w:rPr>
        <w:t xml:space="preserve">exact</w:t>
      </w:r>
      <w:r>
        <w:t xml:space="preserve">, the training rows with the same composition at the same</w:t>
      </w:r>
      <w:r>
        <w:t xml:space="preserve"> </w:t>
      </w:r>
      <w:r>
        <w:t xml:space="preserve">25</w:t>
      </w:r>
      <w:r>
        <w:t xml:space="preserve"> </w:t>
      </w:r>
      <w:r>
        <w:t xml:space="preserve">K temperature bin as the value (mean over those rows and over the five repeats), if the training</w:t>
      </w:r>
      <w:r>
        <w:t xml:space="preserve"> </w:t>
      </w:r>
      <w:r>
        <w:t xml:space="preserve">data contain the composition; and</w:t>
      </w:r>
      <w:r>
        <w:t xml:space="preserve"> </w:t>
      </w:r>
      <w:r>
        <w:rPr>
          <w:i/>
          <w:iCs/>
        </w:rPr>
        <w:t xml:space="preserve">cluster level</w:t>
      </w:r>
      <w:r>
        <w:t xml:space="preserve">, the mean over the training rows of the same chemistry cluster at that bin, so that a dopant level absent from the training data is still compared with held-out</w:t>
      </w:r>
      <w:r>
        <w:t xml:space="preserve"> </w:t>
      </w:r>
      <w:r>
        <w:t xml:space="preserve">predictions of its cluster. Where a level has no row the value is reported as having no out-of-fold prediction.</w:t>
      </w:r>
      <w:r>
        <w:t xml:space="preserve"> </w:t>
      </w:r>
      <w:r>
        <w:rPr>
          <w:i/>
          <w:iCs/>
        </w:rPr>
        <w:t xml:space="preserve">σ</w:t>
      </w:r>
      <w:r>
        <w:t xml:space="preserve"> </w:t>
      </w:r>
      <w:r>
        <w:t xml:space="preserve">and</w:t>
      </w:r>
      <w:r>
        <w:t xml:space="preserve"> </w:t>
      </w:r>
      <w:r>
        <w:rPr>
          <w:i/>
          <w:iCs/>
        </w:rPr>
        <w:t xml:space="preserve">κ</w:t>
      </w:r>
      <w:r>
        <w:t xml:space="preserve"> </w:t>
      </w:r>
      <w:r>
        <w:t xml:space="preserve">are predicted in log</w:t>
      </w:r>
      <w:r>
        <w:rPr>
          <w:vertAlign w:val="subscript"/>
        </w:rPr>
        <w:t xml:space="preserve">10</w:t>
      </w:r>
      <w:r>
        <w:t xml:space="preserve"> </w:t>
      </w:r>
      <w:r>
        <w:t xml:space="preserve">and compared in log</w:t>
      </w:r>
      <w:r>
        <w:rPr>
          <w:vertAlign w:val="subscript"/>
        </w:rPr>
        <w:t xml:space="preserve">10</w:t>
      </w:r>
      <w:r>
        <w:t xml:space="preserve"> </w:t>
      </w:r>
      <w:r>
        <w:t xml:space="preserve">and in linear units (back-transformed</w:t>
      </w:r>
      <w:r>
        <w:t xml:space="preserve"> </w:t>
      </w:r>
      <w:r>
        <w:t xml:space="preserve">without smearing).</w:t>
      </w:r>
    </w:p>
    <w:p>
      <w:pPr>
        <w:pStyle w:val="BodyText"/>
      </w:pPr>
      <w:r>
        <w:rPr>
          <w:b/>
          <w:bCs/>
        </w:rPr>
        <w:t xml:space="preserve">Aggregation and error.</w:t>
      </w:r>
      <w:r>
        <w:t xml:space="preserve"> </w:t>
      </w:r>
      <w:r>
        <w:t xml:space="preserve">Values of one paper, composition, sample and property in the same</w:t>
      </w:r>
      <w:r>
        <w:t xml:space="preserve"> </w:t>
      </w:r>
      <w:r>
        <w:t xml:space="preserve">25</w:t>
      </w:r>
      <w:r>
        <w:t xml:space="preserve"> </w:t>
      </w:r>
      <w:r>
        <w:t xml:space="preserve">K bin are averaged into one value before the comparison (</w:t>
      </w:r>
      <w:r>
        <w:rPr>
          <w:i/>
          <w:iCs/>
        </w:rPr>
        <w:t xml:space="preserve">n</w:t>
      </w:r>
      <w:r>
        <w:t xml:space="preserve"> </w:t>
      </w:r>
      <w:r>
        <w:t xml:space="preserve">and the identifiers are kept). The doped SrTiO</w:t>
      </w:r>
      <w:r>
        <w:rPr>
          <w:vertAlign w:val="subscript"/>
        </w:rPr>
        <w:t xml:space="preserve">3</w:t>
      </w:r>
      <w:r>
        <w:t xml:space="preserve"> </w:t>
      </w:r>
      <w:r>
        <w:t xml:space="preserve">crystals of</w:t>
      </w:r>
      <w:r>
        <w:t xml:space="preserve"> </w:t>
      </w:r>
      <w:r>
        <w:t xml:space="preserve">Ohta et al. have dopant levels below</w:t>
      </w:r>
      <w:r>
        <w:t xml:space="preserve"> </w:t>
      </w:r>
      <w:r>
        <w:t xml:space="preserve">5</w:t>
      </w:r>
      <w:r>
        <w:t xml:space="preserve"> </w:t>
      </w:r>
      <w:r>
        <w:t xml:space="preserve">at% given only as carrier concentrations, so each is compared at the cluster level only, as SrTiO</w:t>
      </w:r>
      <w:r>
        <w:rPr>
          <w:vertAlign w:val="subscript"/>
        </w:rPr>
        <w:t xml:space="preserve">3</w:t>
      </w:r>
      <w:r>
        <w:t xml:space="preserve">, and the four samples are never averaged together. The error is</w:t>
      </w:r>
      <w:r>
        <w:t xml:space="preserve"> </w:t>
      </w:r>
      <w:r>
        <w:t xml:space="preserve">(prediction - literature)/|literature| and, for</w:t>
      </w:r>
      <w:r>
        <w:t xml:space="preserve"> </w:t>
      </w:r>
      <w:r>
        <w:rPr>
          <w:i/>
          <w:iCs/>
        </w:rPr>
        <w:t xml:space="preserve">σ</w:t>
      </w:r>
      <w:r>
        <w:t xml:space="preserve"> </w:t>
      </w:r>
      <w:r>
        <w:t xml:space="preserve">and</w:t>
      </w:r>
      <w:r>
        <w:t xml:space="preserve"> </w:t>
      </w:r>
      <w:r>
        <w:rPr>
          <w:i/>
          <w:iCs/>
        </w:rPr>
        <w:t xml:space="preserve">κ</w:t>
      </w:r>
      <w:r>
        <w:t xml:space="preserve">, the log</w:t>
      </w:r>
      <w:r>
        <w:rPr>
          <w:vertAlign w:val="subscript"/>
        </w:rPr>
        <w:t xml:space="preserve">10</w:t>
      </w:r>
      <w:r>
        <w:t xml:space="preserve"> </w:t>
      </w:r>
      <w:r>
        <w:t xml:space="preserve">ratio, set beside the relative standard uncertainty of the round-robin measurements of Alleno et al. (Section 3.1.1; S,</w:t>
      </w:r>
      <w:r>
        <w:t xml:space="preserve"> </w:t>
      </w:r>
      <w:r>
        <w:rPr>
          <w:i/>
          <w:iCs/>
        </w:rPr>
        <w:t xml:space="preserve">σ</w:t>
      </w:r>
      <w:r>
        <w:t xml:space="preserve">,</w:t>
      </w:r>
      <w:r>
        <w:t xml:space="preserve"> </w:t>
      </w:r>
      <w:r>
        <w:rPr>
          <w:i/>
          <w:iCs/>
        </w:rPr>
        <w:t xml:space="preserve">κ</w:t>
      </w:r>
      <w:r>
        <w:t xml:space="preserve">,</w:t>
      </w:r>
      <w:r>
        <w:t xml:space="preserve"> </w:t>
      </w:r>
      <w:r>
        <w:rPr>
          <w:i/>
          <w:iCs/>
        </w:rPr>
        <w:t xml:space="preserve">zT</w:t>
      </w:r>
      <w:r>
        <w:t xml:space="preserve">), the only</w:t>
      </w:r>
      <w:r>
        <w:t xml:space="preserve"> </w:t>
      </w:r>
      <w:r>
        <w:t xml:space="preserve">threshold used: a prediction is inside the band if its relative error does not exceed it.</w:t>
      </w:r>
    </w:p>
    <w:p>
      <w:pPr>
        <w:pStyle w:val="BodyText"/>
      </w:pPr>
      <w:r>
        <w:rPr>
          <w:b/>
          <w:bCs/>
        </w:rPr>
        <w:t xml:space="preserve">Reporting.</w:t>
      </w:r>
      <w:r>
        <w:t xml:space="preserve"> </w:t>
      </w:r>
      <w:r>
        <w:t xml:space="preserve">Results are reported per paper. Any overall summary weights papers equally: the fraction inside the band and the median absolute relative error are computed within each paper and then summarised by the</w:t>
      </w:r>
      <w:r>
        <w:t xml:space="preserve"> </w:t>
      </w:r>
      <w:r>
        <w:t xml:space="preserve">median over papers. A paper whose DOI is among the DOIs of the training data is a training-source paper: it is reported separately, is never pooled with the independent papers, and for it the comparison partly restates the</w:t>
      </w:r>
      <w:r>
        <w:t xml:space="preserve"> </w:t>
      </w:r>
      <w:r>
        <w:t xml:space="preserve">cross-validation error. By this rule</w:t>
      </w:r>
      <w:r>
        <w:t xml:space="preserve"> </w:t>
      </w:r>
      <w:r>
        <w:t xml:space="preserve">4</w:t>
      </w:r>
      <w:r>
        <w:t xml:space="preserve"> </w:t>
      </w:r>
      <w:r>
        <w:t xml:space="preserve">of the</w:t>
      </w:r>
      <w:r>
        <w:t xml:space="preserve"> </w:t>
      </w:r>
      <w:r>
        <w:t xml:space="preserve">7</w:t>
      </w:r>
      <w:r>
        <w:t xml:space="preserve"> </w:t>
      </w:r>
      <w:r>
        <w:t xml:space="preserve">papers are training sources, with this many rows of the training table whose DOI is theirs: Flahaut et al. </w:t>
      </w:r>
      <w:r>
        <w:t xml:space="preserve">102</w:t>
      </w:r>
      <w:r>
        <w:t xml:space="preserve">,</w:t>
      </w:r>
      <w:r>
        <w:t xml:space="preserve"> </w:t>
      </w:r>
      <w:r>
        <w:t xml:space="preserve">Ohta et al. </w:t>
      </w:r>
      <w:r>
        <w:t xml:space="preserve">3</w:t>
      </w:r>
      <w:r>
        <w:t xml:space="preserve">, Rajasekaran et al. </w:t>
      </w:r>
      <w:r>
        <w:t xml:space="preserve">2</w:t>
      </w:r>
      <w:r>
        <w:t xml:space="preserve"> </w:t>
      </w:r>
      <w:r>
        <w:t xml:space="preserve">and Shibasaki et al. </w:t>
      </w:r>
      <w:r>
        <w:t xml:space="preserve">2</w:t>
      </w:r>
      <w:r>
        <w:t xml:space="preserve">; the other</w:t>
      </w:r>
      <w:r>
        <w:t xml:space="preserve"> </w:t>
      </w:r>
      <w:r>
        <w:t xml:space="preserve">3</w:t>
      </w:r>
      <w:r>
        <w:t xml:space="preserve"> </w:t>
      </w:r>
      <w:r>
        <w:t xml:space="preserve">(Ohtaki et al., Sebastia-Luna et al., Singh and Pandey) are independent. For every value the table states whether its DOI is among the training DOIs, whether its composition and cluster are in the training data, and whether the training data hold a row with the same DOI and</w:t>
      </w:r>
      <w:r>
        <w:t xml:space="preserve"> </w:t>
      </w:r>
      <w:r>
        <w:t xml:space="preserve">composition (the value is then probably a training label, although its cluster was held out).</w:t>
      </w:r>
    </w:p>
    <w:p>
      <w:pPr>
        <w:pStyle w:val="BodyText"/>
      </w:pPr>
      <w:r>
        <w:rPr>
          <w:b/>
          <w:bCs/>
        </w:rPr>
        <w:t xml:space="preserve">Pre-registration and its amendments.</w:t>
      </w:r>
      <w:r>
        <w:t xml:space="preserve"> </w:t>
      </w:r>
      <w:r>
        <w:t xml:space="preserve">The comparison script was run only after the values file was filled and committed. The rules above are the pre-registration plus</w:t>
      </w:r>
      <w:r>
        <w:t xml:space="preserve"> </w:t>
      </w:r>
      <w:r>
        <w:t xml:space="preserve">17</w:t>
      </w:r>
      <w:r>
        <w:t xml:space="preserve"> </w:t>
      </w:r>
      <w:r>
        <w:t xml:space="preserve">dated amendments</w:t>
      </w:r>
      <w:r>
        <w:t xml:space="preserve"> </w:t>
      </w:r>
      <w:r>
        <w:t xml:space="preserve">(</w:t>
      </w:r>
      <w:r>
        <w:rPr>
          <w:rStyle w:val="VerbatimChar"/>
        </w:rPr>
        <w:t xml:space="preserve">docs/decisions.md</w:t>
      </w:r>
      <w:r>
        <w:t xml:space="preserve">; the full list is Supplementary Table S1), each written before the comparison and with no out-of-fold prediction for these compounds looked at. The thresholds of the legibility gates (amendments 12 and 13) were set after viewing the digitised figures, and amendment 13 applies them to every scanned figure. The symmetry cross-check of the gates was then corrected (amendment 17) after the end markers of Rajasekaran et al., Fig. 10, showed that a joining line biased it, and</w:t>
      </w:r>
      <w:r>
        <w:t xml:space="preserve"> </w:t>
      </w:r>
      <w:r>
        <w:t xml:space="preserve">all scanned figures were extracted again, which restored markers that the biased check had removed. While the last two PDFs were inventoried, some values of their running text and tables came into view; this is disclosed in the amendments. No prediction was involved at any</w:t>
      </w:r>
      <w:r>
        <w:t xml:space="preserve"> </w:t>
      </w:r>
      <w:r>
        <w:t xml:space="preserve">point. Every extraction was run from a committed script on a clean tree, with the SHA256 of each input recorded. The results are in Section 3.4.</w:t>
      </w:r>
    </w:p>
    <w:p>
      <w:pPr>
        <w:pStyle w:val="BodyText"/>
      </w:pPr>
      <w:r>
        <w:t xml:space="preserve">The rules for reading values from the figures and tables of the papers, for assigning temperatures, for the legibility of digitised markers and for the paper-specific cases, and the edge-sensitivity rule, are given in Supplementary Note S3.</w:t>
      </w:r>
    </w:p>
    <w:bookmarkEnd w:id="28"/>
    <w:bookmarkEnd w:id="29"/>
    <w:bookmarkStart w:id="56" w:name="results-and-discussion"/>
    <w:p>
      <w:pPr>
        <w:pStyle w:val="Heading1"/>
      </w:pPr>
      <w:r>
        <w:t xml:space="preserve">3 Results and discussion</w:t>
      </w:r>
    </w:p>
    <w:bookmarkStart w:id="42" w:name="model-performance"/>
    <w:p>
      <w:pPr>
        <w:pStyle w:val="Heading2"/>
      </w:pPr>
      <w:r>
        <w:t xml:space="preserve">3.1 Model performance</w:t>
      </w:r>
    </w:p>
    <w:bookmarkStart w:id="33" w:name="Xd4389dd6b987deb874c7735b7847fee111abeca"/>
    <w:p>
      <w:pPr>
        <w:pStyle w:val="Heading3"/>
      </w:pPr>
      <w:r>
        <w:t xml:space="preserve">3.1.1 Chemistry-cluster cross-validation and validation inflation</w:t>
      </w:r>
    </w:p>
    <w:p>
      <w:pPr>
        <w:pStyle w:val="FirstParagraph"/>
      </w:pPr>
      <w:r>
        <w:t xml:space="preserve">Table 4 presents the chemistry-cluster results. R</w:t>
      </w:r>
      <w:r>
        <w:rPr>
          <w:vertAlign w:val="superscript"/>
        </w:rPr>
        <w:t xml:space="preserve">2</w:t>
      </w:r>
      <w:r>
        <w:t xml:space="preserve"> </w:t>
      </w:r>
      <w:r>
        <w:t xml:space="preserve">was highest for</w:t>
      </w:r>
      <w:r>
        <w:t xml:space="preserve"> </w:t>
      </w:r>
      <w:r>
        <w:rPr>
          <w:i/>
          <w:iCs/>
        </w:rPr>
        <w:t xml:space="preserve">κ</w:t>
      </w:r>
      <w:r>
        <w:t xml:space="preserve"> </w:t>
      </w:r>
      <w:r>
        <w:t xml:space="preserve">(</w:t>
      </w:r>
      <w:r>
        <w:t xml:space="preserve">0.809</w:t>
      </w:r>
      <w:r>
        <w:t xml:space="preserve">), followed by S (</w:t>
      </w:r>
      <w:r>
        <w:t xml:space="preserve">0.753</w:t>
      </w:r>
      <w:r>
        <w:t xml:space="preserve">), zT (</w:t>
      </w:r>
      <w:r>
        <w:t xml:space="preserve">0.746</w:t>
      </w:r>
      <w:r>
        <w:t xml:space="preserve">) and</w:t>
      </w:r>
      <w:r>
        <w:t xml:space="preserve"> </w:t>
      </w:r>
      <w:r>
        <w:rPr>
          <w:i/>
          <w:iCs/>
        </w:rPr>
        <w:t xml:space="preserve">σ</w:t>
      </w:r>
      <w:r>
        <w:t xml:space="preserve"> </w:t>
      </w:r>
      <w:r>
        <w:t xml:space="preserve">(</w:t>
      </w:r>
      <w:r>
        <w:t xml:space="preserve">0.702</w:t>
      </w:r>
      <w:r>
        <w:t xml:space="preserve">). This ordering is consistent with the intrinsic predictability of each property from composition:</w:t>
      </w:r>
      <w:r>
        <w:t xml:space="preserve"> </w:t>
      </w:r>
      <w:r>
        <w:rPr>
          <w:i/>
          <w:iCs/>
        </w:rPr>
        <w:t xml:space="preserve">κ</w:t>
      </w:r>
      <w:r>
        <w:t xml:space="preserve"> </w:t>
      </w:r>
      <w:r>
        <w:t xml:space="preserve">depends on atomic mass, bond strength and structural complexity, all of which have strong compositional proxies, whereas</w:t>
      </w:r>
      <w:r>
        <w:t xml:space="preserve"> </w:t>
      </w:r>
      <w:r>
        <w:rPr>
          <w:i/>
          <w:iCs/>
        </w:rPr>
        <w:t xml:space="preserve">σ</w:t>
      </w:r>
      <w:r>
        <w:t xml:space="preserve"> </w:t>
      </w:r>
      <w:r>
        <w:t xml:space="preserve">depends strongly on carrier concentration, which is set by doping and synthesis conditions rather than by the nominal formula. Fig. 5 shows predicted versus measured values (first repeat): predictions follow the diagonal but are compressed towards the mean, with calibration slopes of</w:t>
      </w:r>
      <w:r>
        <w:t xml:space="preserve"> </w:t>
      </w:r>
      <w:r>
        <w:t xml:space="preserve">0.74</w:t>
      </w:r>
      <w:r>
        <w:t xml:space="preserve"> </w:t>
      </w:r>
      <w:r>
        <w:t xml:space="preserve">(S),</w:t>
      </w:r>
      <w:r>
        <w:t xml:space="preserve"> </w:t>
      </w:r>
      <w:r>
        <w:t xml:space="preserve">0.68</w:t>
      </w:r>
      <w:r>
        <w:t xml:space="preserve"> </w:t>
      </w:r>
      <w:r>
        <w:t xml:space="preserve">(</w:t>
      </w:r>
      <w:r>
        <w:rPr>
          <w:i/>
          <w:iCs/>
        </w:rPr>
        <w:t xml:space="preserve">σ</w:t>
      </w:r>
      <w:r>
        <w:t xml:space="preserve">),</w:t>
      </w:r>
      <w:r>
        <w:t xml:space="preserve"> </w:t>
      </w:r>
      <w:r>
        <w:t xml:space="preserve">0.80</w:t>
      </w:r>
      <w:r>
        <w:t xml:space="preserve"> </w:t>
      </w:r>
      <w:r>
        <w:t xml:space="preserve">(</w:t>
      </w:r>
      <w:r>
        <w:rPr>
          <w:i/>
          <w:iCs/>
        </w:rPr>
        <w:t xml:space="preserve">κ</w:t>
      </w:r>
      <w:r>
        <w:t xml:space="preserve">) and</w:t>
      </w:r>
      <w:r>
        <w:t xml:space="preserve"> </w:t>
      </w:r>
      <w:r>
        <w:t xml:space="preserve">0.73</w:t>
      </w:r>
      <w:r>
        <w:t xml:space="preserve"> </w:t>
      </w:r>
      <w:r>
        <w:t xml:space="preserve">(zT), and the top</w:t>
      </w:r>
      <w:r>
        <w:t xml:space="preserve"> </w:t>
      </w:r>
      <w:r>
        <w:t xml:space="preserve">5</w:t>
      </w:r>
      <w:r>
        <w:t xml:space="preserve">% of zT rows (mean measured zT</w:t>
      </w:r>
      <w:r>
        <w:t xml:space="preserve"> </w:t>
      </w:r>
      <w:r>
        <w:t xml:space="preserve">1.48</w:t>
      </w:r>
      <w:r>
        <w:t xml:space="preserve">) are predicted at</w:t>
      </w:r>
      <w:r>
        <w:t xml:space="preserve"> </w:t>
      </w:r>
      <w:r>
        <w:t xml:space="preserve">1.15</w:t>
      </w:r>
      <w:r>
        <w:t xml:space="preserve"> </w:t>
      </w:r>
      <w:r>
        <w:t xml:space="preserve">on average, consistent with high-performance compositions being rare in the training data.</w:t>
      </w:r>
    </w:p>
    <w:p>
      <w:pPr>
        <w:pStyle w:val="BodyText"/>
      </w:pPr>
      <w:r>
        <w:t xml:space="preserve">The label-noise ceiling is the R</w:t>
      </w:r>
      <w:r>
        <w:rPr>
          <w:vertAlign w:val="superscript"/>
        </w:rPr>
        <w:t xml:space="preserve">2</w:t>
      </w:r>
      <w:r>
        <w:t xml:space="preserve"> </w:t>
      </w:r>
      <w:r>
        <w:t xml:space="preserve">that a model without any error would reach given the noise of the labels: it combines the measurement noise of a round-robin test on one skutterudite</w:t>
      </w:r>
      <w:r>
        <w:rPr>
          <w:vertAlign w:val="superscript"/>
        </w:rPr>
        <w:t xml:space="preserve">53</w:t>
      </w:r>
      <w:r>
        <w:t xml:space="preserve"> </w:t>
      </w:r>
      <w:r>
        <w:t xml:space="preserve">with the digitisation noise estimated from composition-matched entries of teMatDb and Starrydata2. It is</w:t>
      </w:r>
      <w:r>
        <w:t xml:space="preserve"> </w:t>
      </w:r>
      <w:r>
        <w:t xml:space="preserve">0.96</w:t>
      </w:r>
      <w:r>
        <w:t xml:space="preserve">–</w:t>
      </w:r>
      <w:r>
        <w:t xml:space="preserve">0.98</w:t>
      </w:r>
      <w:r>
        <w:t xml:space="preserve"> </w:t>
      </w:r>
      <w:r>
        <w:t xml:space="preserve">for S,</w:t>
      </w:r>
      <w:r>
        <w:t xml:space="preserve"> </w:t>
      </w:r>
      <w:r>
        <w:t xml:space="preserve">0.98</w:t>
      </w:r>
      <w:r>
        <w:t xml:space="preserve">–</w:t>
      </w:r>
      <w:r>
        <w:t xml:space="preserve">0.99</w:t>
      </w:r>
      <w:r>
        <w:t xml:space="preserve"> </w:t>
      </w:r>
      <w:r>
        <w:t xml:space="preserve">for</w:t>
      </w:r>
      <w:r>
        <w:t xml:space="preserve"> </w:t>
      </w:r>
      <w:r>
        <w:rPr>
          <w:i/>
          <w:iCs/>
        </w:rPr>
        <w:t xml:space="preserve">σ</w:t>
      </w:r>
      <w:r>
        <w:t xml:space="preserve">,</w:t>
      </w:r>
      <w:r>
        <w:t xml:space="preserve"> </w:t>
      </w:r>
      <w:r>
        <w:t xml:space="preserve">0.96</w:t>
      </w:r>
      <w:r>
        <w:t xml:space="preserve">–</w:t>
      </w:r>
      <w:r>
        <w:t xml:space="preserve">0.97</w:t>
      </w:r>
      <w:r>
        <w:t xml:space="preserve"> </w:t>
      </w:r>
      <w:r>
        <w:t xml:space="preserve">for</w:t>
      </w:r>
      <w:r>
        <w:t xml:space="preserve"> </w:t>
      </w:r>
      <w:r>
        <w:rPr>
          <w:i/>
          <w:iCs/>
        </w:rPr>
        <w:t xml:space="preserve">κ</w:t>
      </w:r>
      <w:r>
        <w:t xml:space="preserve"> </w:t>
      </w:r>
      <w:r>
        <w:t xml:space="preserve">and</w:t>
      </w:r>
      <w:r>
        <w:t xml:space="preserve"> </w:t>
      </w:r>
      <w:r>
        <w:t xml:space="preserve">0.96</w:t>
      </w:r>
      <w:r>
        <w:t xml:space="preserve">–</w:t>
      </w:r>
      <w:r>
        <w:t xml:space="preserve">0.97</w:t>
      </w:r>
      <w:r>
        <w:t xml:space="preserve"> </w:t>
      </w:r>
      <w:r>
        <w:t xml:space="preserve">for zT (each range spans the lower value and the value corrected for both labels being noisy). Two qualifications apply. First, the digitisation term was measured on</w:t>
      </w:r>
      <w:r>
        <w:t xml:space="preserve"> </w:t>
      </w:r>
      <w:r>
        <w:t xml:space="preserve">96</w:t>
      </w:r>
      <w:r>
        <w:t xml:space="preserve"> </w:t>
      </w:r>
      <w:r>
        <w:t xml:space="preserve">composition-matched samples,</w:t>
      </w:r>
      <w:r>
        <w:t xml:space="preserve"> </w:t>
      </w:r>
      <w:r>
        <w:t xml:space="preserve">80</w:t>
      </w:r>
      <w:r>
        <w:t xml:space="preserve"> </w:t>
      </w:r>
      <w:r>
        <w:t xml:space="preserve">to</w:t>
      </w:r>
      <w:r>
        <w:t xml:space="preserve"> </w:t>
      </w:r>
      <w:r>
        <w:t xml:space="preserve">87</w:t>
      </w:r>
      <w:r>
        <w:t xml:space="preserve"> </w:t>
      </w:r>
      <w:r>
        <w:t xml:space="preserve">of which enter each property’s agreement figure, and two properties of that subset bias it in opposite directions: its target variance is narrower than that of the full database, which overstates the noise fraction and lowers the ceiling, while its simpler formulas are probably easier to digitise accurately, which understates the noise and raises the ceiling; the two effects cannot be netted. The term also differs by up to</w:t>
      </w:r>
      <w:r>
        <w:t xml:space="preserve"> </w:t>
      </w:r>
      <w:r>
        <w:t xml:space="preserve">0.024</w:t>
      </w:r>
      <w:r>
        <w:t xml:space="preserve"> </w:t>
      </w:r>
      <w:r>
        <w:t xml:space="preserve">in R</w:t>
      </w:r>
      <w:r>
        <w:rPr>
          <w:vertAlign w:val="superscript"/>
        </w:rPr>
        <w:t xml:space="preserve">2</w:t>
      </w:r>
      <w:r>
        <w:t xml:space="preserve"> </w:t>
      </w:r>
      <w:r>
        <w:t xml:space="preserve">between this snapshot and an earlier pull of the same source database, so the ceiling is quoted to two decimals at most. Second, both components read the same printed curve, so neither captures synthesis-to-synthesis variation or processing differences between nominally identical specimens. For a composition-based model that variation is also label noise, so the true ceiling for such models lies below the one reported here, and the gap between it and the chemistry-cluster R</w:t>
      </w:r>
      <w:r>
        <w:rPr>
          <w:vertAlign w:val="superscript"/>
        </w:rPr>
        <w:t xml:space="preserve">2</w:t>
      </w:r>
      <w:r>
        <w:t xml:space="preserve">,</w:t>
      </w:r>
      <w:r>
        <w:t xml:space="preserve"> </w:t>
      </w:r>
      <w:r>
        <w:t xml:space="preserve">0.15</w:t>
      </w:r>
      <w:r>
        <w:t xml:space="preserve"> </w:t>
      </w:r>
      <w:r>
        <w:t xml:space="preserve">to</w:t>
      </w:r>
      <w:r>
        <w:t xml:space="preserve"> </w:t>
      </w:r>
      <w:r>
        <w:t xml:space="preserve">0.29</w:t>
      </w:r>
      <w:r>
        <w:t xml:space="preserve">, is an upper bound on what a composition representation could recover.</w:t>
      </w:r>
    </w:p>
    <w:p>
      <w:pPr>
        <w:pStyle w:val="BodyText"/>
      </w:pPr>
      <w:r>
        <w:rPr>
          <w:b/>
          <w:bCs/>
        </w:rPr>
        <w:t xml:space="preserve">Table 4:</w:t>
      </w:r>
      <w:r>
        <w:t xml:space="preserve"> </w:t>
      </w:r>
      <w:r>
        <w:t xml:space="preserve">Chemistry-cluster grouped cross-validation results (5 repeats of 5-fold CV; R</w:t>
      </w:r>
      <w:r>
        <w:rPr>
          <w:vertAlign w:val="superscript"/>
        </w:rPr>
        <w:t xml:space="preserve">2</w:t>
      </w:r>
      <w:r>
        <w:t xml:space="preserve"> </w:t>
      </w:r>
      <w:r>
        <w:t xml:space="preserve">is the mean ± standard deviation across repeats of the per-repeat pooled value, and MAE and RMSE are the means of the per-repeat pooled values; the fold-level SD is over all folds). MAE and RMSE are in</w:t>
      </w:r>
      <w:r>
        <w:t xml:space="preserve"> </w:t>
      </w:r>
      <w:r>
        <w:rPr>
          <w:i/>
          <w:iCs/>
        </w:rPr>
        <w:t xml:space="preserve">µ</w:t>
      </w:r>
      <w:r>
        <w:t xml:space="preserve">V K</w:t>
      </w:r>
      <w:r>
        <w:rPr>
          <w:vertAlign w:val="superscript"/>
        </w:rPr>
        <w:t xml:space="preserve">−1</w:t>
      </w:r>
      <w:r>
        <w:t xml:space="preserve"> </w:t>
      </w:r>
      <w:r>
        <w:t xml:space="preserve">for S and in log</w:t>
      </w:r>
      <w:r>
        <w:rPr>
          <w:vertAlign w:val="subscript"/>
        </w:rPr>
        <w:t xml:space="preserve">10</w:t>
      </w:r>
      <w:r>
        <w:t xml:space="preserve"> </w:t>
      </w:r>
      <w:r>
        <w:t xml:space="preserve">units for</w:t>
      </w:r>
      <w:r>
        <w:t xml:space="preserve"> </w:t>
      </w:r>
      <w:r>
        <w:rPr>
          <w:i/>
          <w:iCs/>
        </w:rPr>
        <w:t xml:space="preserve">σ</w:t>
      </w:r>
      <w:r>
        <w:t xml:space="preserve"> </w:t>
      </w:r>
      <w:r>
        <w:t xml:space="preserve">and</w:t>
      </w:r>
      <w:r>
        <w:t xml:space="preserve"> </w:t>
      </w:r>
      <w:r>
        <w:rPr>
          <w:i/>
          <w:iCs/>
        </w:rPr>
        <w:t xml:space="preserve">κ</w:t>
      </w:r>
      <w:r>
        <w:t xml:space="preserve">.</w:t>
      </w:r>
    </w:p>
    <w:tbl>
      <w:tblPr>
        <w:tblStyle w:val="Table"/>
        <w:tblW w:type="pct" w:w="5000"/>
        <w:tblLayout w:type="fixed"/>
        <w:tblLook w:firstRow="1" w:lastRow="0" w:firstColumn="0" w:lastColumn="0" w:noHBand="0" w:noVBand="0" w:val="0020"/>
      </w:tblPr>
      <w:tblGrid>
        <w:gridCol w:w="1377"/>
        <w:gridCol w:w="1492"/>
        <w:gridCol w:w="1147"/>
        <w:gridCol w:w="803"/>
        <w:gridCol w:w="803"/>
        <w:gridCol w:w="1147"/>
        <w:gridCol w:w="1147"/>
      </w:tblGrid>
      <w:tr>
        <w:trPr>
          <w:tblHeader w:val="on"/>
        </w:trPr>
        <w:tc>
          <w:tcPr/>
          <w:p>
            <w:pPr>
              <w:pStyle w:val="Compact"/>
            </w:pPr>
            <w:r>
              <w:rPr>
                <w:b/>
                <w:bCs/>
              </w:rPr>
              <w:t xml:space="preserve">Target</w:t>
            </w:r>
          </w:p>
        </w:tc>
        <w:tc>
          <w:tcPr/>
          <w:p>
            <w:pPr>
              <w:pStyle w:val="Compact"/>
            </w:pPr>
            <w:r>
              <w:rPr>
                <w:b/>
                <w:bCs/>
              </w:rPr>
              <w:t xml:space="preserve">R</w:t>
            </w:r>
            <w:r>
              <w:rPr>
                <w:b/>
                <w:bCs/>
                <w:vertAlign w:val="superscript"/>
              </w:rPr>
              <w:t xml:space="preserve">2</w:t>
            </w:r>
          </w:p>
        </w:tc>
        <w:tc>
          <w:tcPr/>
          <w:p>
            <w:pPr>
              <w:pStyle w:val="Compact"/>
            </w:pPr>
            <w:r>
              <w:rPr>
                <w:b/>
                <w:bCs/>
              </w:rPr>
              <w:t xml:space="preserve">Fold-level SD</w:t>
            </w:r>
          </w:p>
        </w:tc>
        <w:tc>
          <w:tcPr/>
          <w:p>
            <w:pPr>
              <w:pStyle w:val="Compact"/>
            </w:pPr>
            <w:r>
              <w:rPr>
                <w:b/>
                <w:bCs/>
              </w:rPr>
              <w:t xml:space="preserve">MAE</w:t>
            </w:r>
          </w:p>
        </w:tc>
        <w:tc>
          <w:tcPr/>
          <w:p>
            <w:pPr>
              <w:pStyle w:val="Compact"/>
            </w:pPr>
            <w:r>
              <w:rPr>
                <w:b/>
                <w:bCs/>
              </w:rPr>
              <w:t xml:space="preserve">RMSE</w:t>
            </w:r>
          </w:p>
        </w:tc>
        <w:tc>
          <w:tcPr/>
          <w:p>
            <w:pPr>
              <w:pStyle w:val="Compact"/>
            </w:pPr>
            <w:r>
              <w:rPr>
                <w:b/>
                <w:bCs/>
              </w:rPr>
              <w:t xml:space="preserve">Rows</w:t>
            </w:r>
          </w:p>
        </w:tc>
        <w:tc>
          <w:tcPr/>
          <w:p>
            <w:pPr>
              <w:pStyle w:val="Compact"/>
            </w:pPr>
            <w:r>
              <w:rPr>
                <w:b/>
                <w:bCs/>
              </w:rPr>
              <w:t xml:space="preserve">Features</w:t>
            </w:r>
          </w:p>
        </w:tc>
      </w:tr>
      <w:tr>
        <w:tc>
          <w:tcPr/>
          <w:p>
            <w:pPr>
              <w:pStyle w:val="Compact"/>
            </w:pPr>
            <w:r>
              <w:t xml:space="preserve">S</w:t>
            </w:r>
          </w:p>
        </w:tc>
        <w:tc>
          <w:tcPr/>
          <w:p>
            <w:pPr>
              <w:pStyle w:val="Compact"/>
            </w:pPr>
            <w:r>
              <w:t xml:space="preserve">0.753 ± 0.005</w:t>
            </w:r>
          </w:p>
        </w:tc>
        <w:tc>
          <w:tcPr/>
          <w:p>
            <w:pPr>
              <w:pStyle w:val="Compact"/>
            </w:pPr>
            <w:r>
              <w:t xml:space="preserve">0.032</w:t>
            </w:r>
          </w:p>
        </w:tc>
        <w:tc>
          <w:tcPr/>
          <w:p>
            <w:pPr>
              <w:pStyle w:val="Compact"/>
            </w:pPr>
            <w:r>
              <w:t xml:space="preserve">51.5</w:t>
            </w:r>
          </w:p>
        </w:tc>
        <w:tc>
          <w:tcPr/>
          <w:p>
            <w:pPr>
              <w:pStyle w:val="Compact"/>
            </w:pPr>
            <w:r>
              <w:t xml:space="preserve">87.9</w:t>
            </w:r>
          </w:p>
        </w:tc>
        <w:tc>
          <w:tcPr/>
          <w:p>
            <w:pPr>
              <w:pStyle w:val="Compact"/>
            </w:pPr>
            <w:r>
              <w:t xml:space="preserve">185,064</w:t>
            </w:r>
          </w:p>
        </w:tc>
        <w:tc>
          <w:tcPr/>
          <w:p>
            <w:pPr>
              <w:pStyle w:val="Compact"/>
            </w:pPr>
            <w:r>
              <w:t xml:space="preserve">397</w:t>
            </w:r>
          </w:p>
        </w:tc>
      </w:tr>
      <w:tr>
        <w:tc>
          <w:tcPr/>
          <w:p>
            <w:pPr>
              <w:pStyle w:val="Compact"/>
            </w:pPr>
            <w:r>
              <w:t xml:space="preserve">log</w:t>
            </w:r>
            <w:r>
              <w:rPr>
                <w:vertAlign w:val="subscript"/>
              </w:rPr>
              <w:t xml:space="preserve">10</w:t>
            </w:r>
            <w:r>
              <w:rPr>
                <w:i/>
                <w:iCs/>
              </w:rPr>
              <w:t xml:space="preserve">σ</w:t>
            </w:r>
          </w:p>
        </w:tc>
        <w:tc>
          <w:tcPr/>
          <w:p>
            <w:pPr>
              <w:pStyle w:val="Compact"/>
            </w:pPr>
            <w:r>
              <w:t xml:space="preserve">0.702 ± 0.002</w:t>
            </w:r>
          </w:p>
        </w:tc>
        <w:tc>
          <w:tcPr/>
          <w:p>
            <w:pPr>
              <w:pStyle w:val="Compact"/>
            </w:pPr>
            <w:r>
              <w:t xml:space="preserve">0.029</w:t>
            </w:r>
          </w:p>
        </w:tc>
        <w:tc>
          <w:tcPr/>
          <w:p>
            <w:pPr>
              <w:pStyle w:val="Compact"/>
            </w:pPr>
            <w:r>
              <w:t xml:space="preserve">0.230</w:t>
            </w:r>
          </w:p>
        </w:tc>
        <w:tc>
          <w:tcPr/>
          <w:p>
            <w:pPr>
              <w:pStyle w:val="Compact"/>
            </w:pPr>
            <w:r>
              <w:t xml:space="preserve">0.334</w:t>
            </w:r>
          </w:p>
        </w:tc>
        <w:tc>
          <w:tcPr/>
          <w:p>
            <w:pPr>
              <w:pStyle w:val="Compact"/>
            </w:pPr>
            <w:r>
              <w:t xml:space="preserve">182,755</w:t>
            </w:r>
          </w:p>
        </w:tc>
        <w:tc>
          <w:tcPr/>
          <w:p>
            <w:pPr>
              <w:pStyle w:val="Compact"/>
            </w:pPr>
            <w:r>
              <w:t xml:space="preserve">397</w:t>
            </w:r>
          </w:p>
        </w:tc>
      </w:tr>
      <w:tr>
        <w:tc>
          <w:tcPr/>
          <w:p>
            <w:pPr>
              <w:pStyle w:val="Compact"/>
            </w:pPr>
            <w:r>
              <w:t xml:space="preserve">log</w:t>
            </w:r>
            <w:r>
              <w:rPr>
                <w:vertAlign w:val="subscript"/>
              </w:rPr>
              <w:t xml:space="preserve">10</w:t>
            </w:r>
            <w:r>
              <w:rPr>
                <w:i/>
                <w:iCs/>
              </w:rPr>
              <w:t xml:space="preserve">κ</w:t>
            </w:r>
          </w:p>
        </w:tc>
        <w:tc>
          <w:tcPr/>
          <w:p>
            <w:pPr>
              <w:pStyle w:val="Compact"/>
            </w:pPr>
            <w:r>
              <w:t xml:space="preserve">0.809 ± 0.002</w:t>
            </w:r>
          </w:p>
        </w:tc>
        <w:tc>
          <w:tcPr/>
          <w:p>
            <w:pPr>
              <w:pStyle w:val="Compact"/>
            </w:pPr>
            <w:r>
              <w:t xml:space="preserve">0.017</w:t>
            </w:r>
          </w:p>
        </w:tc>
        <w:tc>
          <w:tcPr/>
          <w:p>
            <w:pPr>
              <w:pStyle w:val="Compact"/>
            </w:pPr>
            <w:r>
              <w:t xml:space="preserve">0.097</w:t>
            </w:r>
          </w:p>
        </w:tc>
        <w:tc>
          <w:tcPr/>
          <w:p>
            <w:pPr>
              <w:pStyle w:val="Compact"/>
            </w:pPr>
            <w:r>
              <w:t xml:space="preserve">0.140</w:t>
            </w:r>
          </w:p>
        </w:tc>
        <w:tc>
          <w:tcPr/>
          <w:p>
            <w:pPr>
              <w:pStyle w:val="Compact"/>
            </w:pPr>
            <w:r>
              <w:t xml:space="preserve">121,110</w:t>
            </w:r>
          </w:p>
        </w:tc>
        <w:tc>
          <w:tcPr/>
          <w:p>
            <w:pPr>
              <w:pStyle w:val="Compact"/>
            </w:pPr>
            <w:r>
              <w:t xml:space="preserve">397</w:t>
            </w:r>
          </w:p>
        </w:tc>
      </w:tr>
      <w:tr>
        <w:tc>
          <w:tcPr/>
          <w:p>
            <w:pPr>
              <w:pStyle w:val="Compact"/>
            </w:pPr>
            <w:r>
              <w:t xml:space="preserve">zT</w:t>
            </w:r>
          </w:p>
        </w:tc>
        <w:tc>
          <w:tcPr/>
          <w:p>
            <w:pPr>
              <w:pStyle w:val="Compact"/>
            </w:pPr>
            <w:r>
              <w:t xml:space="preserve">0.746 ± 0.005</w:t>
            </w:r>
          </w:p>
        </w:tc>
        <w:tc>
          <w:tcPr/>
          <w:p>
            <w:pPr>
              <w:pStyle w:val="Compact"/>
            </w:pPr>
            <w:r>
              <w:t xml:space="preserve">0.042</w:t>
            </w:r>
          </w:p>
        </w:tc>
        <w:tc>
          <w:tcPr/>
          <w:p>
            <w:pPr>
              <w:pStyle w:val="Compact"/>
            </w:pPr>
            <w:r>
              <w:t xml:space="preserve">0.126</w:t>
            </w:r>
          </w:p>
        </w:tc>
        <w:tc>
          <w:tcPr/>
          <w:p>
            <w:pPr>
              <w:pStyle w:val="Compact"/>
            </w:pPr>
            <w:r>
              <w:t xml:space="preserve">0.196</w:t>
            </w:r>
          </w:p>
        </w:tc>
        <w:tc>
          <w:tcPr/>
          <w:p>
            <w:pPr>
              <w:pStyle w:val="Compact"/>
            </w:pPr>
            <w:r>
              <w:t xml:space="preserve">129,419</w:t>
            </w:r>
          </w:p>
        </w:tc>
        <w:tc>
          <w:tcPr/>
          <w:p>
            <w:pPr>
              <w:pStyle w:val="Compact"/>
            </w:pPr>
            <w:r>
              <w:t xml:space="preserve">397</w:t>
            </w:r>
          </w:p>
        </w:tc>
      </w:tr>
    </w:tbl>
    <w:p>
      <w:pPr>
        <w:pStyle w:val="CaptionedFigure"/>
      </w:pPr>
      <w:r>
        <w:drawing>
          <wp:inline>
            <wp:extent cx="5334000" cy="4334404"/>
            <wp:effectExtent b="0" l="0" r="0" t="0"/>
            <wp:docPr descr="Figure 5" title="" id="31" name="Picture"/>
            <a:graphic>
              <a:graphicData uri="http://schemas.openxmlformats.org/drawingml/2006/picture">
                <pic:pic>
                  <pic:nvPicPr>
                    <pic:cNvPr descr="../figures/fig7_predicted_vs_measured.png" id="32" name="Picture"/>
                    <pic:cNvPicPr>
                      <a:picLocks noChangeArrowheads="1" noChangeAspect="1"/>
                    </pic:cNvPicPr>
                  </pic:nvPicPr>
                  <pic:blipFill>
                    <a:blip r:embed="rId30"/>
                    <a:stretch>
                      <a:fillRect/>
                    </a:stretch>
                  </pic:blipFill>
                  <pic:spPr bwMode="auto">
                    <a:xfrm>
                      <a:off x="0" y="0"/>
                      <a:ext cx="5334000" cy="4334404"/>
                    </a:xfrm>
                    <a:prstGeom prst="rect">
                      <a:avLst/>
                    </a:prstGeom>
                    <a:noFill/>
                    <a:ln w="9525">
                      <a:noFill/>
                      <a:headEnd/>
                      <a:tailEnd/>
                    </a:ln>
                  </pic:spPr>
                </pic:pic>
              </a:graphicData>
            </a:graphic>
          </wp:inline>
        </w:drawing>
      </w:r>
    </w:p>
    <w:p>
      <w:pPr>
        <w:pStyle w:val="ImageCaption"/>
      </w:pPr>
      <w:r>
        <w:t xml:space="preserve">Figure 5</w:t>
      </w:r>
    </w:p>
    <w:p>
      <w:pPr>
        <w:pStyle w:val="BodyText"/>
      </w:pPr>
      <w:r>
        <w:rPr>
          <w:b/>
          <w:bCs/>
        </w:rPr>
        <w:t xml:space="preserve">Figure 5:</w:t>
      </w:r>
      <w:r>
        <w:t xml:space="preserve"> </w:t>
      </w:r>
      <w:r>
        <w:t xml:space="preserve">Predicted versus measured values under chemistry-cluster cross-validation (first repeat, all five folds pooled) for (a) S, (b) log</w:t>
      </w:r>
      <w:r>
        <w:t xml:space="preserve"> </w:t>
      </w:r>
      <w:r>
        <w:rPr>
          <w:i/>
          <w:iCs/>
        </w:rPr>
        <w:t xml:space="preserve">σ</w:t>
      </w:r>
      <w:r>
        <w:t xml:space="preserve">, (c) log</w:t>
      </w:r>
      <w:r>
        <w:t xml:space="preserve"> </w:t>
      </w:r>
      <w:r>
        <w:rPr>
          <w:i/>
          <w:iCs/>
        </w:rPr>
        <w:t xml:space="preserve">κ</w:t>
      </w:r>
      <w:r>
        <w:t xml:space="preserve"> </w:t>
      </w:r>
      <w:r>
        <w:t xml:space="preserve">and (d) zT; colour is the number of rows per cell. The dashed line indicates perfect prediction.</w:t>
      </w:r>
    </w:p>
    <w:p>
      <w:pPr>
        <w:pStyle w:val="BodyText"/>
      </w:pPr>
      <w:r>
        <w:t xml:space="preserve">The five validation methods of Section 2.4 are compared in Supplementary Note S4, with Supplementary Table S3 and Supplementary Figure S3. Random split, 5-fold and 10-fold CV give practically identical R</w:t>
      </w:r>
      <w:r>
        <w:rPr>
          <w:vertAlign w:val="superscript"/>
        </w:rPr>
        <w:t xml:space="preserve">2</w:t>
      </w:r>
      <w:r>
        <w:t xml:space="preserve"> </w:t>
      </w:r>
      <w:r>
        <w:t xml:space="preserve">there. Composition-level CV gives intermediate values (e.g. zT R</w:t>
      </w:r>
      <w:r>
        <w:rPr>
          <w:vertAlign w:val="superscript"/>
        </w:rPr>
        <w:t xml:space="preserve">2</w:t>
      </w:r>
      <w:r>
        <w:t xml:space="preserve"> </w:t>
      </w:r>
      <w:r>
        <w:t xml:space="preserve">=</w:t>
      </w:r>
      <w:r>
        <w:t xml:space="preserve"> </w:t>
      </w:r>
      <w:r>
        <w:t xml:space="preserve">0.818</w:t>
      </w:r>
      <w:r>
        <w:t xml:space="preserve">), and chemistry-cluster CV gives the lowest and most realistic values. This yields a clear hierarchy for zT: random/K-fold (</w:t>
      </w:r>
      <w:r>
        <w:t xml:space="preserve">0.918</w:t>
      </w:r>
      <w:r>
        <w:t xml:space="preserve">) &gt; composition CV (</w:t>
      </w:r>
      <w:r>
        <w:t xml:space="preserve">0.818</w:t>
      </w:r>
      <w:r>
        <w:t xml:space="preserve">) &gt; chemistry-cluster CV (</w:t>
      </w:r>
      <w:r>
        <w:t xml:space="preserve">0.746</w:t>
      </w:r>
      <w:r>
        <w:t xml:space="preserve">). The inflation ∆R</w:t>
      </w:r>
      <w:r>
        <w:rPr>
          <w:vertAlign w:val="superscript"/>
        </w:rPr>
        <w:t xml:space="preserve">2</w:t>
      </w:r>
      <w:r>
        <w:t xml:space="preserve"> </w:t>
      </w:r>
      <w:r>
        <w:t xml:space="preserve">(Eq. (8)) ranges from +</w:t>
      </w:r>
      <w:r>
        <w:t xml:space="preserve">0.134</w:t>
      </w:r>
      <w:r>
        <w:t xml:space="preserve"> </w:t>
      </w:r>
      <w:r>
        <w:t xml:space="preserve">for</w:t>
      </w:r>
      <w:r>
        <w:t xml:space="preserve"> </w:t>
      </w:r>
      <w:r>
        <w:rPr>
          <w:i/>
          <w:iCs/>
        </w:rPr>
        <w:t xml:space="preserve">κ</w:t>
      </w:r>
      <w:r>
        <w:t xml:space="preserve"> </w:t>
      </w:r>
      <w:r>
        <w:t xml:space="preserve">to +</w:t>
      </w:r>
      <w:r>
        <w:t xml:space="preserve">0.213</w:t>
      </w:r>
      <w:r>
        <w:t xml:space="preserve"> </w:t>
      </w:r>
      <w:r>
        <w:t xml:space="preserve">for</w:t>
      </w:r>
      <w:r>
        <w:t xml:space="preserve"> </w:t>
      </w:r>
      <w:r>
        <w:rPr>
          <w:i/>
          <w:iCs/>
        </w:rPr>
        <w:t xml:space="preserve">σ</w:t>
      </w:r>
      <w:r>
        <w:t xml:space="preserve">; we attribute the differences between properties to how strongly each depends on doping rather than on composition, which these data do not test directly. Chemistry-cluster CV is the relevant estimate for discovering entirely new chemical families, whereas composition-level CV is appropriate for the doping-optimization use case, i.e. predicting new variants within a known family.</w:t>
      </w:r>
    </w:p>
    <w:bookmarkEnd w:id="33"/>
    <w:bookmarkStart w:id="34" w:name="algorithm-comparison"/>
    <w:p>
      <w:pPr>
        <w:pStyle w:val="Heading3"/>
      </w:pPr>
      <w:r>
        <w:t xml:space="preserve">3.1.2 Algorithm comparison</w:t>
      </w:r>
    </w:p>
    <w:p>
      <w:pPr>
        <w:pStyle w:val="FirstParagraph"/>
      </w:pPr>
      <w:r>
        <w:t xml:space="preserve">LightGBM, random forest and a stacking ensemble (XGBoost + LightGBM + random forest with a ridge meta-learner) are compared with XGBoost under chemistry-cluster CV (Table 5). Among the three single models XGBoost has the highest R</w:t>
      </w:r>
      <w:r>
        <w:rPr>
          <w:vertAlign w:val="superscript"/>
        </w:rPr>
        <w:t xml:space="preserve">2</w:t>
      </w:r>
      <w:r>
        <w:t xml:space="preserve"> </w:t>
      </w:r>
      <w:r>
        <w:t xml:space="preserve">on</w:t>
      </w:r>
      <w:r>
        <w:t xml:space="preserve"> </w:t>
      </w:r>
      <w:r>
        <w:t xml:space="preserve">3</w:t>
      </w:r>
      <w:r>
        <w:t xml:space="preserve"> </w:t>
      </w:r>
      <w:r>
        <w:t xml:space="preserve">of the four targets, but the differences are small: LightGBM is lower by</w:t>
      </w:r>
      <w:r>
        <w:t xml:space="preserve"> </w:t>
      </w:r>
      <w:r>
        <w:t xml:space="preserve">0.002</w:t>
      </w:r>
      <w:r>
        <w:t xml:space="preserve"> </w:t>
      </w:r>
      <w:r>
        <w:t xml:space="preserve">to</w:t>
      </w:r>
      <w:r>
        <w:t xml:space="preserve"> </w:t>
      </w:r>
      <w:r>
        <w:t xml:space="preserve">0.007</w:t>
      </w:r>
      <w:r>
        <w:t xml:space="preserve"> </w:t>
      </w:r>
      <w:r>
        <w:t xml:space="preserve">on every target, and the random forest, run with one fixed setting and not tuned, is lower by</w:t>
      </w:r>
      <w:r>
        <w:t xml:space="preserve"> </w:t>
      </w:r>
      <w:r>
        <w:t xml:space="preserve">0.003</w:t>
      </w:r>
      <w:r>
        <w:t xml:space="preserve"> </w:t>
      </w:r>
      <w:r>
        <w:t xml:space="preserve">to</w:t>
      </w:r>
      <w:r>
        <w:t xml:space="preserve"> </w:t>
      </w:r>
      <w:r>
        <w:t xml:space="preserve">0.005</w:t>
      </w:r>
      <w:r>
        <w:t xml:space="preserve"> </w:t>
      </w:r>
      <w:r>
        <w:t xml:space="preserve">for</w:t>
      </w:r>
      <w:r>
        <w:t xml:space="preserve"> </w:t>
      </w:r>
      <w:r>
        <w:rPr>
          <w:i/>
          <w:iCs/>
        </w:rPr>
        <w:t xml:space="preserve">σ</w:t>
      </w:r>
      <w:r>
        <w:t xml:space="preserve">,</w:t>
      </w:r>
      <w:r>
        <w:t xml:space="preserve"> </w:t>
      </w:r>
      <w:r>
        <w:rPr>
          <w:i/>
          <w:iCs/>
        </w:rPr>
        <w:t xml:space="preserve">κ</w:t>
      </w:r>
      <w:r>
        <w:t xml:space="preserve"> </w:t>
      </w:r>
      <w:r>
        <w:t xml:space="preserve">and zT and equal to XGBoost within the bootstrap interval for S (difference</w:t>
      </w:r>
      <w:r>
        <w:t xml:space="preserve"> </w:t>
      </w:r>
      <w:r>
        <w:t xml:space="preserve">+0.000</w:t>
      </w:r>
      <w:r>
        <w:t xml:space="preserve">, interval</w:t>
      </w:r>
      <w:r>
        <w:t xml:space="preserve"> </w:t>
      </w:r>
      <w:r>
        <w:t xml:space="preserve">−0.004</w:t>
      </w:r>
      <w:r>
        <w:t xml:space="preserve"> </w:t>
      </w:r>
      <w:r>
        <w:t xml:space="preserve">to</w:t>
      </w:r>
      <w:r>
        <w:t xml:space="preserve"> </w:t>
      </w:r>
      <w:r>
        <w:t xml:space="preserve">+0.004</w:t>
      </w:r>
      <w:r>
        <w:t xml:space="preserve">, nominally above XGBoost); the chemistry-cluster bootstrap interval of the difference excludes zero for</w:t>
      </w:r>
      <w:r>
        <w:t xml:space="preserve"> </w:t>
      </w:r>
      <w:r>
        <w:t xml:space="preserve">4</w:t>
      </w:r>
      <w:r>
        <w:t xml:space="preserve"> </w:t>
      </w:r>
      <w:r>
        <w:t xml:space="preserve">of the</w:t>
      </w:r>
      <w:r>
        <w:t xml:space="preserve"> </w:t>
      </w:r>
      <w:r>
        <w:t xml:space="preserve">8</w:t>
      </w:r>
      <w:r>
        <w:t xml:space="preserve"> </w:t>
      </w:r>
      <w:r>
        <w:t xml:space="preserve">comparisons. The random forest was not tuned and the other two were, so part of its deficit may be the missing tuning; the unweighted mean of the three models, which has no fitted weights and so no leakage to guard against, is higher than XGBoost on every target, by</w:t>
      </w:r>
      <w:r>
        <w:t xml:space="preserve"> </w:t>
      </w:r>
      <w:r>
        <w:t xml:space="preserve">0.002</w:t>
      </w:r>
      <w:r>
        <w:t xml:space="preserve"> </w:t>
      </w:r>
      <w:r>
        <w:t xml:space="preserve">to</w:t>
      </w:r>
      <w:r>
        <w:t xml:space="preserve"> </w:t>
      </w:r>
      <w:r>
        <w:t xml:space="preserve">0.004</w:t>
      </w:r>
      <w:r>
        <w:t xml:space="preserve"> </w:t>
      </w:r>
      <w:r>
        <w:t xml:space="preserve">(the bootstrap interval excludes zero for all four), a small gain from averaging. The stack, a non-negative ridge meta-learner over the same three models whose weights are fitted on inner out-of-fold predictions within each outer training fold and applied to the outer test predictions, so that no test row enters a weight, is higher than XGBoost on all four targets, by</w:t>
      </w:r>
      <w:r>
        <w:t xml:space="preserve"> </w:t>
      </w:r>
      <w:r>
        <w:t xml:space="preserve">0.002</w:t>
      </w:r>
      <w:r>
        <w:t xml:space="preserve"> </w:t>
      </w:r>
      <w:r>
        <w:t xml:space="preserve">to</w:t>
      </w:r>
      <w:r>
        <w:t xml:space="preserve"> </w:t>
      </w:r>
      <w:r>
        <w:t xml:space="preserve">0.005</w:t>
      </w:r>
      <w:r>
        <w:t xml:space="preserve">, with a bootstrap interval that excludes zero for each (Table 5). It is also higher than the best single model of each target (the random forest for S, XGBoost for the others; chosen on the same folds, which favours the single model), with intervals that exclude zero. It is not distinguishable from the unweighted mean of the three: the paired difference is at most</w:t>
      </w:r>
      <w:r>
        <w:t xml:space="preserve"> </w:t>
      </w:r>
      <w:r>
        <w:t xml:space="preserve">0.0004</w:t>
      </w:r>
      <w:r>
        <w:t xml:space="preserve"> </w:t>
      </w:r>
      <w:r>
        <w:t xml:space="preserve">in absolute value and its interval contains zero on all four targets, so fitting the weights adds nothing measurable to averaging. The fitted weights are not interpreted; their range and the collinearity of the three models’ predictions are given in Supplementary Note S5. The three learners are tree ensembles on the same features, so their agreement shows that the choice among them does not change the picture, not that no learner could do better. A complementary check on the information content of the descriptors, independent of the learner, is the descriptor ablation of Section 2.2: moving from MAGPIE alone to the full set raises R</w:t>
      </w:r>
      <w:r>
        <w:rPr>
          <w:vertAlign w:val="superscript"/>
        </w:rPr>
        <w:t xml:space="preserve">2</w:t>
      </w:r>
      <w:r>
        <w:t xml:space="preserve"> </w:t>
      </w:r>
      <w:r>
        <w:t xml:space="preserve">by only</w:t>
      </w:r>
      <w:r>
        <w:t xml:space="preserve"> </w:t>
      </w:r>
      <w:r>
        <w:t xml:space="preserve">0.006</w:t>
      </w:r>
      <w:r>
        <w:t xml:space="preserve"> </w:t>
      </w:r>
      <w:r>
        <w:t xml:space="preserve">(S),</w:t>
      </w:r>
      <w:r>
        <w:t xml:space="preserve"> </w:t>
      </w:r>
      <w:r>
        <w:t xml:space="preserve">0.010</w:t>
      </w:r>
      <w:r>
        <w:t xml:space="preserve"> </w:t>
      </w:r>
      <w:r>
        <w:t xml:space="preserve">(</w:t>
      </w:r>
      <w:r>
        <w:rPr>
          <w:i/>
          <w:iCs/>
        </w:rPr>
        <w:t xml:space="preserve">σ</w:t>
      </w:r>
      <w:r>
        <w:t xml:space="preserve">),</w:t>
      </w:r>
      <w:r>
        <w:t xml:space="preserve"> </w:t>
      </w:r>
      <w:r>
        <w:t xml:space="preserve">0.006</w:t>
      </w:r>
      <w:r>
        <w:t xml:space="preserve"> </w:t>
      </w:r>
      <w:r>
        <w:t xml:space="preserve">(</w:t>
      </w:r>
      <w:r>
        <w:rPr>
          <w:i/>
          <w:iCs/>
        </w:rPr>
        <w:t xml:space="preserve">κ</w:t>
      </w:r>
      <w:r>
        <w:t xml:space="preserve">) and</w:t>
      </w:r>
      <w:r>
        <w:t xml:space="preserve"> </w:t>
      </w:r>
      <w:r>
        <w:t xml:space="preserve">0.005</w:t>
      </w:r>
      <w:r>
        <w:t xml:space="preserve"> </w:t>
      </w:r>
      <w:r>
        <w:t xml:space="preserve">(zT).</w:t>
      </w:r>
    </w:p>
    <w:p>
      <w:pPr>
        <w:pStyle w:val="BodyText"/>
      </w:pPr>
      <w:r>
        <w:rPr>
          <w:b/>
          <w:bCs/>
        </w:rPr>
        <w:t xml:space="preserve">Table 5:</w:t>
      </w:r>
      <w:r>
        <w:t xml:space="preserve"> </w:t>
      </w:r>
      <w:r>
        <w:t xml:space="preserve">Chemistry-cluster CV R</w:t>
      </w:r>
      <w:r>
        <w:rPr>
          <w:vertAlign w:val="superscript"/>
        </w:rPr>
        <w:t xml:space="preserve">2</w:t>
      </w:r>
      <w:r>
        <w:t xml:space="preserve"> </w:t>
      </w:r>
      <w:r>
        <w:t xml:space="preserve">(mean ± SD over 5 repeats of 5 grouped folds) of XGBoost, LightGBM, a random forest, the mean of the three and their stack on the same folds, with each model’s difference from XGBoost (same folds, paired) and the chemistry-cluster bootstrap interval of that difference in brackets. XGBoost and LightGBM are tuned with the same 20-trial search; the random forest uses one fixed, literature-based setting and is not tuned (Section 2.3), which favours XGBoost. The mean of the three models has no fitted weights. The stack is a non-negative ridge meta-learner over the three models whose weights are fitted on inner out-of-fold predictions inside each outer training fold, never on the outer test rows (Section 3.1.2). The last three rows are the paired comparisons fixed before the stack was run (difference of the pooled R</w:t>
      </w:r>
      <w:r>
        <w:rPr>
          <w:vertAlign w:val="superscript"/>
        </w:rPr>
        <w:t xml:space="preserve">2</w:t>
      </w:r>
      <w:r>
        <w:t xml:space="preserve"> </w:t>
      </w:r>
      <w:r>
        <w:t xml:space="preserve">on the same folds, chemistry-cluster bootstrap interval in brackets); the best single model is chosen on the same folds, which favours the single model, and the last row is given to four decimals because it is below the third. The hyperparameters of LightGBM and the fixed setting of the random forest are in Supplementary Table S2.</w:t>
      </w:r>
    </w:p>
    <w:tbl>
      <w:tblPr>
        <w:tblStyle w:val="Table"/>
        <w:tblW w:type="pct" w:w="5000"/>
        <w:tblLayout w:type="fixed"/>
        <w:tblLook w:firstRow="1" w:lastRow="0" w:firstColumn="0" w:lastColumn="0" w:noHBand="0" w:noVBand="0" w:val="0020"/>
      </w:tblPr>
      <w:tblGrid>
        <w:gridCol w:w="2329"/>
        <w:gridCol w:w="1397"/>
        <w:gridCol w:w="1397"/>
        <w:gridCol w:w="1397"/>
        <w:gridCol w:w="1397"/>
      </w:tblGrid>
      <w:tr>
        <w:trPr>
          <w:tblHeader w:val="on"/>
        </w:trPr>
        <w:tc>
          <w:tcPr/>
          <w:p>
            <w:pPr>
              <w:pStyle w:val="Compact"/>
            </w:pPr>
            <w:r>
              <w:rPr>
                <w:b/>
                <w:bCs/>
              </w:rPr>
              <w:t xml:space="preserve">Model</w:t>
            </w:r>
          </w:p>
        </w:tc>
        <w:tc>
          <w:tcPr/>
          <w:p>
            <w:pPr>
              <w:pStyle w:val="Compact"/>
            </w:pPr>
            <w:r>
              <w:rPr>
                <w:b/>
                <w:bCs/>
              </w:rPr>
              <w:t xml:space="preserve">S</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w:t>
            </w:r>
          </w:p>
        </w:tc>
      </w:tr>
      <w:tr>
        <w:tc>
          <w:tcPr/>
          <w:p>
            <w:pPr>
              <w:pStyle w:val="Compact"/>
            </w:pPr>
            <w:r>
              <w:t xml:space="preserve">XGBoost (tuned once, frozen)</w:t>
            </w:r>
          </w:p>
        </w:tc>
        <w:tc>
          <w:tcPr/>
          <w:p>
            <w:pPr>
              <w:pStyle w:val="Compact"/>
            </w:pPr>
            <w:r>
              <w:t xml:space="preserve">0.753 ± 0.005</w:t>
            </w:r>
          </w:p>
        </w:tc>
        <w:tc>
          <w:tcPr/>
          <w:p>
            <w:pPr>
              <w:pStyle w:val="Compact"/>
            </w:pPr>
            <w:r>
              <w:t xml:space="preserve">0.702 ± 0.002</w:t>
            </w:r>
          </w:p>
        </w:tc>
        <w:tc>
          <w:tcPr/>
          <w:p>
            <w:pPr>
              <w:pStyle w:val="Compact"/>
            </w:pPr>
            <w:r>
              <w:t xml:space="preserve">0.809 ± 0.002</w:t>
            </w:r>
          </w:p>
        </w:tc>
        <w:tc>
          <w:tcPr/>
          <w:p>
            <w:pPr>
              <w:pStyle w:val="Compact"/>
            </w:pPr>
            <w:r>
              <w:t xml:space="preserve">0.746 ± 0.005</w:t>
            </w:r>
          </w:p>
        </w:tc>
      </w:tr>
      <w:tr>
        <w:tc>
          <w:tcPr/>
          <w:p>
            <w:pPr>
              <w:pStyle w:val="Compact"/>
            </w:pPr>
            <w:r>
              <w:t xml:space="preserve">LightGBM (tuned, same protocol)</w:t>
            </w:r>
          </w:p>
        </w:tc>
        <w:tc>
          <w:tcPr/>
          <w:p>
            <w:pPr>
              <w:pStyle w:val="Compact"/>
            </w:pPr>
            <w:r>
              <w:t xml:space="preserve">0.746 ± 0.006 (−0.007 [−0.011, −0.002])</w:t>
            </w:r>
          </w:p>
        </w:tc>
        <w:tc>
          <w:tcPr/>
          <w:p>
            <w:pPr>
              <w:pStyle w:val="Compact"/>
            </w:pPr>
            <w:r>
              <w:t xml:space="preserve">0.696 ± 0.004 (−0.006 [−0.008, −0.003])</w:t>
            </w:r>
          </w:p>
        </w:tc>
        <w:tc>
          <w:tcPr/>
          <w:p>
            <w:pPr>
              <w:pStyle w:val="Compact"/>
            </w:pPr>
            <w:r>
              <w:t xml:space="preserve">0.803 ± 0.002 (−0.006 [−0.009, −0.004])</w:t>
            </w:r>
          </w:p>
        </w:tc>
        <w:tc>
          <w:tcPr/>
          <w:p>
            <w:pPr>
              <w:pStyle w:val="Compact"/>
            </w:pPr>
            <w:r>
              <w:t xml:space="preserve">0.743 ± 0.004 (−0.002 [−0.008, +0.003])</w:t>
            </w:r>
          </w:p>
        </w:tc>
      </w:tr>
      <w:tr>
        <w:tc>
          <w:tcPr/>
          <w:p>
            <w:pPr>
              <w:pStyle w:val="Compact"/>
            </w:pPr>
            <w:r>
              <w:t xml:space="preserve">Random forest (one fixed setting, not tuned)</w:t>
            </w:r>
          </w:p>
        </w:tc>
        <w:tc>
          <w:tcPr/>
          <w:p>
            <w:pPr>
              <w:pStyle w:val="Compact"/>
            </w:pPr>
            <w:r>
              <w:t xml:space="preserve">0.753 ± 0.004 (+0.000 [−0.004, +0.004])</w:t>
            </w:r>
          </w:p>
        </w:tc>
        <w:tc>
          <w:tcPr/>
          <w:p>
            <w:pPr>
              <w:pStyle w:val="Compact"/>
            </w:pPr>
            <w:r>
              <w:t xml:space="preserve">0.697 ± 0.003 (−0.005 [−0.009, −0.001])</w:t>
            </w:r>
          </w:p>
        </w:tc>
        <w:tc>
          <w:tcPr/>
          <w:p>
            <w:pPr>
              <w:pStyle w:val="Compact"/>
            </w:pPr>
            <w:r>
              <w:t xml:space="preserve">0.805 ± 0.002 (−0.004 [−0.008, +0.001])</w:t>
            </w:r>
          </w:p>
        </w:tc>
        <w:tc>
          <w:tcPr/>
          <w:p>
            <w:pPr>
              <w:pStyle w:val="Compact"/>
            </w:pPr>
            <w:r>
              <w:t xml:space="preserve">0.742 ± 0.003 (−0.003 [−0.009, +0.002])</w:t>
            </w:r>
          </w:p>
        </w:tc>
      </w:tr>
      <w:tr>
        <w:tc>
          <w:tcPr/>
          <w:p>
            <w:pPr>
              <w:pStyle w:val="Compact"/>
            </w:pPr>
            <w:r>
              <w:t xml:space="preserve">Mean of the three (no fitted weights)</w:t>
            </w:r>
          </w:p>
        </w:tc>
        <w:tc>
          <w:tcPr/>
          <w:p>
            <w:pPr>
              <w:pStyle w:val="Compact"/>
            </w:pPr>
            <w:r>
              <w:t xml:space="preserve">0.757 ± 0.004 (+0.004 [+0.002, +0.007])</w:t>
            </w:r>
          </w:p>
        </w:tc>
        <w:tc>
          <w:tcPr/>
          <w:p>
            <w:pPr>
              <w:pStyle w:val="Compact"/>
            </w:pPr>
            <w:r>
              <w:t xml:space="preserve">0.705 ± 0.003 (+0.003 [+0.001, +0.004])</w:t>
            </w:r>
          </w:p>
        </w:tc>
        <w:tc>
          <w:tcPr/>
          <w:p>
            <w:pPr>
              <w:pStyle w:val="Compact"/>
            </w:pPr>
            <w:r>
              <w:t xml:space="preserve">0.812 ± 0.001 (+0.002 [+0.001, +0.004])</w:t>
            </w:r>
          </w:p>
        </w:tc>
        <w:tc>
          <w:tcPr/>
          <w:p>
            <w:pPr>
              <w:pStyle w:val="Compact"/>
            </w:pPr>
            <w:r>
              <w:t xml:space="preserve">0.750 ± 0.004 (+0.004 [+0.001, +0.007])</w:t>
            </w:r>
          </w:p>
        </w:tc>
      </w:tr>
      <w:tr>
        <w:tc>
          <w:tcPr/>
          <w:p>
            <w:pPr>
              <w:pStyle w:val="Compact"/>
            </w:pPr>
            <w:r>
              <w:t xml:space="preserve">Stacking (XGBoost + LightGBM + random forest, ridge meta-learner, nested)</w:t>
            </w:r>
          </w:p>
        </w:tc>
        <w:tc>
          <w:tcPr/>
          <w:p>
            <w:pPr>
              <w:pStyle w:val="Compact"/>
            </w:pPr>
            <w:r>
              <w:t xml:space="preserve">0.758 ± 0.004</w:t>
            </w:r>
          </w:p>
        </w:tc>
        <w:tc>
          <w:tcPr/>
          <w:p>
            <w:pPr>
              <w:pStyle w:val="Compact"/>
            </w:pPr>
            <w:r>
              <w:t xml:space="preserve">0.704 ± 0.003</w:t>
            </w:r>
          </w:p>
        </w:tc>
        <w:tc>
          <w:tcPr/>
          <w:p>
            <w:pPr>
              <w:pStyle w:val="Compact"/>
            </w:pPr>
            <w:r>
              <w:t xml:space="preserve">0.812 ± 0.002</w:t>
            </w:r>
          </w:p>
        </w:tc>
        <w:tc>
          <w:tcPr/>
          <w:p>
            <w:pPr>
              <w:pStyle w:val="Compact"/>
            </w:pPr>
            <w:r>
              <w:t xml:space="preserve">0.750 ± 0.004</w:t>
            </w:r>
          </w:p>
        </w:tc>
      </w:tr>
      <w:tr>
        <w:tc>
          <w:tcPr/>
          <w:p>
            <w:pPr>
              <w:pStyle w:val="Compact"/>
            </w:pPr>
            <w:r>
              <w:t xml:space="preserve">Stack minus XGBoost</w:t>
            </w:r>
          </w:p>
        </w:tc>
        <w:tc>
          <w:tcPr/>
          <w:p>
            <w:pPr>
              <w:pStyle w:val="Compact"/>
            </w:pPr>
            <w:r>
              <w:t xml:space="preserve">+0.005 [+0.002, +0.007]</w:t>
            </w:r>
          </w:p>
        </w:tc>
        <w:tc>
          <w:tcPr/>
          <w:p>
            <w:pPr>
              <w:pStyle w:val="Compact"/>
            </w:pPr>
            <w:r>
              <w:t xml:space="preserve">+0.002 [+0.001, +0.004]</w:t>
            </w:r>
          </w:p>
        </w:tc>
        <w:tc>
          <w:tcPr/>
          <w:p>
            <w:pPr>
              <w:pStyle w:val="Compact"/>
            </w:pPr>
            <w:r>
              <w:t xml:space="preserve">+0.003 [+0.001, +0.004]</w:t>
            </w:r>
          </w:p>
        </w:tc>
        <w:tc>
          <w:tcPr/>
          <w:p>
            <w:pPr>
              <w:pStyle w:val="Compact"/>
            </w:pPr>
            <w:r>
              <w:t xml:space="preserve">+0.004 [+0.001, +0.007]</w:t>
            </w:r>
          </w:p>
        </w:tc>
      </w:tr>
      <w:tr>
        <w:tc>
          <w:tcPr/>
          <w:p>
            <w:pPr>
              <w:pStyle w:val="Compact"/>
            </w:pPr>
            <w:r>
              <w:t xml:space="preserve">Stack minus the best single model (S: random forest; the other targets: XGBoost)</w:t>
            </w:r>
          </w:p>
        </w:tc>
        <w:tc>
          <w:tcPr/>
          <w:p>
            <w:pPr>
              <w:pStyle w:val="Compact"/>
            </w:pPr>
            <w:r>
              <w:t xml:space="preserve">+0.004 [+0.002, +0.007]</w:t>
            </w:r>
          </w:p>
        </w:tc>
        <w:tc>
          <w:tcPr/>
          <w:p>
            <w:pPr>
              <w:pStyle w:val="Compact"/>
            </w:pPr>
            <w:r>
              <w:t xml:space="preserve">+0.002 [+0.001, +0.004]</w:t>
            </w:r>
          </w:p>
        </w:tc>
        <w:tc>
          <w:tcPr/>
          <w:p>
            <w:pPr>
              <w:pStyle w:val="Compact"/>
            </w:pPr>
            <w:r>
              <w:t xml:space="preserve">+0.003 [+0.001, +0.004]</w:t>
            </w:r>
          </w:p>
        </w:tc>
        <w:tc>
          <w:tcPr/>
          <w:p>
            <w:pPr>
              <w:pStyle w:val="Compact"/>
            </w:pPr>
            <w:r>
              <w:t xml:space="preserve">+0.004 [+0.001, +0.007]</w:t>
            </w:r>
          </w:p>
        </w:tc>
      </w:tr>
      <w:tr>
        <w:tc>
          <w:tcPr/>
          <w:p>
            <w:pPr>
              <w:pStyle w:val="Compact"/>
            </w:pPr>
            <w:r>
              <w:t xml:space="preserve">Stack minus the mean of the three</w:t>
            </w:r>
          </w:p>
        </w:tc>
        <w:tc>
          <w:tcPr/>
          <w:p>
            <w:pPr>
              <w:pStyle w:val="Compact"/>
            </w:pPr>
            <w:r>
              <w:t xml:space="preserve">+0.0004 [−0.0010, +0.0016]</w:t>
            </w:r>
          </w:p>
        </w:tc>
        <w:tc>
          <w:tcPr/>
          <w:p>
            <w:pPr>
              <w:pStyle w:val="Compact"/>
            </w:pPr>
            <w:r>
              <w:t xml:space="preserve">−0.0001 [−0.0011, +0.0009]</w:t>
            </w:r>
          </w:p>
        </w:tc>
        <w:tc>
          <w:tcPr/>
          <w:p>
            <w:pPr>
              <w:pStyle w:val="Compact"/>
            </w:pPr>
            <w:r>
              <w:t xml:space="preserve">+0.0003 [−0.0008, +0.0014]</w:t>
            </w:r>
          </w:p>
        </w:tc>
        <w:tc>
          <w:tcPr/>
          <w:p>
            <w:pPr>
              <w:pStyle w:val="Compact"/>
            </w:pPr>
            <w:r>
              <w:t xml:space="preserve">−0.0001 [−0.0022, +0.0019]</w:t>
            </w:r>
          </w:p>
        </w:tc>
      </w:tr>
    </w:tbl>
    <w:bookmarkEnd w:id="34"/>
    <w:bookmarkStart w:id="35" w:name="carrier-type-classification"/>
    <w:p>
      <w:pPr>
        <w:pStyle w:val="Heading3"/>
      </w:pPr>
      <w:r>
        <w:t xml:space="preserve">3.1.3 Carrier-type classification</w:t>
      </w:r>
    </w:p>
    <w:p>
      <w:pPr>
        <w:pStyle w:val="FirstParagraph"/>
      </w:pPr>
      <w:r>
        <w:t xml:space="preserve">Under chemistry-cluster CV the carrier-type classifier (</w:t>
      </w:r>
      <w:r>
        <w:t xml:space="preserve">185,056</w:t>
      </w:r>
      <w:r>
        <w:t xml:space="preserve"> </w:t>
      </w:r>
      <w:r>
        <w:t xml:space="preserve">rows,</w:t>
      </w:r>
      <w:r>
        <w:t xml:space="preserve"> </w:t>
      </w:r>
      <w:r>
        <w:t xml:space="preserve">7,810</w:t>
      </w:r>
      <w:r>
        <w:t xml:space="preserve"> </w:t>
      </w:r>
      <w:r>
        <w:t xml:space="preserve">clusters) reaches an accuracy of</w:t>
      </w:r>
      <w:r>
        <w:t xml:space="preserve"> </w:t>
      </w:r>
      <w:r>
        <w:t xml:space="preserve">0.948</w:t>
      </w:r>
      <w:r>
        <w:t xml:space="preserve"> </w:t>
      </w:r>
      <w:r>
        <w:t xml:space="preserve">(cluster-bootstrap interval</w:t>
      </w:r>
      <w:r>
        <w:t xml:space="preserve"> </w:t>
      </w:r>
      <w:r>
        <w:t xml:space="preserve">0.939</w:t>
      </w:r>
      <w:r>
        <w:t xml:space="preserve">–</w:t>
      </w:r>
      <w:r>
        <w:t xml:space="preserve">0.956</w:t>
      </w:r>
      <w:r>
        <w:t xml:space="preserve">) and a balanced accuracy of</w:t>
      </w:r>
      <w:r>
        <w:t xml:space="preserve"> </w:t>
      </w:r>
      <w:r>
        <w:t xml:space="preserve">0.948</w:t>
      </w:r>
      <w:r>
        <w:t xml:space="preserve">. Precision, recall, the confusion matrix and the accuracy by cluster size are in Supplementary Note S6. In the screening, the classifier changed the sign of the regressor’s S in</w:t>
      </w:r>
      <w:r>
        <w:t xml:space="preserve"> </w:t>
      </w:r>
      <w:r>
        <w:t xml:space="preserve">579</w:t>
      </w:r>
      <w:r>
        <w:t xml:space="preserve"> </w:t>
      </w:r>
      <w:r>
        <w:t xml:space="preserve">of the</w:t>
      </w:r>
      <w:r>
        <w:t xml:space="preserve"> </w:t>
      </w:r>
      <w:r>
        <w:t xml:space="preserve">2,454</w:t>
      </w:r>
      <w:r>
        <w:t xml:space="preserve"> </w:t>
      </w:r>
      <w:r>
        <w:t xml:space="preserve">candidate-temperature predictions (</w:t>
      </w:r>
      <w:r>
        <w:t xml:space="preserve">24</w:t>
      </w:r>
      <w:r>
        <w:t xml:space="preserve">%;</w:t>
      </w:r>
      <w:r>
        <w:t xml:space="preserve"> </w:t>
      </w:r>
      <w:r>
        <w:t xml:space="preserve">142</w:t>
      </w:r>
      <w:r>
        <w:t xml:space="preserve"> </w:t>
      </w:r>
      <w:r>
        <w:t xml:space="preserve">of the</w:t>
      </w:r>
      <w:r>
        <w:t xml:space="preserve"> </w:t>
      </w:r>
      <w:r>
        <w:t xml:space="preserve">409</w:t>
      </w:r>
      <w:r>
        <w:t xml:space="preserve"> </w:t>
      </w:r>
      <w:r>
        <w:t xml:space="preserve">candidates at one temperature or more) and in</w:t>
      </w:r>
      <w:r>
        <w:t xml:space="preserve"> </w:t>
      </w:r>
      <w:r>
        <w:t xml:space="preserve">16</w:t>
      </w:r>
      <w:r>
        <w:t xml:space="preserve"> </w:t>
      </w:r>
      <w:r>
        <w:t xml:space="preserve">of the</w:t>
      </w:r>
      <w:r>
        <w:t xml:space="preserve"> </w:t>
      </w:r>
      <w:r>
        <w:t xml:space="preserve">180</w:t>
      </w:r>
      <w:r>
        <w:t xml:space="preserve"> </w:t>
      </w:r>
      <w:r>
        <w:t xml:space="preserve">(</w:t>
      </w:r>
      <w:r>
        <w:t xml:space="preserve">9</w:t>
      </w:r>
      <w:r>
        <w:t xml:space="preserve">%;</w:t>
      </w:r>
      <w:r>
        <w:t xml:space="preserve"> </w:t>
      </w:r>
      <w:r>
        <w:t xml:space="preserve">3</w:t>
      </w:r>
      <w:r>
        <w:t xml:space="preserve"> </w:t>
      </w:r>
      <w:r>
        <w:t xml:space="preserve">candidates) of the main list, none of the shortlist.</w:t>
      </w:r>
    </w:p>
    <w:bookmarkEnd w:id="35"/>
    <w:bookmarkStart w:id="36" w:name="feature-selection"/>
    <w:p>
      <w:pPr>
        <w:pStyle w:val="Heading3"/>
      </w:pPr>
      <w:r>
        <w:t xml:space="preserve">3.1.4 Feature selection</w:t>
      </w:r>
    </w:p>
    <w:p>
      <w:pPr>
        <w:pStyle w:val="FirstParagraph"/>
      </w:pPr>
      <w:r>
        <w:t xml:space="preserve">Section 2.2 states that no explicit feature selection is applied. The earlier version of this work reports selecting features before fitting, keeping</w:t>
      </w:r>
      <w:r>
        <w:t xml:space="preserve"> </w:t>
      </w:r>
      <w:r>
        <w:t xml:space="preserve">25</w:t>
      </w:r>
      <w:r>
        <w:t xml:space="preserve">,</w:t>
      </w:r>
      <w:r>
        <w:t xml:space="preserve"> </w:t>
      </w:r>
      <w:r>
        <w:t xml:space="preserve">44</w:t>
      </w:r>
      <w:r>
        <w:t xml:space="preserve">,</w:t>
      </w:r>
      <w:r>
        <w:t xml:space="preserve"> </w:t>
      </w:r>
      <w:r>
        <w:t xml:space="preserve">39</w:t>
      </w:r>
      <w:r>
        <w:t xml:space="preserve"> </w:t>
      </w:r>
      <w:r>
        <w:t xml:space="preserve">and</w:t>
      </w:r>
      <w:r>
        <w:t xml:space="preserve"> </w:t>
      </w:r>
      <w:r>
        <w:t xml:space="preserve">32</w:t>
      </w:r>
      <w:r>
        <w:t xml:space="preserve"> </w:t>
      </w:r>
      <w:r>
        <w:t xml:space="preserve">features for S,</w:t>
      </w:r>
      <w:r>
        <w:t xml:space="preserve"> </w:t>
      </w:r>
      <w:r>
        <w:rPr>
          <w:i/>
          <w:iCs/>
        </w:rPr>
        <w:t xml:space="preserve">σ</w:t>
      </w:r>
      <w:r>
        <w:t xml:space="preserve">,</w:t>
      </w:r>
      <w:r>
        <w:t xml:space="preserve"> </w:t>
      </w:r>
      <w:r>
        <w:rPr>
          <w:i/>
          <w:iCs/>
        </w:rPr>
        <w:t xml:space="preserve">κ</w:t>
      </w:r>
      <w:r>
        <w:t xml:space="preserve"> </w:t>
      </w:r>
      <w:r>
        <w:t xml:space="preserve">and zT. Whether that selection helps under chemistry-cluster CV was tested here as a paired comparison fixed before the run. The protocol, the convergence of the Lasso, the device and a post hoc check are in Supplementary Note S7.</w:t>
      </w:r>
    </w:p>
    <w:p>
      <w:pPr>
        <w:pStyle w:val="BodyText"/>
      </w:pPr>
      <w:r>
        <w:t xml:space="preserve">The selection lowers R</w:t>
      </w:r>
      <w:r>
        <w:rPr>
          <w:vertAlign w:val="superscript"/>
        </w:rPr>
        <w:t xml:space="preserve">2</w:t>
      </w:r>
      <w:r>
        <w:t xml:space="preserve"> </w:t>
      </w:r>
      <w:r>
        <w:t xml:space="preserve">on every target (Supplementary Table S4); the paired difference, selected minus all</w:t>
      </w:r>
      <w:r>
        <w:t xml:space="preserve"> </w:t>
      </w:r>
      <w:r>
        <w:t xml:space="preserve">397</w:t>
      </w:r>
      <w:r>
        <w:t xml:space="preserve">, is</w:t>
      </w:r>
      <w:r>
        <w:t xml:space="preserve"> </w:t>
      </w:r>
      <w:r>
        <w:t xml:space="preserve">−0.050</w:t>
      </w:r>
      <w:r>
        <w:t xml:space="preserve"> </w:t>
      </w:r>
      <w:r>
        <w:t xml:space="preserve">for S (chemistry-cluster bootstrap interval</w:t>
      </w:r>
      <w:r>
        <w:t xml:space="preserve"> </w:t>
      </w:r>
      <w:r>
        <w:t xml:space="preserve">−0.060</w:t>
      </w:r>
      <w:r>
        <w:t xml:space="preserve"> </w:t>
      </w:r>
      <w:r>
        <w:t xml:space="preserve">to</w:t>
      </w:r>
      <w:r>
        <w:t xml:space="preserve"> </w:t>
      </w:r>
      <w:r>
        <w:t xml:space="preserve">−0.042</w:t>
      </w:r>
      <w:r>
        <w:t xml:space="preserve">),</w:t>
      </w:r>
      <w:r>
        <w:t xml:space="preserve"> </w:t>
      </w:r>
      <w:r>
        <w:t xml:space="preserve">−0.038</w:t>
      </w:r>
      <w:r>
        <w:t xml:space="preserve"> </w:t>
      </w:r>
      <w:r>
        <w:t xml:space="preserve">for</w:t>
      </w:r>
      <w:r>
        <w:t xml:space="preserve"> </w:t>
      </w:r>
      <w:r>
        <w:rPr>
          <w:i/>
          <w:iCs/>
        </w:rPr>
        <w:t xml:space="preserve">σ</w:t>
      </w:r>
      <w:r>
        <w:t xml:space="preserve"> </w:t>
      </w:r>
      <w:r>
        <w:t xml:space="preserve">(</w:t>
      </w:r>
      <w:r>
        <w:t xml:space="preserve">−0.045</w:t>
      </w:r>
      <w:r>
        <w:t xml:space="preserve"> </w:t>
      </w:r>
      <w:r>
        <w:t xml:space="preserve">to</w:t>
      </w:r>
      <w:r>
        <w:t xml:space="preserve"> </w:t>
      </w:r>
      <w:r>
        <w:t xml:space="preserve">−0.032</w:t>
      </w:r>
      <w:r>
        <w:t xml:space="preserve">),</w:t>
      </w:r>
      <w:r>
        <w:t xml:space="preserve"> </w:t>
      </w:r>
      <w:r>
        <w:t xml:space="preserve">−0.047</w:t>
      </w:r>
      <w:r>
        <w:t xml:space="preserve"> </w:t>
      </w:r>
      <w:r>
        <w:t xml:space="preserve">for</w:t>
      </w:r>
      <w:r>
        <w:t xml:space="preserve"> </w:t>
      </w:r>
      <w:r>
        <w:rPr>
          <w:i/>
          <w:iCs/>
        </w:rPr>
        <w:t xml:space="preserve">κ</w:t>
      </w:r>
      <w:r>
        <w:t xml:space="preserve"> </w:t>
      </w:r>
      <w:r>
        <w:t xml:space="preserve">(</w:t>
      </w:r>
      <w:r>
        <w:t xml:space="preserve">−0.057</w:t>
      </w:r>
      <w:r>
        <w:t xml:space="preserve"> </w:t>
      </w:r>
      <w:r>
        <w:t xml:space="preserve">to</w:t>
      </w:r>
      <w:r>
        <w:t xml:space="preserve"> </w:t>
      </w:r>
      <w:r>
        <w:t xml:space="preserve">−0.038</w:t>
      </w:r>
      <w:r>
        <w:t xml:space="preserve">) and</w:t>
      </w:r>
      <w:r>
        <w:t xml:space="preserve"> </w:t>
      </w:r>
      <w:r>
        <w:t xml:space="preserve">−0.295</w:t>
      </w:r>
      <w:r>
        <w:t xml:space="preserve"> </w:t>
      </w:r>
      <w:r>
        <w:t xml:space="preserve">for zT (</w:t>
      </w:r>
      <w:r>
        <w:t xml:space="preserve">−0.328</w:t>
      </w:r>
      <w:r>
        <w:t xml:space="preserve"> </w:t>
      </w:r>
      <w:r>
        <w:t xml:space="preserve">to</w:t>
      </w:r>
      <w:r>
        <w:t xml:space="preserve"> </w:t>
      </w:r>
      <w:r>
        <w:t xml:space="preserve">−0.262</w:t>
      </w:r>
      <w:r>
        <w:t xml:space="preserve">); every interval excludes zero, and in none of the</w:t>
      </w:r>
      <w:r>
        <w:t xml:space="preserve"> </w:t>
      </w:r>
      <w:r>
        <w:t xml:space="preserve">25</w:t>
      </w:r>
      <w:r>
        <w:t xml:space="preserve"> </w:t>
      </w:r>
      <w:r>
        <w:t xml:space="preserve">folds of any target is the selected set above the all-</w:t>
      </w:r>
      <w:r>
        <w:t xml:space="preserve">397</w:t>
      </w:r>
      <w:r>
        <w:t xml:space="preserve"> </w:t>
      </w:r>
      <w:r>
        <w:t xml:space="preserve">fit. The Lasso does not by itself reduce the set to</w:t>
      </w:r>
      <w:r>
        <w:t xml:space="preserve"> </w:t>
      </w:r>
      <w:r>
        <w:rPr>
          <w:i/>
          <w:iCs/>
        </w:rPr>
        <w:t xml:space="preserve">k</w:t>
      </w:r>
      <w:r>
        <w:t xml:space="preserve">: it keeps on average</w:t>
      </w:r>
      <w:r>
        <w:t xml:space="preserve"> </w:t>
      </w:r>
      <w:r>
        <w:t xml:space="preserve">182</w:t>
      </w:r>
      <w:r>
        <w:t xml:space="preserve"> </w:t>
      </w:r>
      <w:r>
        <w:t xml:space="preserve">(S),</w:t>
      </w:r>
      <w:r>
        <w:t xml:space="preserve"> </w:t>
      </w:r>
      <w:r>
        <w:t xml:space="preserve">156</w:t>
      </w:r>
      <w:r>
        <w:t xml:space="preserve"> </w:t>
      </w:r>
      <w:r>
        <w:t xml:space="preserve">(</w:t>
      </w:r>
      <w:r>
        <w:rPr>
          <w:i/>
          <w:iCs/>
        </w:rPr>
        <w:t xml:space="preserve">σ</w:t>
      </w:r>
      <w:r>
        <w:t xml:space="preserve">),</w:t>
      </w:r>
      <w:r>
        <w:t xml:space="preserve"> </w:t>
      </w:r>
      <w:r>
        <w:t xml:space="preserve">184</w:t>
      </w:r>
      <w:r>
        <w:t xml:space="preserve"> </w:t>
      </w:r>
      <w:r>
        <w:t xml:space="preserve">(</w:t>
      </w:r>
      <w:r>
        <w:rPr>
          <w:i/>
          <w:iCs/>
        </w:rPr>
        <w:t xml:space="preserve">κ</w:t>
      </w:r>
      <w:r>
        <w:t xml:space="preserve">) and</w:t>
      </w:r>
      <w:r>
        <w:t xml:space="preserve"> </w:t>
      </w:r>
      <w:r>
        <w:t xml:space="preserve">161</w:t>
      </w:r>
      <w:r>
        <w:t xml:space="preserve"> </w:t>
      </w:r>
      <w:r>
        <w:t xml:space="preserve">(zT) of the</w:t>
      </w:r>
      <w:r>
        <w:t xml:space="preserve"> </w:t>
      </w:r>
      <w:r>
        <w:t xml:space="preserve">243</w:t>
      </w:r>
      <w:r>
        <w:t xml:space="preserve"> </w:t>
      </w:r>
      <w:r>
        <w:t xml:space="preserve">to</w:t>
      </w:r>
      <w:r>
        <w:t xml:space="preserve"> </w:t>
      </w:r>
      <w:r>
        <w:t xml:space="preserve">253</w:t>
      </w:r>
      <w:r>
        <w:t xml:space="preserve"> </w:t>
      </w:r>
      <w:r>
        <w:t xml:space="preserve">features that pass the Pearson filter, which is</w:t>
      </w:r>
      <w:r>
        <w:t xml:space="preserve"> </w:t>
      </w:r>
      <w:r>
        <w:t xml:space="preserve">3.6</w:t>
      </w:r>
      <w:r>
        <w:t xml:space="preserve"> </w:t>
      </w:r>
      <w:r>
        <w:t xml:space="preserve">to</w:t>
      </w:r>
      <w:r>
        <w:t xml:space="preserve"> </w:t>
      </w:r>
      <w:r>
        <w:t xml:space="preserve">7.3</w:t>
      </w:r>
      <w:r>
        <w:t xml:space="preserve"> </w:t>
      </w:r>
      <w:r>
        <w:t xml:space="preserve">times</w:t>
      </w:r>
      <w:r>
        <w:t xml:space="preserve"> </w:t>
      </w:r>
      <w:r>
        <w:rPr>
          <w:i/>
          <w:iCs/>
        </w:rPr>
        <w:t xml:space="preserve">k</w:t>
      </w:r>
      <w:r>
        <w:t xml:space="preserve">, so it is the mutual-information step that imposes</w:t>
      </w:r>
      <w:r>
        <w:t xml:space="preserve"> </w:t>
      </w:r>
      <w:r>
        <w:rPr>
          <w:i/>
          <w:iCs/>
        </w:rPr>
        <w:t xml:space="preserve">k</w:t>
      </w:r>
      <w:r>
        <w:t xml:space="preserve">, and the data-driven size is the Lasso’s count. The chosen Lasso penalty is the smallest of the grid in</w:t>
      </w:r>
      <w:r>
        <w:t xml:space="preserve"> </w:t>
      </w:r>
      <w:r>
        <w:t xml:space="preserve">36</w:t>
      </w:r>
      <w:r>
        <w:t xml:space="preserve"> </w:t>
      </w:r>
      <w:r>
        <w:t xml:space="preserve">of the</w:t>
      </w:r>
      <w:r>
        <w:t xml:space="preserve"> </w:t>
      </w:r>
      <w:r>
        <w:t xml:space="preserve">100</w:t>
      </w:r>
      <w:r>
        <w:t xml:space="preserve"> </w:t>
      </w:r>
      <w:r>
        <w:t xml:space="preserve">folds (</w:t>
      </w:r>
      <w:r>
        <w:t xml:space="preserve">24</w:t>
      </w:r>
      <w:r>
        <w:t xml:space="preserve"> </w:t>
      </w:r>
      <w:r>
        <w:t xml:space="preserve">of</w:t>
      </w:r>
      <w:r>
        <w:t xml:space="preserve"> </w:t>
      </w:r>
      <w:r>
        <w:t xml:space="preserve">25</w:t>
      </w:r>
      <w:r>
        <w:t xml:space="preserve"> </w:t>
      </w:r>
      <w:r>
        <w:t xml:space="preserve">for</w:t>
      </w:r>
      <w:r>
        <w:t xml:space="preserve"> </w:t>
      </w:r>
      <w:r>
        <w:rPr>
          <w:i/>
          <w:iCs/>
        </w:rPr>
        <w:t xml:space="preserve">κ</w:t>
      </w:r>
      <w:r>
        <w:t xml:space="preserve">), so the Lasso counts are limited by the grid.</w:t>
      </w:r>
    </w:p>
    <w:bookmarkEnd w:id="36"/>
    <w:bookmarkStart w:id="40" w:name="feature-importance"/>
    <w:p>
      <w:pPr>
        <w:pStyle w:val="Heading3"/>
      </w:pPr>
      <w:r>
        <w:t xml:space="preserve">3.1.5 Feature importance</w:t>
      </w:r>
    </w:p>
    <w:p>
      <w:pPr>
        <w:pStyle w:val="FirstParagraph"/>
      </w:pPr>
      <w:r>
        <w:t xml:space="preserve">Table 6 lists the five features with the largest mean |SHAP| per target, each with the interval (</w:t>
      </w:r>
      <w:r>
        <w:t xml:space="preserve">2.5</w:t>
      </w:r>
      <w:r>
        <w:t xml:space="preserve">th to</w:t>
      </w:r>
      <w:r>
        <w:t xml:space="preserve"> </w:t>
      </w:r>
      <w:r>
        <w:t xml:space="preserve">97.5</w:t>
      </w:r>
      <w:r>
        <w:t xml:space="preserve">th percentile) of its per-fold mean across the</w:t>
      </w:r>
      <w:r>
        <w:t xml:space="preserve"> </w:t>
      </w:r>
      <w:r>
        <w:t xml:space="preserve">25</w:t>
      </w:r>
      <w:r>
        <w:t xml:space="preserve"> </w:t>
      </w:r>
      <w:r>
        <w:t xml:space="preserve">chemistry-cluster folds and the number of folds in which it is among the three most important features; the folds are five repeats of five grouped folds, so they are not independent, and for most features the intervals are wide. Only orderings that the folds support are interpreted. Temperature is the most important feature of the zT model in all</w:t>
      </w:r>
      <w:r>
        <w:t xml:space="preserve"> </w:t>
      </w:r>
      <w:r>
        <w:t xml:space="preserve">25</w:t>
      </w:r>
      <w:r>
        <w:t xml:space="preserve"> </w:t>
      </w:r>
      <w:r>
        <w:t xml:space="preserve">folds (mean |SHAP|</w:t>
      </w:r>
      <w:r>
        <w:t xml:space="preserve"> </w:t>
      </w:r>
      <w:r>
        <w:t xml:space="preserve">0.128</w:t>
      </w:r>
      <w:r>
        <w:t xml:space="preserve">, interval</w:t>
      </w:r>
      <w:r>
        <w:t xml:space="preserve"> </w:t>
      </w:r>
      <w:r>
        <w:t xml:space="preserve">0.120</w:t>
      </w:r>
      <w:r>
        <w:t xml:space="preserve"> </w:t>
      </w:r>
      <w:r>
        <w:t xml:space="preserve">to</w:t>
      </w:r>
      <w:r>
        <w:t xml:space="preserve"> </w:t>
      </w:r>
      <w:r>
        <w:t xml:space="preserve">0.136</w:t>
      </w:r>
      <w:r>
        <w:t xml:space="preserve">), consistent with the explicit T dependence in Eq. (1); the next two features by the mean,</w:t>
      </w:r>
      <w:r>
        <w:t xml:space="preserve"> </w:t>
      </w:r>
      <w:r>
        <w:t xml:space="preserve">Elemental Zunger radii sum, mean abs. deviation (CBFV)</w:t>
      </w:r>
      <w:r>
        <w:t xml:space="preserve"> </w:t>
      </w:r>
      <w:r>
        <w:t xml:space="preserve">and</w:t>
      </w:r>
      <w:r>
        <w:t xml:space="preserve"> </w:t>
      </w:r>
      <w:r>
        <w:t xml:space="preserve">Elemental d valence electrons, mean (MAGPIE)</w:t>
      </w:r>
      <w:r>
        <w:t xml:space="preserve">, are among the top three in</w:t>
      </w:r>
      <w:r>
        <w:t xml:space="preserve"> </w:t>
      </w:r>
      <w:r>
        <w:t xml:space="preserve">16</w:t>
      </w:r>
      <w:r>
        <w:t xml:space="preserve"> </w:t>
      </w:r>
      <w:r>
        <w:t xml:space="preserve">and</w:t>
      </w:r>
      <w:r>
        <w:t xml:space="preserve"> </w:t>
      </w:r>
      <w:r>
        <w:t xml:space="preserve">15</w:t>
      </w:r>
      <w:r>
        <w:t xml:space="preserve"> </w:t>
      </w:r>
      <w:r>
        <w:t xml:space="preserve">folds and their intervals overlap, so their order is not interpreted. All features other than temperature are statistics of ELEMENTAL properties of the elements in the formula, not measured properties of the material. For S,</w:t>
      </w:r>
      <w:r>
        <w:t xml:space="preserve"> </w:t>
      </w:r>
      <w:r>
        <w:t xml:space="preserve">Elemental thermal conductivity, mean abs. deviation (CBFV)</w:t>
      </w:r>
      <w:r>
        <w:t xml:space="preserve"> </w:t>
      </w:r>
      <w:r>
        <w:t xml:space="preserve">is among the top three in</w:t>
      </w:r>
      <w:r>
        <w:t xml:space="preserve"> </w:t>
      </w:r>
      <w:r>
        <w:t xml:space="preserve">24</w:t>
      </w:r>
      <w:r>
        <w:t xml:space="preserve"> </w:t>
      </w:r>
      <w:r>
        <w:t xml:space="preserve">of</w:t>
      </w:r>
      <w:r>
        <w:t xml:space="preserve"> </w:t>
      </w:r>
      <w:r>
        <w:t xml:space="preserve">25</w:t>
      </w:r>
      <w:r>
        <w:t xml:space="preserve"> </w:t>
      </w:r>
      <w:r>
        <w:t xml:space="preserve">folds and first in</w:t>
      </w:r>
      <w:r>
        <w:t xml:space="preserve"> </w:t>
      </w:r>
      <w:r>
        <w:t xml:space="preserve">17</w:t>
      </w:r>
      <w:r>
        <w:t xml:space="preserve">; for</w:t>
      </w:r>
      <w:r>
        <w:t xml:space="preserve"> </w:t>
      </w:r>
      <w:r>
        <w:rPr>
          <w:i/>
          <w:iCs/>
        </w:rPr>
        <w:t xml:space="preserve">σ</w:t>
      </w:r>
      <w:r>
        <w:t xml:space="preserve">,</w:t>
      </w:r>
      <w:r>
        <w:t xml:space="preserve"> </w:t>
      </w:r>
      <w:r>
        <w:t xml:space="preserve">Elemental MB electronegativity, mean abs. deviation (CBFV)</w:t>
      </w:r>
      <w:r>
        <w:t xml:space="preserve"> </w:t>
      </w:r>
      <w:r>
        <w:t xml:space="preserve">is among the top three in</w:t>
      </w:r>
      <w:r>
        <w:t xml:space="preserve"> </w:t>
      </w:r>
      <w:r>
        <w:t xml:space="preserve">24</w:t>
      </w:r>
      <w:r>
        <w:t xml:space="preserve"> </w:t>
      </w:r>
      <w:r>
        <w:t xml:space="preserve">folds (first in</w:t>
      </w:r>
      <w:r>
        <w:t xml:space="preserve"> </w:t>
      </w:r>
      <w:r>
        <w:t xml:space="preserve">14</w:t>
      </w:r>
      <w:r>
        <w:t xml:space="preserve">) and temperature in</w:t>
      </w:r>
      <w:r>
        <w:t xml:space="preserve"> </w:t>
      </w:r>
      <w:r>
        <w:t xml:space="preserve">22</w:t>
      </w:r>
      <w:r>
        <w:t xml:space="preserve">; for</w:t>
      </w:r>
      <w:r>
        <w:t xml:space="preserve"> </w:t>
      </w:r>
      <w:r>
        <w:rPr>
          <w:i/>
          <w:iCs/>
        </w:rPr>
        <w:t xml:space="preserve">κ</w:t>
      </w:r>
      <w:r>
        <w:t xml:space="preserve">, temperature is among the top three in</w:t>
      </w:r>
      <w:r>
        <w:t xml:space="preserve"> </w:t>
      </w:r>
      <w:r>
        <w:t xml:space="preserve">20</w:t>
      </w:r>
      <w:r>
        <w:t xml:space="preserve"> </w:t>
      </w:r>
      <w:r>
        <w:t xml:space="preserve">folds and among the top five in all</w:t>
      </w:r>
      <w:r>
        <w:t xml:space="preserve"> </w:t>
      </w:r>
      <w:r>
        <w:t xml:space="preserve">25</w:t>
      </w:r>
      <w:r>
        <w:t xml:space="preserve">, whereas the feature that leads on average,</w:t>
      </w:r>
      <w:r>
        <w:t xml:space="preserve"> </w:t>
      </w:r>
      <w:r>
        <w:t xml:space="preserve">Elemental heat of vaporization, maximum (CBFV)</w:t>
      </w:r>
      <w:r>
        <w:t xml:space="preserve">, is among the top three in only</w:t>
      </w:r>
      <w:r>
        <w:t xml:space="preserve"> </w:t>
      </w:r>
      <w:r>
        <w:t xml:space="preserve">14</w:t>
      </w:r>
      <w:r>
        <w:t xml:space="preserve"> </w:t>
      </w:r>
      <w:r>
        <w:t xml:space="preserve">folds and its interval reaches almost zero (</w:t>
      </w:r>
      <w:r>
        <w:t xml:space="preserve">0.001</w:t>
      </w:r>
      <w:r>
        <w:t xml:space="preserve"> </w:t>
      </w:r>
      <w:r>
        <w:t xml:space="preserve">to</w:t>
      </w:r>
      <w:r>
        <w:t xml:space="preserve"> </w:t>
      </w:r>
      <w:r>
        <w:t xml:space="preserve">0.056</w:t>
      </w:r>
      <w:r>
        <w:t xml:space="preserve">). In every model the intervals of the features ranked second to fifth by the mean overlap each other, so their order is not interpreted. Temperature is among the top five features in</w:t>
      </w:r>
      <w:r>
        <w:t xml:space="preserve"> </w:t>
      </w:r>
      <w:r>
        <w:t xml:space="preserve">15</w:t>
      </w:r>
      <w:r>
        <w:t xml:space="preserve"> </w:t>
      </w:r>
      <w:r>
        <w:t xml:space="preserve">of</w:t>
      </w:r>
      <w:r>
        <w:t xml:space="preserve"> </w:t>
      </w:r>
      <w:r>
        <w:t xml:space="preserve">25</w:t>
      </w:r>
      <w:r>
        <w:t xml:space="preserve"> </w:t>
      </w:r>
      <w:r>
        <w:t xml:space="preserve">folds for S and in all of them for</w:t>
      </w:r>
      <w:r>
        <w:t xml:space="preserve"> </w:t>
      </w:r>
      <w:r>
        <w:rPr>
          <w:i/>
          <w:iCs/>
        </w:rPr>
        <w:t xml:space="preserve">σ</w:t>
      </w:r>
      <w:r>
        <w:t xml:space="preserve">,</w:t>
      </w:r>
      <w:r>
        <w:t xml:space="preserve"> </w:t>
      </w:r>
      <w:r>
        <w:rPr>
          <w:i/>
          <w:iCs/>
        </w:rPr>
        <w:t xml:space="preserve">κ</w:t>
      </w:r>
      <w:r>
        <w:t xml:space="preserve"> </w:t>
      </w:r>
      <w:r>
        <w:t xml:space="preserve">and zT. In the beeswarm plots (Supplementary Figure S4) the SHAP value of the temperature feature rises with temperature for zT (Spearman correlation of the feature value with its SHAP value</w:t>
      </w:r>
      <w:r>
        <w:t xml:space="preserve"> </w:t>
      </w:r>
      <w:r>
        <w:t xml:space="preserve">0.95</w:t>
      </w:r>
      <w:r>
        <w:t xml:space="preserve">) and falls with temperature for</w:t>
      </w:r>
      <w:r>
        <w:t xml:space="preserve"> </w:t>
      </w:r>
      <w:r>
        <w:rPr>
          <w:i/>
          <w:iCs/>
        </w:rPr>
        <w:t xml:space="preserve">κ</w:t>
      </w:r>
      <w:r>
        <w:t xml:space="preserve"> </w:t>
      </w:r>
      <w:r>
        <w:t xml:space="preserve">(</w:t>
      </w:r>
      <w:r>
        <w:t xml:space="preserve">−0.90</w:t>
      </w:r>
      <w:r>
        <w:t xml:space="preserve">) and</w:t>
      </w:r>
      <w:r>
        <w:t xml:space="preserve"> </w:t>
      </w:r>
      <w:r>
        <w:rPr>
          <w:i/>
          <w:iCs/>
        </w:rPr>
        <w:t xml:space="preserve">σ</w:t>
      </w:r>
      <w:r>
        <w:t xml:space="preserve"> </w:t>
      </w:r>
      <w:r>
        <w:t xml:space="preserve">(</w:t>
      </w:r>
      <w:r>
        <w:t xml:space="preserve">−0.79</w:t>
      </w:r>
      <w:r>
        <w:t xml:space="preserve">), and depends only weakly on it for S (</w:t>
      </w:r>
      <w:r>
        <w:t xml:space="preserve">0.19</w:t>
      </w:r>
      <w:r>
        <w:t xml:space="preserve">). These are attributions of the fitted models, not causal effects, and the physical reading of a descriptor is left to the reader: no mechanism is claimed here. Fig. 6 shows the bar plots with the SD across folds.</w:t>
      </w:r>
    </w:p>
    <w:p>
      <w:pPr>
        <w:pStyle w:val="BodyText"/>
      </w:pPr>
      <w:r>
        <w:rPr>
          <w:b/>
          <w:bCs/>
        </w:rPr>
        <w:t xml:space="preserve">Table 6:</w:t>
      </w:r>
      <w:r>
        <w:t xml:space="preserve"> </w:t>
      </w:r>
      <w:r>
        <w:t xml:space="preserve">The five features with the largest mean |SHAP| per target (mean over 25 chemistry-cluster test folds, each on 20,000 random test rows), each with the 2.5th to 97.5th percentile of the per-fold mean across the 25 folds and the number of folds in which it is among the three most important features. The folds are five repeats of five grouped folds, so they are not independent. Only orderings the folds support are interpreted: the intervals of ranks two to five overlap in every model, so those ranks are listed by their mean without a ranking claim. Units of the SHAP values are those of the target (</w:t>
      </w:r>
      <w:r>
        <w:rPr>
          <w:i/>
          <w:iCs/>
        </w:rPr>
        <w:t xml:space="preserve">µ</w:t>
      </w:r>
      <w:r>
        <w:t xml:space="preserve">V K</w:t>
      </w:r>
      <w:r>
        <w:rPr>
          <w:vertAlign w:val="superscript"/>
        </w:rPr>
        <w:t xml:space="preserve">−1</w:t>
      </w:r>
      <w:r>
        <w:t xml:space="preserve"> </w:t>
      </w:r>
      <w:r>
        <w:t xml:space="preserve">for S; log</w:t>
      </w:r>
      <w:r>
        <w:rPr>
          <w:vertAlign w:val="subscript"/>
        </w:rPr>
        <w:t xml:space="preserve">10</w:t>
      </w:r>
      <w:r>
        <w:t xml:space="preserve"> </w:t>
      </w:r>
      <w:r>
        <w:t xml:space="preserve">units for</w:t>
      </w:r>
      <w:r>
        <w:t xml:space="preserve"> </w:t>
      </w:r>
      <w:r>
        <w:rPr>
          <w:i/>
          <w:iCs/>
        </w:rPr>
        <w:t xml:space="preserve">σ</w:t>
      </w:r>
      <w:r>
        <w:t xml:space="preserve"> </w:t>
      </w:r>
      <w:r>
        <w:t xml:space="preserve">and</w:t>
      </w:r>
      <w:r>
        <w:t xml:space="preserve"> </w:t>
      </w:r>
      <w:r>
        <w:rPr>
          <w:i/>
          <w:iCs/>
        </w:rPr>
        <w:t xml:space="preserve">κ</w:t>
      </w:r>
      <w:r>
        <w:t xml:space="preserve">). Every feature is a statistic of an ELEMENTAL property of the elements in the formula (or the temperature), not a measured property of the material; the statistic is the atomic-fraction-weighted mean, the weighted mean absolute deviation about it (mean abs. deviation), the range, the minimum or the maximum over the elements, or the mode (the value of the most abundant element), from the MAGPIE or CBFV element tables. The labels come from docs/feature_labels.csv.</w:t>
      </w:r>
    </w:p>
    <w:tbl>
      <w:tblPr>
        <w:tblStyle w:val="Table"/>
        <w:tblW w:type="pct" w:w="5000"/>
        <w:tblLayout w:type="fixed"/>
        <w:tblLook w:firstRow="1" w:lastRow="0" w:firstColumn="0" w:lastColumn="0" w:noHBand="0" w:noVBand="0" w:val="0020"/>
      </w:tblPr>
      <w:tblGrid>
        <w:gridCol w:w="565"/>
        <w:gridCol w:w="1838"/>
        <w:gridCol w:w="1838"/>
        <w:gridCol w:w="1838"/>
        <w:gridCol w:w="1838"/>
      </w:tblGrid>
      <w:tr>
        <w:trPr>
          <w:tblHeader w:val="on"/>
        </w:trPr>
        <w:tc>
          <w:tcPr/>
          <w:p>
            <w:pPr>
              <w:pStyle w:val="Compact"/>
            </w:pPr>
            <w:r>
              <w:rPr>
                <w:b/>
                <w:bCs/>
              </w:rPr>
              <w:t xml:space="preserve">Rank</w:t>
            </w:r>
          </w:p>
        </w:tc>
        <w:tc>
          <w:tcPr/>
          <w:p>
            <w:pPr>
              <w:pStyle w:val="Compact"/>
            </w:pPr>
            <w:r>
              <w:rPr>
                <w:b/>
                <w:bCs/>
              </w:rPr>
              <w:t xml:space="preserve">S</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w:t>
            </w:r>
          </w:p>
        </w:tc>
      </w:tr>
      <w:tr>
        <w:tc>
          <w:tcPr/>
          <w:p>
            <w:pPr>
              <w:pStyle w:val="Compact"/>
            </w:pPr>
            <w:r>
              <w:t xml:space="preserve">1</w:t>
            </w:r>
          </w:p>
        </w:tc>
        <w:tc>
          <w:tcPr/>
          <w:p>
            <w:pPr>
              <w:pStyle w:val="Compact"/>
            </w:pPr>
            <w:r>
              <w:t xml:space="preserve">Elemental thermal conductivity, mean abs. deviation (CBFV) (12.9; 7.9–17.6; top 3 in 24 of 25 folds)</w:t>
            </w:r>
          </w:p>
        </w:tc>
        <w:tc>
          <w:tcPr/>
          <w:p>
            <w:pPr>
              <w:pStyle w:val="Compact"/>
            </w:pPr>
            <w:r>
              <w:t xml:space="preserve">Elemental MB electronegativity, mean abs. deviation (CBFV) (0.069; 0.032–0.098; top 3 in 24 of 25 folds)</w:t>
            </w:r>
          </w:p>
        </w:tc>
        <w:tc>
          <w:tcPr/>
          <w:p>
            <w:pPr>
              <w:pStyle w:val="Compact"/>
            </w:pPr>
            <w:r>
              <w:t xml:space="preserve">Elemental heat of vaporization, maximum (CBFV) (0.032; 0.001–0.056; top 3 in 14 of 25 folds)</w:t>
            </w:r>
          </w:p>
        </w:tc>
        <w:tc>
          <w:tcPr/>
          <w:p>
            <w:pPr>
              <w:pStyle w:val="Compact"/>
            </w:pPr>
            <w:r>
              <w:t xml:space="preserve">Temperature (0.128; 0.120–0.136; top 3 in 25 of 25 folds)</w:t>
            </w:r>
          </w:p>
        </w:tc>
      </w:tr>
      <w:tr>
        <w:tc>
          <w:tcPr/>
          <w:p>
            <w:pPr>
              <w:pStyle w:val="Compact"/>
            </w:pPr>
            <w:r>
              <w:t xml:space="preserve">2</w:t>
            </w:r>
          </w:p>
        </w:tc>
        <w:tc>
          <w:tcPr/>
          <w:p>
            <w:pPr>
              <w:pStyle w:val="Compact"/>
            </w:pPr>
            <w:r>
              <w:t xml:space="preserve">Elemental density, mean abs. deviation (CBFV) (7.4; 3.5–11.2; top 3 in 15 of 25 folds)</w:t>
            </w:r>
          </w:p>
        </w:tc>
        <w:tc>
          <w:tcPr/>
          <w:p>
            <w:pPr>
              <w:pStyle w:val="Compact"/>
            </w:pPr>
            <w:r>
              <w:t xml:space="preserve">Elemental Pauling electronegativity, mean (CBFV) (0.039; 0.002–0.086; top 3 in 14 of 25 folds)</w:t>
            </w:r>
          </w:p>
        </w:tc>
        <w:tc>
          <w:tcPr/>
          <w:p>
            <w:pPr>
              <w:pStyle w:val="Compact"/>
            </w:pPr>
            <w:r>
              <w:t xml:space="preserve">Temperature (0.028; 0.025–0.031; top 3 in 20 of 25 folds)</w:t>
            </w:r>
          </w:p>
        </w:tc>
        <w:tc>
          <w:tcPr/>
          <w:p>
            <w:pPr>
              <w:pStyle w:val="Compact"/>
            </w:pPr>
            <w:r>
              <w:t xml:space="preserve">Elemental Zunger radii sum, mean abs. deviation (CBFV) (0.032; 0.004–0.062; top 3 in 16 of 25 folds)</w:t>
            </w:r>
          </w:p>
        </w:tc>
      </w:tr>
      <w:tr>
        <w:tc>
          <w:tcPr/>
          <w:p>
            <w:pPr>
              <w:pStyle w:val="Compact"/>
            </w:pPr>
            <w:r>
              <w:t xml:space="preserve">3</w:t>
            </w:r>
          </w:p>
        </w:tc>
        <w:tc>
          <w:tcPr/>
          <w:p>
            <w:pPr>
              <w:pStyle w:val="Compact"/>
            </w:pPr>
            <w:r>
              <w:t xml:space="preserve">Elemental Gilmor number of valence electrons, mean abs. deviation (CBFV) (6.4; 2.0–13.8; top 3 in 10 of 25 folds)</w:t>
            </w:r>
          </w:p>
        </w:tc>
        <w:tc>
          <w:tcPr/>
          <w:p>
            <w:pPr>
              <w:pStyle w:val="Compact"/>
            </w:pPr>
            <w:r>
              <w:t xml:space="preserve">Elemental melting temperature, mode (MAGPIE) (0.037; 0.011–0.096; top 3 in 9 of 25 folds)</w:t>
            </w:r>
          </w:p>
        </w:tc>
        <w:tc>
          <w:tcPr/>
          <w:p>
            <w:pPr>
              <w:pStyle w:val="Compact"/>
            </w:pPr>
            <w:r>
              <w:t xml:space="preserve">Elemental melting point, mean (CBFV) (0.021; 0.001–0.060; top 3 in 8 of 25 folds)</w:t>
            </w:r>
          </w:p>
        </w:tc>
        <w:tc>
          <w:tcPr/>
          <w:p>
            <w:pPr>
              <w:pStyle w:val="Compact"/>
            </w:pPr>
            <w:r>
              <w:t xml:space="preserve">Elemental d valence electrons, mean (MAGPIE) (0.027; 0.011–0.057; top 3 in 15 of 25 folds)</w:t>
            </w:r>
          </w:p>
        </w:tc>
      </w:tr>
      <w:tr>
        <w:tc>
          <w:tcPr/>
          <w:p>
            <w:pPr>
              <w:pStyle w:val="Compact"/>
            </w:pPr>
            <w:r>
              <w:t xml:space="preserve">4</w:t>
            </w:r>
          </w:p>
        </w:tc>
        <w:tc>
          <w:tcPr/>
          <w:p>
            <w:pPr>
              <w:pStyle w:val="Compact"/>
            </w:pPr>
            <w:r>
              <w:t xml:space="preserve">Elemental polarizability, mean (CBFV) (5.4; 0.7–16.6; top 3 in 8 of 25 folds)</w:t>
            </w:r>
          </w:p>
        </w:tc>
        <w:tc>
          <w:tcPr/>
          <w:p>
            <w:pPr>
              <w:pStyle w:val="Compact"/>
            </w:pPr>
            <w:r>
              <w:t xml:space="preserve">Temperature (0.035; 0.031–0.040; top 3 in 22 of 25 folds)</w:t>
            </w:r>
          </w:p>
        </w:tc>
        <w:tc>
          <w:tcPr/>
          <w:p>
            <w:pPr>
              <w:pStyle w:val="Compact"/>
            </w:pPr>
            <w:r>
              <w:t xml:space="preserve">Elemental heat of atomization, mean abs. deviation (CBFV) (0.020; 0.003–0.046; top 3 in 12 of 25 folds)</w:t>
            </w:r>
          </w:p>
        </w:tc>
        <w:tc>
          <w:tcPr/>
          <w:p>
            <w:pPr>
              <w:pStyle w:val="Compact"/>
            </w:pPr>
            <w:r>
              <w:t xml:space="preserve">Elemental Mendeleev number, maximum (MAGPIE) (0.012; 0.002–0.048; top 3 in 5 of 25 folds)</w:t>
            </w:r>
          </w:p>
        </w:tc>
      </w:tr>
      <w:tr>
        <w:tc>
          <w:tcPr/>
          <w:p>
            <w:pPr>
              <w:pStyle w:val="Compact"/>
            </w:pPr>
            <w:r>
              <w:t xml:space="preserve">5</w:t>
            </w:r>
          </w:p>
        </w:tc>
        <w:tc>
          <w:tcPr/>
          <w:p>
            <w:pPr>
              <w:pStyle w:val="Compact"/>
            </w:pPr>
            <w:r>
              <w:t xml:space="preserve">Elemental metal flag, mean (CBFV) (5.4; 2.0–9.9; top 3 in 6 of 25 folds)</w:t>
            </w:r>
          </w:p>
        </w:tc>
        <w:tc>
          <w:tcPr/>
          <w:p>
            <w:pPr>
              <w:pStyle w:val="Compact"/>
            </w:pPr>
            <w:r>
              <w:t xml:space="preserve">Elemental Gilmor number of valence electrons, mean abs. deviation (CBFV) (0.023; 0.016–0.032; top 3 in 0 of 25 folds)</w:t>
            </w:r>
          </w:p>
        </w:tc>
        <w:tc>
          <w:tcPr/>
          <w:p>
            <w:pPr>
              <w:pStyle w:val="Compact"/>
            </w:pPr>
            <w:r>
              <w:t xml:space="preserve">Elemental Mendeleev number, maximum (MAGPIE) (0.018; 0.008–0.041; top 3 in 3 of 25 folds)</w:t>
            </w:r>
          </w:p>
        </w:tc>
        <w:tc>
          <w:tcPr/>
          <w:p>
            <w:pPr>
              <w:pStyle w:val="Compact"/>
            </w:pPr>
            <w:r>
              <w:t xml:space="preserve">Elemental Mendeleev number, mean (MAGPIE) (0.011; 0.008–0.017; top 3 in 0 of 25 folds)</w:t>
            </w:r>
          </w:p>
        </w:tc>
      </w:tr>
    </w:tbl>
    <w:p>
      <w:pPr>
        <w:pStyle w:val="CaptionedFigure"/>
      </w:pPr>
      <w:r>
        <w:drawing>
          <wp:inline>
            <wp:extent cx="5334000" cy="7002816"/>
            <wp:effectExtent b="0" l="0" r="0" t="0"/>
            <wp:docPr descr="Figure 6" title="" id="38" name="Picture"/>
            <a:graphic>
              <a:graphicData uri="http://schemas.openxmlformats.org/drawingml/2006/picture">
                <pic:pic>
                  <pic:nvPicPr>
                    <pic:cNvPr descr="../figures/fig10_shap_global.png" id="39" name="Picture"/>
                    <pic:cNvPicPr>
                      <a:picLocks noChangeArrowheads="1" noChangeAspect="1"/>
                    </pic:cNvPicPr>
                  </pic:nvPicPr>
                  <pic:blipFill>
                    <a:blip r:embed="rId37"/>
                    <a:stretch>
                      <a:fillRect/>
                    </a:stretch>
                  </pic:blipFill>
                  <pic:spPr bwMode="auto">
                    <a:xfrm>
                      <a:off x="0" y="0"/>
                      <a:ext cx="5334000" cy="7002816"/>
                    </a:xfrm>
                    <a:prstGeom prst="rect">
                      <a:avLst/>
                    </a:prstGeom>
                    <a:noFill/>
                    <a:ln w="9525">
                      <a:noFill/>
                      <a:headEnd/>
                      <a:tailEnd/>
                    </a:ln>
                  </pic:spPr>
                </pic:pic>
              </a:graphicData>
            </a:graphic>
          </wp:inline>
        </w:drawing>
      </w:r>
    </w:p>
    <w:p>
      <w:pPr>
        <w:pStyle w:val="ImageCaption"/>
      </w:pPr>
      <w:r>
        <w:t xml:space="preserve">Figure 6</w:t>
      </w:r>
    </w:p>
    <w:p>
      <w:pPr>
        <w:pStyle w:val="BodyText"/>
      </w:pPr>
      <w:r>
        <w:rPr>
          <w:b/>
          <w:bCs/>
        </w:rPr>
        <w:t xml:space="preserve">Figure 6:</w:t>
      </w:r>
      <w:r>
        <w:t xml:space="preserve"> </w:t>
      </w:r>
      <w:r>
        <w:t xml:space="preserve">SHAP global feature importance (top</w:t>
      </w:r>
      <w:r>
        <w:t xml:space="preserve"> </w:t>
      </w:r>
      <w:r>
        <w:t xml:space="preserve">15</w:t>
      </w:r>
      <w:r>
        <w:t xml:space="preserve"> </w:t>
      </w:r>
      <w:r>
        <w:t xml:space="preserve">features, bars: mean over the</w:t>
      </w:r>
      <w:r>
        <w:t xml:space="preserve"> </w:t>
      </w:r>
      <w:r>
        <w:t xml:space="preserve">25</w:t>
      </w:r>
      <w:r>
        <w:t xml:space="preserve"> </w:t>
      </w:r>
      <w:r>
        <w:t xml:space="preserve">folds; error bars:</w:t>
      </w:r>
      <w:r>
        <w:t xml:space="preserve"> </w:t>
      </w:r>
      <w:r>
        <w:t xml:space="preserve">2.5</w:t>
      </w:r>
      <w:r>
        <w:t xml:space="preserve">th to</w:t>
      </w:r>
      <w:r>
        <w:t xml:space="preserve"> </w:t>
      </w:r>
      <w:r>
        <w:t xml:space="preserve">97.5</w:t>
      </w:r>
      <w:r>
        <w:t xml:space="preserve">th percentile of the per-fold mean across the</w:t>
      </w:r>
      <w:r>
        <w:t xml:space="preserve"> </w:t>
      </w:r>
      <w:r>
        <w:t xml:space="preserve">25</w:t>
      </w:r>
      <w:r>
        <w:t xml:space="preserve"> </w:t>
      </w:r>
      <w:r>
        <w:t xml:space="preserve">folds, which are five repeats of five grouped folds and not independent; orderings below the first few features are not supported where intervals overlap) for (a) S (</w:t>
      </w:r>
      <w:r>
        <w:rPr>
          <w:i/>
          <w:iCs/>
        </w:rPr>
        <w:t xml:space="preserve">µ</w:t>
      </w:r>
      <w:r>
        <w:t xml:space="preserve">V K</w:t>
      </w:r>
      <w:r>
        <w:rPr>
          <w:vertAlign w:val="superscript"/>
        </w:rPr>
        <w:t xml:space="preserve">−1</w:t>
      </w:r>
      <w:r>
        <w:t xml:space="preserve">), (b)</w:t>
      </w:r>
      <w:r>
        <w:t xml:space="preserve"> </w:t>
      </w:r>
      <w:r>
        <w:rPr>
          <w:i/>
          <w:iCs/>
        </w:rPr>
        <w:t xml:space="preserve">σ</w:t>
      </w:r>
      <w:r>
        <w:t xml:space="preserve"> </w:t>
      </w:r>
      <w:r>
        <w:t xml:space="preserve">(log</w:t>
      </w:r>
      <w:r>
        <w:rPr>
          <w:vertAlign w:val="subscript"/>
        </w:rPr>
        <w:t xml:space="preserve">10</w:t>
      </w:r>
      <w:r>
        <w:t xml:space="preserve"> </w:t>
      </w:r>
      <w:r>
        <w:t xml:space="preserve">units), (c)</w:t>
      </w:r>
      <w:r>
        <w:t xml:space="preserve"> </w:t>
      </w:r>
      <w:r>
        <w:rPr>
          <w:i/>
          <w:iCs/>
        </w:rPr>
        <w:t xml:space="preserve">κ</w:t>
      </w:r>
      <w:r>
        <w:t xml:space="preserve"> </w:t>
      </w:r>
      <w:r>
        <w:t xml:space="preserve">(log</w:t>
      </w:r>
      <w:r>
        <w:rPr>
          <w:vertAlign w:val="subscript"/>
        </w:rPr>
        <w:t xml:space="preserve">10</w:t>
      </w:r>
      <w:r>
        <w:t xml:space="preserve"> </w:t>
      </w:r>
      <w:r>
        <w:t xml:space="preserve">units) and (d) zT. Every feature other than temperature is a statistic of an ELEMENTAL property of the elements in the formula (the label names the property, the statistic and the element table, MAGPIE or CBFV), not a measured property of the material: the top feature of the S model, for example, is the spread of the elemental thermal conductivities, not the sample’s thermal conductivity.</w:t>
      </w:r>
    </w:p>
    <w:p>
      <w:pPr>
        <w:pStyle w:val="BodyText"/>
      </w:pPr>
      <w:r>
        <w:t xml:space="preserve">Feature labels, the units of the SHAP values, the beeswarm plots and the shares of the two featurisation schemes are in Supplementary Note S8.</w:t>
      </w:r>
    </w:p>
    <w:bookmarkEnd w:id="40"/>
    <w:bookmarkStart w:id="41" w:name="X0fca4415a330abc147f44c574f613888b6ee831"/>
    <w:p>
      <w:pPr>
        <w:pStyle w:val="Heading3"/>
      </w:pPr>
      <w:r>
        <w:t xml:space="preserve">3.1.6 Direct versus component-wise zT prediction</w:t>
      </w:r>
    </w:p>
    <w:p>
      <w:pPr>
        <w:pStyle w:val="FirstParagraph"/>
      </w:pPr>
      <w:r>
        <w:t xml:space="preserve">Direct zT prediction was compared with the component-wise derivation S</w:t>
      </w:r>
      <w:r>
        <w:rPr>
          <w:vertAlign w:val="superscript"/>
        </w:rPr>
        <w:t xml:space="preserve">2</w:t>
      </w:r>
      <w:r>
        <w:rPr>
          <w:i/>
          <w:iCs/>
        </w:rPr>
        <w:t xml:space="preserve">σ</w:t>
      </w:r>
      <w:r>
        <w:t xml:space="preserve">T/</w:t>
      </w:r>
      <w:r>
        <w:rPr>
          <w:i/>
          <w:iCs/>
        </w:rPr>
        <w:t xml:space="preserve">κ</w:t>
      </w:r>
      <w:r>
        <w:t xml:space="preserve"> </w:t>
      </w:r>
      <w:r>
        <w:t xml:space="preserve">under chemistry-cluster CV (Supplementary Table S5). Direct prediction is more accurate (R</w:t>
      </w:r>
      <w:r>
        <w:rPr>
          <w:vertAlign w:val="superscript"/>
        </w:rPr>
        <w:t xml:space="preserve">2</w:t>
      </w:r>
      <w:r>
        <w:t xml:space="preserve"> </w:t>
      </w:r>
      <w:r>
        <w:t xml:space="preserve">=</w:t>
      </w:r>
      <w:r>
        <w:t xml:space="preserve"> </w:t>
      </w:r>
      <w:r>
        <w:t xml:space="preserve">0.727</w:t>
      </w:r>
      <w:r>
        <w:t xml:space="preserve"> </w:t>
      </w:r>
      <w:r>
        <w:t xml:space="preserve">vs</w:t>
      </w:r>
      <w:r>
        <w:t xml:space="preserve"> </w:t>
      </w:r>
      <w:r>
        <w:t xml:space="preserve">0.540</w:t>
      </w:r>
      <w:r>
        <w:t xml:space="preserve">), with each model using its own target’s frozen hyperparameters. The size of the advantage does: the gap between the two pathways is</w:t>
      </w:r>
      <w:r>
        <w:t xml:space="preserve"> </w:t>
      </w:r>
      <w:r>
        <w:t xml:space="preserve">0.036</w:t>
      </w:r>
      <w:r>
        <w:t xml:space="preserve"> </w:t>
      </w:r>
      <w:r>
        <w:t xml:space="preserve">under random validation and</w:t>
      </w:r>
      <w:r>
        <w:t xml:space="preserve"> </w:t>
      </w:r>
      <w:r>
        <w:t xml:space="preserve">0.186</w:t>
      </w:r>
      <w:r>
        <w:t xml:space="preserve"> </w:t>
      </w:r>
      <w:r>
        <w:t xml:space="preserve">under chemistry-cluster validation (differences of unrounded R</w:t>
      </w:r>
      <w:r>
        <w:rPr>
          <w:vertAlign w:val="superscript"/>
        </w:rPr>
        <w:t xml:space="preserve">2</w:t>
      </w:r>
      <w:r>
        <w:t xml:space="preserve">), a factor of</w:t>
      </w:r>
      <w:r>
        <w:t xml:space="preserve"> </w:t>
      </w:r>
      <w:r>
        <w:t xml:space="preserve">5.1</w:t>
      </w:r>
      <w:r>
        <w:t xml:space="preserve">. Random validation therefore understates how much the derived route loses when it has to generalize to unseen chemistry. The error-propagation argument, the smearing check and the comparison under random validation are in Supplementary Note S9.</w:t>
      </w:r>
    </w:p>
    <w:bookmarkEnd w:id="41"/>
    <w:bookmarkEnd w:id="42"/>
    <w:bookmarkStart w:id="46" w:name="external-validation"/>
    <w:p>
      <w:pPr>
        <w:pStyle w:val="Heading2"/>
      </w:pPr>
      <w:r>
        <w:t xml:space="preserve">3.2 External validation</w:t>
      </w:r>
    </w:p>
    <w:p>
      <w:pPr>
        <w:pStyle w:val="FirstParagraph"/>
      </w:pPr>
      <w:r>
        <w:t xml:space="preserve">The most stringent test is evaluation on a completely independent dataset. ESTM data (</w:t>
      </w:r>
      <w:r>
        <w:t xml:space="preserve">4,539</w:t>
      </w:r>
      <w:r>
        <w:t xml:space="preserve"> </w:t>
      </w:r>
      <w:r>
        <w:t xml:space="preserve">rows within</w:t>
      </w:r>
      <w:r>
        <w:t xml:space="preserve"> </w:t>
      </w:r>
      <w:r>
        <w:t xml:space="preserve">300</w:t>
      </w:r>
      <w:r>
        <w:t xml:space="preserve">–</w:t>
      </w:r>
      <w:r>
        <w:t xml:space="preserve">800</w:t>
      </w:r>
      <w:r>
        <w:t xml:space="preserve"> </w:t>
      </w:r>
      <w:r>
        <w:t xml:space="preserve">K) were not used in model development. Results are summarized in Table 7 and Fig. 7. External scores are lower than the internal chemistry-cluster values for every property, and the loss is larger for chemistries absent from training (stratum b) than when only rows sharing a source publication with training are removed (stratum a).</w:t>
      </w:r>
      <w:r>
        <w:t xml:space="preserve"> </w:t>
      </w:r>
      <w:r>
        <w:rPr>
          <w:i/>
          <w:iCs/>
        </w:rPr>
        <w:t xml:space="preserve">κ</w:t>
      </w:r>
      <w:r>
        <w:t xml:space="preserve"> </w:t>
      </w:r>
      <w:r>
        <w:t xml:space="preserve">and zT transfer best. For</w:t>
      </w:r>
      <w:r>
        <w:t xml:space="preserve"> </w:t>
      </w:r>
      <w:r>
        <w:rPr>
          <w:i/>
          <w:iCs/>
        </w:rPr>
        <w:t xml:space="preserve">κ</w:t>
      </w:r>
      <w:r>
        <w:t xml:space="preserve"> </w:t>
      </w:r>
      <w:r>
        <w:t xml:space="preserve">the R</w:t>
      </w:r>
      <w:r>
        <w:rPr>
          <w:vertAlign w:val="superscript"/>
        </w:rPr>
        <w:t xml:space="preserve">2</w:t>
      </w:r>
      <w:r>
        <w:t xml:space="preserve"> </w:t>
      </w:r>
      <w:r>
        <w:t xml:space="preserve">is</w:t>
      </w:r>
      <w:r>
        <w:t xml:space="preserve"> </w:t>
      </w:r>
      <w:r>
        <w:t xml:space="preserve">0.590</w:t>
      </w:r>
      <w:r>
        <w:t xml:space="preserve"> </w:t>
      </w:r>
      <w:r>
        <w:t xml:space="preserve">in stratum (b) (</w:t>
      </w:r>
      <w:r>
        <w:t xml:space="preserve">−0.219</w:t>
      </w:r>
      <w:r>
        <w:t xml:space="preserve"> </w:t>
      </w:r>
      <w:r>
        <w:t xml:space="preserve">from the internal value) and</w:t>
      </w:r>
      <w:r>
        <w:t xml:space="preserve"> </w:t>
      </w:r>
      <w:r>
        <w:t xml:space="preserve">0.672</w:t>
      </w:r>
      <w:r>
        <w:t xml:space="preserve"> </w:t>
      </w:r>
      <w:r>
        <w:t xml:space="preserve">in stratum (a) (</w:t>
      </w:r>
      <w:r>
        <w:t xml:space="preserve">−0.137</w:t>
      </w:r>
      <w:r>
        <w:t xml:space="preserve">); for zT it is</w:t>
      </w:r>
      <w:r>
        <w:t xml:space="preserve"> </w:t>
      </w:r>
      <w:r>
        <w:t xml:space="preserve">0.513</w:t>
      </w:r>
      <w:r>
        <w:t xml:space="preserve"> </w:t>
      </w:r>
      <w:r>
        <w:t xml:space="preserve">in stratum (b) (</w:t>
      </w:r>
      <w:r>
        <w:t xml:space="preserve">−0.232</w:t>
      </w:r>
      <w:r>
        <w:t xml:space="preserve">) and</w:t>
      </w:r>
      <w:r>
        <w:t xml:space="preserve"> </w:t>
      </w:r>
      <w:r>
        <w:t xml:space="preserve">0.666</w:t>
      </w:r>
      <w:r>
        <w:t xml:space="preserve"> </w:t>
      </w:r>
      <w:r>
        <w:t xml:space="preserve">in stratum (a) (</w:t>
      </w:r>
      <w:r>
        <w:t xml:space="preserve">−0.079</w:t>
      </w:r>
      <w:r>
        <w:t xml:space="preserve">). The two are tied in stratum (a), where their difference is smaller than the fit-to-fit difference given below, and in stratum (b)</w:t>
      </w:r>
      <w:r>
        <w:t xml:space="preserve"> </w:t>
      </w:r>
      <w:r>
        <w:rPr>
          <w:i/>
          <w:iCs/>
        </w:rPr>
        <w:t xml:space="preserve">κ</w:t>
      </w:r>
      <w:r>
        <w:t xml:space="preserve"> </w:t>
      </w:r>
      <w:r>
        <w:t xml:space="preserve">is clearly the highest. zT retains genuine predictive power for new chemistry, but well below its internal value.</w:t>
      </w:r>
      <w:r>
        <w:t xml:space="preserve"> </w:t>
      </w:r>
      <w:r>
        <w:rPr>
          <w:i/>
          <w:iCs/>
        </w:rPr>
        <w:t xml:space="preserve">σ</w:t>
      </w:r>
      <w:r>
        <w:t xml:space="preserve"> </w:t>
      </w:r>
      <w:r>
        <w:t xml:space="preserve">and S lose the most and</w:t>
      </w:r>
      <w:r>
        <w:t xml:space="preserve"> </w:t>
      </w:r>
      <w:r>
        <w:rPr>
          <w:i/>
          <w:iCs/>
        </w:rPr>
        <w:t xml:space="preserve">κ</w:t>
      </w:r>
      <w:r>
        <w:t xml:space="preserve"> </w:t>
      </w:r>
      <w:r>
        <w:t xml:space="preserve">and zT the least: in stratum (b) the change from the internal value is</w:t>
      </w:r>
      <w:r>
        <w:t xml:space="preserve"> </w:t>
      </w:r>
      <w:r>
        <w:t xml:space="preserve">−0.419</w:t>
      </w:r>
      <w:r>
        <w:t xml:space="preserve"> </w:t>
      </w:r>
      <w:r>
        <w:t xml:space="preserve">for</w:t>
      </w:r>
      <w:r>
        <w:t xml:space="preserve"> </w:t>
      </w:r>
      <w:r>
        <w:rPr>
          <w:i/>
          <w:iCs/>
        </w:rPr>
        <w:t xml:space="preserve">σ</w:t>
      </w:r>
      <w:r>
        <w:t xml:space="preserve"> </w:t>
      </w:r>
      <w:r>
        <w:t xml:space="preserve">(R</w:t>
      </w:r>
      <w:r>
        <w:rPr>
          <w:vertAlign w:val="superscript"/>
        </w:rPr>
        <w:t xml:space="preserve">2</w:t>
      </w:r>
      <w:r>
        <w:t xml:space="preserve"> </w:t>
      </w:r>
      <w:r>
        <w:t xml:space="preserve">=</w:t>
      </w:r>
      <w:r>
        <w:t xml:space="preserve"> </w:t>
      </w:r>
      <w:r>
        <w:t xml:space="preserve">0.283</w:t>
      </w:r>
      <w:r>
        <w:t xml:space="preserve">) and</w:t>
      </w:r>
      <w:r>
        <w:t xml:space="preserve"> </w:t>
      </w:r>
      <w:r>
        <w:t xml:space="preserve">−0.416</w:t>
      </w:r>
      <w:r>
        <w:t xml:space="preserve"> </w:t>
      </w:r>
      <w:r>
        <w:t xml:space="preserve">for S (R</w:t>
      </w:r>
      <w:r>
        <w:rPr>
          <w:vertAlign w:val="superscript"/>
        </w:rPr>
        <w:t xml:space="preserve">2</w:t>
      </w:r>
      <w:r>
        <w:t xml:space="preserve"> </w:t>
      </w:r>
      <w:r>
        <w:t xml:space="preserve">=</w:t>
      </w:r>
      <w:r>
        <w:t xml:space="preserve"> </w:t>
      </w:r>
      <w:r>
        <w:t xml:space="preserve">0.337</w:t>
      </w:r>
      <w:r>
        <w:t xml:space="preserve">), clearly more than</w:t>
      </w:r>
      <w:r>
        <w:t xml:space="preserve"> </w:t>
      </w:r>
      <w:r>
        <w:rPr>
          <w:i/>
          <w:iCs/>
        </w:rPr>
        <w:t xml:space="preserve">κ</w:t>
      </w:r>
      <w:r>
        <w:t xml:space="preserve"> </w:t>
      </w:r>
      <w:r>
        <w:t xml:space="preserve">and zT. For</w:t>
      </w:r>
      <w:r>
        <w:t xml:space="preserve"> </w:t>
      </w:r>
      <w:r>
        <w:rPr>
          <w:i/>
          <w:iCs/>
        </w:rPr>
        <w:t xml:space="preserve">σ</w:t>
      </w:r>
      <w:r>
        <w:t xml:space="preserve">, ESTM extends beyond the conductivity range of the training data, and restricting stratum (b) to rows inside the training range of S,</w:t>
      </w:r>
      <w:r>
        <w:t xml:space="preserve"> </w:t>
      </w:r>
      <w:r>
        <w:rPr>
          <w:i/>
          <w:iCs/>
        </w:rPr>
        <w:t xml:space="preserve">σ</w:t>
      </w:r>
      <w:r>
        <w:t xml:space="preserve">,</w:t>
      </w:r>
      <w:r>
        <w:t xml:space="preserve"> </w:t>
      </w:r>
      <w:r>
        <w:rPr>
          <w:i/>
          <w:iCs/>
        </w:rPr>
        <w:t xml:space="preserve">κ</w:t>
      </w:r>
      <w:r>
        <w:t xml:space="preserve"> </w:t>
      </w:r>
      <w:r>
        <w:t xml:space="preserve">and temperature (</w:t>
      </w:r>
      <w:r>
        <w:t xml:space="preserve">1,196</w:t>
      </w:r>
      <w:r>
        <w:t xml:space="preserve"> </w:t>
      </w:r>
      <w:r>
        <w:t xml:space="preserve">of</w:t>
      </w:r>
      <w:r>
        <w:t xml:space="preserve"> </w:t>
      </w:r>
      <w:r>
        <w:t xml:space="preserve">1,448</w:t>
      </w:r>
      <w:r>
        <w:t xml:space="preserve"> </w:t>
      </w:r>
      <w:r>
        <w:t xml:space="preserve">rows;</w:t>
      </w:r>
      <w:r>
        <w:t xml:space="preserve"> </w:t>
      </w:r>
      <w:r>
        <w:t xml:space="preserve">17</w:t>
      </w:r>
      <w:r>
        <w:t xml:space="preserve">% lie outside it) raises it to</w:t>
      </w:r>
      <w:r>
        <w:t xml:space="preserve"> </w:t>
      </w:r>
      <w:r>
        <w:t xml:space="preserve">0.400</w:t>
      </w:r>
      <w:r>
        <w:t xml:space="preserve">, reinforcing the limitation of composition-only models for carrier-concentration-dependent properties. An earlier scoring with an in-process refit of the same frozen hyperparameters (one pair of fits) differs from these values by up to</w:t>
      </w:r>
      <w:r>
        <w:t xml:space="preserve"> </w:t>
      </w:r>
      <w:r>
        <w:t xml:space="preserve">0.029</w:t>
      </w:r>
      <w:r>
        <w:t xml:space="preserve"> </w:t>
      </w:r>
      <w:r>
        <w:t xml:space="preserve">in R</w:t>
      </w:r>
      <w:r>
        <w:rPr>
          <w:vertAlign w:val="superscript"/>
        </w:rPr>
        <w:t xml:space="preserve">2</w:t>
      </w:r>
      <w:r>
        <w:t xml:space="preserve"> </w:t>
      </w:r>
      <w:r>
        <w:t xml:space="preserve">(largest for</w:t>
      </w:r>
      <w:r>
        <w:t xml:space="preserve"> </w:t>
      </w:r>
      <w:r>
        <w:t xml:space="preserve">κ in stratum (b)</w:t>
      </w:r>
      <w:r>
        <w:t xml:space="preserve">), an indication of fit-to-fit variation and not a variance estimate; the zT derived from the three predicted properties changed by</w:t>
      </w:r>
      <w:r>
        <w:t xml:space="preserve"> </w:t>
      </w:r>
      <w:r>
        <w:t xml:space="preserve">0.285</w:t>
      </w:r>
      <w:r>
        <w:t xml:space="preserve"> </w:t>
      </w:r>
      <w:r>
        <w:t xml:space="preserve">to</w:t>
      </w:r>
      <w:r>
        <w:t xml:space="preserve"> </w:t>
      </w:r>
      <w:r>
        <w:t xml:space="preserve">0.611</w:t>
      </w:r>
      <w:r>
        <w:t xml:space="preserve"> </w:t>
      </w:r>
      <w:r>
        <w:t xml:space="preserve">and is not offered as an external result. Orderings between targets are stated only where they exceed that difference; otherwise the targets are called tied.</w:t>
      </w:r>
    </w:p>
    <w:p>
      <w:pPr>
        <w:pStyle w:val="BodyText"/>
      </w:pPr>
      <w:r>
        <w:rPr>
          <w:b/>
          <w:bCs/>
        </w:rPr>
        <w:t xml:space="preserve">Table 7:</w:t>
      </w:r>
      <w:r>
        <w:t xml:space="preserve"> </w:t>
      </w:r>
      <w:r>
        <w:t xml:space="preserve">ESTM external validation (R</w:t>
      </w:r>
      <w:r>
        <w:rPr>
          <w:vertAlign w:val="superscript"/>
        </w:rPr>
        <w:t xml:space="preserve">2</w:t>
      </w:r>
      <w:r>
        <w:t xml:space="preserve">). The 4,539 ESTM rows within 300–800 K are scored in two strata that are never pooled: rows sharing no source DOI with the training data (a, n = 3,123) and rows whose chemistry cluster is absent from training (b, n = 1,448). The in-support column restricts (b) to rows inside the training range of S,</w:t>
      </w:r>
      <w:r>
        <w:t xml:space="preserve"> </w:t>
      </w:r>
      <w:r>
        <w:rPr>
          <w:i/>
          <w:iCs/>
        </w:rPr>
        <w:t xml:space="preserve">σ</w:t>
      </w:r>
      <w:r>
        <w:t xml:space="preserve">,</w:t>
      </w:r>
      <w:r>
        <w:t xml:space="preserve"> </w:t>
      </w:r>
      <w:r>
        <w:rPr>
          <w:i/>
          <w:iCs/>
        </w:rPr>
        <w:t xml:space="preserve">κ</w:t>
      </w:r>
      <w:r>
        <w:t xml:space="preserve"> </w:t>
      </w:r>
      <w:r>
        <w:t xml:space="preserve">and temperature (n = 1,196). The drop is stratum (b) minus the internal chemistry-cluster value.</w:t>
      </w:r>
    </w:p>
    <w:tbl>
      <w:tblPr>
        <w:tblStyle w:val="Table"/>
        <w:tblW w:type="pct" w:w="5000"/>
        <w:tblLayout w:type="fixed"/>
        <w:tblLook w:firstRow="1" w:lastRow="0" w:firstColumn="0" w:lastColumn="0" w:noHBand="0" w:noVBand="0" w:val="0020"/>
      </w:tblPr>
      <w:tblGrid>
        <w:gridCol w:w="1048"/>
        <w:gridCol w:w="1514"/>
        <w:gridCol w:w="1514"/>
        <w:gridCol w:w="1514"/>
        <w:gridCol w:w="1281"/>
        <w:gridCol w:w="1048"/>
      </w:tblGrid>
      <w:tr>
        <w:trPr>
          <w:tblHeader w:val="on"/>
        </w:trPr>
        <w:tc>
          <w:tcPr/>
          <w:p>
            <w:pPr>
              <w:pStyle w:val="Compact"/>
            </w:pPr>
            <w:r>
              <w:rPr>
                <w:b/>
                <w:bCs/>
              </w:rPr>
              <w:t xml:space="preserve">Target</w:t>
            </w:r>
          </w:p>
        </w:tc>
        <w:tc>
          <w:tcPr/>
          <w:p>
            <w:pPr>
              <w:pStyle w:val="Compact"/>
            </w:pPr>
            <w:r>
              <w:rPr>
                <w:b/>
                <w:bCs/>
              </w:rPr>
              <w:t xml:space="preserve">Internal (chemistry cluster)</w:t>
            </w:r>
          </w:p>
        </w:tc>
        <w:tc>
          <w:tcPr/>
          <w:p>
            <w:pPr>
              <w:pStyle w:val="Compact"/>
            </w:pPr>
            <w:r>
              <w:rPr>
                <w:b/>
                <w:bCs/>
              </w:rPr>
              <w:t xml:space="preserve">ESTM (a) DOI-disjoint</w:t>
            </w:r>
          </w:p>
        </w:tc>
        <w:tc>
          <w:tcPr/>
          <w:p>
            <w:pPr>
              <w:pStyle w:val="Compact"/>
            </w:pPr>
            <w:r>
              <w:rPr>
                <w:b/>
                <w:bCs/>
              </w:rPr>
              <w:t xml:space="preserve">ESTM (b) cluster-disjoint</w:t>
            </w:r>
          </w:p>
        </w:tc>
        <w:tc>
          <w:tcPr/>
          <w:p>
            <w:pPr>
              <w:pStyle w:val="Compact"/>
            </w:pPr>
            <w:r>
              <w:rPr>
                <w:b/>
                <w:bCs/>
              </w:rPr>
              <w:t xml:space="preserve">(b), in-support</w:t>
            </w:r>
          </w:p>
        </w:tc>
        <w:tc>
          <w:tcPr/>
          <w:p>
            <w:pPr>
              <w:pStyle w:val="Compact"/>
            </w:pPr>
            <w:r>
              <w:rPr>
                <w:b/>
                <w:bCs/>
              </w:rPr>
              <w:t xml:space="preserve">Drop (b)</w:t>
            </w:r>
          </w:p>
        </w:tc>
      </w:tr>
      <w:tr>
        <w:tc>
          <w:tcPr/>
          <w:p>
            <w:pPr>
              <w:pStyle w:val="Compact"/>
            </w:pPr>
            <w:r>
              <w:t xml:space="preserve">S</w:t>
            </w:r>
          </w:p>
        </w:tc>
        <w:tc>
          <w:tcPr/>
          <w:p>
            <w:pPr>
              <w:pStyle w:val="Compact"/>
            </w:pPr>
            <w:r>
              <w:t xml:space="preserve">0.753</w:t>
            </w:r>
          </w:p>
        </w:tc>
        <w:tc>
          <w:tcPr/>
          <w:p>
            <w:pPr>
              <w:pStyle w:val="Compact"/>
            </w:pPr>
            <w:r>
              <w:t xml:space="preserve">0.560</w:t>
            </w:r>
          </w:p>
        </w:tc>
        <w:tc>
          <w:tcPr/>
          <w:p>
            <w:pPr>
              <w:pStyle w:val="Compact"/>
            </w:pPr>
            <w:r>
              <w:t xml:space="preserve">0.337</w:t>
            </w:r>
          </w:p>
        </w:tc>
        <w:tc>
          <w:tcPr/>
          <w:p>
            <w:pPr>
              <w:pStyle w:val="Compact"/>
            </w:pPr>
            <w:r>
              <w:t xml:space="preserve">0.506</w:t>
            </w:r>
          </w:p>
        </w:tc>
        <w:tc>
          <w:tcPr/>
          <w:p>
            <w:pPr>
              <w:pStyle w:val="Compact"/>
            </w:pPr>
            <w:r>
              <w:t xml:space="preserve">−0.416</w:t>
            </w:r>
          </w:p>
        </w:tc>
      </w:tr>
      <w:tr>
        <w:tc>
          <w:tcPr/>
          <w:p>
            <w:pPr>
              <w:pStyle w:val="Compact"/>
            </w:pPr>
            <w:r>
              <w:rPr>
                <w:i/>
                <w:iCs/>
              </w:rPr>
              <w:t xml:space="preserve">σ</w:t>
            </w:r>
          </w:p>
        </w:tc>
        <w:tc>
          <w:tcPr/>
          <w:p>
            <w:pPr>
              <w:pStyle w:val="Compact"/>
            </w:pPr>
            <w:r>
              <w:t xml:space="preserve">0.702</w:t>
            </w:r>
          </w:p>
        </w:tc>
        <w:tc>
          <w:tcPr/>
          <w:p>
            <w:pPr>
              <w:pStyle w:val="Compact"/>
            </w:pPr>
            <w:r>
              <w:t xml:space="preserve">0.404</w:t>
            </w:r>
          </w:p>
        </w:tc>
        <w:tc>
          <w:tcPr/>
          <w:p>
            <w:pPr>
              <w:pStyle w:val="Compact"/>
            </w:pPr>
            <w:r>
              <w:t xml:space="preserve">0.283</w:t>
            </w:r>
          </w:p>
        </w:tc>
        <w:tc>
          <w:tcPr/>
          <w:p>
            <w:pPr>
              <w:pStyle w:val="Compact"/>
            </w:pPr>
            <w:r>
              <w:t xml:space="preserve">0.400</w:t>
            </w:r>
          </w:p>
        </w:tc>
        <w:tc>
          <w:tcPr/>
          <w:p>
            <w:pPr>
              <w:pStyle w:val="Compact"/>
            </w:pPr>
            <w:r>
              <w:t xml:space="preserve">−0.419</w:t>
            </w:r>
          </w:p>
        </w:tc>
      </w:tr>
      <w:tr>
        <w:tc>
          <w:tcPr/>
          <w:p>
            <w:pPr>
              <w:pStyle w:val="Compact"/>
            </w:pPr>
            <w:r>
              <w:rPr>
                <w:i/>
                <w:iCs/>
              </w:rPr>
              <w:t xml:space="preserve">κ</w:t>
            </w:r>
          </w:p>
        </w:tc>
        <w:tc>
          <w:tcPr/>
          <w:p>
            <w:pPr>
              <w:pStyle w:val="Compact"/>
            </w:pPr>
            <w:r>
              <w:t xml:space="preserve">0.809</w:t>
            </w:r>
          </w:p>
        </w:tc>
        <w:tc>
          <w:tcPr/>
          <w:p>
            <w:pPr>
              <w:pStyle w:val="Compact"/>
            </w:pPr>
            <w:r>
              <w:t xml:space="preserve">0.672</w:t>
            </w:r>
          </w:p>
        </w:tc>
        <w:tc>
          <w:tcPr/>
          <w:p>
            <w:pPr>
              <w:pStyle w:val="Compact"/>
            </w:pPr>
            <w:r>
              <w:t xml:space="preserve">0.590</w:t>
            </w:r>
          </w:p>
        </w:tc>
        <w:tc>
          <w:tcPr/>
          <w:p>
            <w:pPr>
              <w:pStyle w:val="Compact"/>
            </w:pPr>
            <w:r>
              <w:t xml:space="preserve">0.636</w:t>
            </w:r>
          </w:p>
        </w:tc>
        <w:tc>
          <w:tcPr/>
          <w:p>
            <w:pPr>
              <w:pStyle w:val="Compact"/>
            </w:pPr>
            <w:r>
              <w:t xml:space="preserve">−0.219</w:t>
            </w:r>
          </w:p>
        </w:tc>
      </w:tr>
      <w:tr>
        <w:tc>
          <w:tcPr/>
          <w:p>
            <w:pPr>
              <w:pStyle w:val="Compact"/>
            </w:pPr>
            <w:r>
              <w:t xml:space="preserve">zT (direct)</w:t>
            </w:r>
          </w:p>
        </w:tc>
        <w:tc>
          <w:tcPr/>
          <w:p>
            <w:pPr>
              <w:pStyle w:val="Compact"/>
            </w:pPr>
            <w:r>
              <w:t xml:space="preserve">0.746</w:t>
            </w:r>
          </w:p>
        </w:tc>
        <w:tc>
          <w:tcPr/>
          <w:p>
            <w:pPr>
              <w:pStyle w:val="Compact"/>
            </w:pPr>
            <w:r>
              <w:t xml:space="preserve">0.666</w:t>
            </w:r>
          </w:p>
        </w:tc>
        <w:tc>
          <w:tcPr/>
          <w:p>
            <w:pPr>
              <w:pStyle w:val="Compact"/>
            </w:pPr>
            <w:r>
              <w:t xml:space="preserve">0.513</w:t>
            </w:r>
          </w:p>
        </w:tc>
        <w:tc>
          <w:tcPr/>
          <w:p>
            <w:pPr>
              <w:pStyle w:val="Compact"/>
            </w:pPr>
            <w:r>
              <w:t xml:space="preserve">0.552</w:t>
            </w:r>
          </w:p>
        </w:tc>
        <w:tc>
          <w:tcPr/>
          <w:p>
            <w:pPr>
              <w:pStyle w:val="Compact"/>
            </w:pPr>
            <w:r>
              <w:t xml:space="preserve">−0.232</w:t>
            </w:r>
          </w:p>
        </w:tc>
      </w:tr>
    </w:tbl>
    <w:p>
      <w:pPr>
        <w:pStyle w:val="CaptionedFigure"/>
      </w:pPr>
      <w:r>
        <w:drawing>
          <wp:inline>
            <wp:extent cx="5334000" cy="2131905"/>
            <wp:effectExtent b="0" l="0" r="0" t="0"/>
            <wp:docPr descr="Figure 7" title="" id="44" name="Picture"/>
            <a:graphic>
              <a:graphicData uri="http://schemas.openxmlformats.org/drawingml/2006/picture">
                <pic:pic>
                  <pic:nvPicPr>
                    <pic:cNvPr descr="../figures/fig9_estm_external.png" id="45" name="Picture"/>
                    <pic:cNvPicPr>
                      <a:picLocks noChangeArrowheads="1" noChangeAspect="1"/>
                    </pic:cNvPicPr>
                  </pic:nvPicPr>
                  <pic:blipFill>
                    <a:blip r:embed="rId43"/>
                    <a:stretch>
                      <a:fillRect/>
                    </a:stretch>
                  </pic:blipFill>
                  <pic:spPr bwMode="auto">
                    <a:xfrm>
                      <a:off x="0" y="0"/>
                      <a:ext cx="5334000" cy="2131905"/>
                    </a:xfrm>
                    <a:prstGeom prst="rect">
                      <a:avLst/>
                    </a:prstGeom>
                    <a:noFill/>
                    <a:ln w="9525">
                      <a:noFill/>
                      <a:headEnd/>
                      <a:tailEnd/>
                    </a:ln>
                  </pic:spPr>
                </pic:pic>
              </a:graphicData>
            </a:graphic>
          </wp:inline>
        </w:drawing>
      </w:r>
    </w:p>
    <w:p>
      <w:pPr>
        <w:pStyle w:val="ImageCaption"/>
      </w:pPr>
      <w:r>
        <w:t xml:space="preserve">Figure 7</w:t>
      </w:r>
    </w:p>
    <w:p>
      <w:pPr>
        <w:pStyle w:val="BodyText"/>
      </w:pPr>
      <w:r>
        <w:rPr>
          <w:b/>
          <w:bCs/>
        </w:rPr>
        <w:t xml:space="preserve">Figure 7:</w:t>
      </w:r>
      <w:r>
        <w:t xml:space="preserve"> </w:t>
      </w:r>
      <w:r>
        <w:t xml:space="preserve">ESTM external validation: R</w:t>
      </w:r>
      <w:r>
        <w:rPr>
          <w:vertAlign w:val="superscript"/>
        </w:rPr>
        <w:t xml:space="preserve">2</w:t>
      </w:r>
      <w:r>
        <w:t xml:space="preserve"> </w:t>
      </w:r>
      <w:r>
        <w:t xml:space="preserve">for the internal chemistry-cluster CV (blue), the external full set (orange) and the external rows inside the training range (green), for (a) rows sharing no source publication with the training data and (b) rows whose chemistry cluster is absent from training. The note in each panel gives the number of rows and the share of them outside the training range.</w:t>
      </w:r>
    </w:p>
    <w:p>
      <w:pPr>
        <w:pStyle w:val="BodyText"/>
      </w:pPr>
      <w:r>
        <w:rPr>
          <w:b/>
          <w:bCs/>
        </w:rPr>
        <w:t xml:space="preserve">teMatDb.</w:t>
      </w:r>
      <w:r>
        <w:t xml:space="preserve"> </w:t>
      </w:r>
      <w:r>
        <w:t xml:space="preserve">The same four final models were scored on teMatDb (Section 2.4; Table 8). An ordering between two targets or two strata is stated only where the difference exceeds the fit-to-fit difference given above and the sample-level intervals do not overlap; otherwise they are called tied. This is a conservative descriptive rule, not a test, and comparisons between targets within a stratum share their samples, which marginal intervals ignore. In stratum a0 (</w:t>
      </w:r>
      <w:r>
        <w:t xml:space="preserve">122</w:t>
      </w:r>
      <w:r>
        <w:t xml:space="preserve"> </w:t>
      </w:r>
      <w:r>
        <w:t xml:space="preserve">samples,</w:t>
      </w:r>
      <w:r>
        <w:t xml:space="preserve"> </w:t>
      </w:r>
      <w:r>
        <w:t xml:space="preserve">2,027</w:t>
      </w:r>
      <w:r>
        <w:t xml:space="preserve"> </w:t>
      </w:r>
      <w:r>
        <w:t xml:space="preserve">rows; not an external test, because the training data hold the same curves, so it serves as an upper reference) R</w:t>
      </w:r>
      <w:r>
        <w:rPr>
          <w:vertAlign w:val="superscript"/>
        </w:rPr>
        <w:t xml:space="preserve">2</w:t>
      </w:r>
      <w:r>
        <w:t xml:space="preserve"> </w:t>
      </w:r>
      <w:r>
        <w:t xml:space="preserve">is</w:t>
      </w:r>
      <w:r>
        <w:t xml:space="preserve"> </w:t>
      </w:r>
      <w:r>
        <w:t xml:space="preserve">0.936</w:t>
      </w:r>
      <w:r>
        <w:t xml:space="preserve"> </w:t>
      </w:r>
      <w:r>
        <w:t xml:space="preserve">for S,</w:t>
      </w:r>
      <w:r>
        <w:t xml:space="preserve"> </w:t>
      </w:r>
      <w:r>
        <w:t xml:space="preserve">0.767</w:t>
      </w:r>
      <w:r>
        <w:t xml:space="preserve"> </w:t>
      </w:r>
      <w:r>
        <w:t xml:space="preserve">for</w:t>
      </w:r>
      <w:r>
        <w:t xml:space="preserve"> </w:t>
      </w:r>
      <w:r>
        <w:rPr>
          <w:i/>
          <w:iCs/>
        </w:rPr>
        <w:t xml:space="preserve">σ</w:t>
      </w:r>
      <w:r>
        <w:t xml:space="preserve">,</w:t>
      </w:r>
      <w:r>
        <w:t xml:space="preserve"> </w:t>
      </w:r>
      <w:r>
        <w:t xml:space="preserve">0.913</w:t>
      </w:r>
      <w:r>
        <w:t xml:space="preserve"> </w:t>
      </w:r>
      <w:r>
        <w:t xml:space="preserve">for</w:t>
      </w:r>
      <w:r>
        <w:t xml:space="preserve"> </w:t>
      </w:r>
      <w:r>
        <w:rPr>
          <w:i/>
          <w:iCs/>
        </w:rPr>
        <w:t xml:space="preserve">κ</w:t>
      </w:r>
      <w:r>
        <w:t xml:space="preserve"> </w:t>
      </w:r>
      <w:r>
        <w:t xml:space="preserve">and</w:t>
      </w:r>
      <w:r>
        <w:t xml:space="preserve"> </w:t>
      </w:r>
      <w:r>
        <w:t xml:space="preserve">0.850</w:t>
      </w:r>
      <w:r>
        <w:t xml:space="preserve"> </w:t>
      </w:r>
      <w:r>
        <w:t xml:space="preserve">for zT; S and</w:t>
      </w:r>
      <w:r>
        <w:t xml:space="preserve"> </w:t>
      </w:r>
      <w:r>
        <w:rPr>
          <w:i/>
          <w:iCs/>
        </w:rPr>
        <w:t xml:space="preserve">κ</w:t>
      </w:r>
      <w:r>
        <w:t xml:space="preserve"> </w:t>
      </w:r>
      <w:r>
        <w:t xml:space="preserve">lie clearly above</w:t>
      </w:r>
      <w:r>
        <w:t xml:space="preserve"> </w:t>
      </w:r>
      <w:r>
        <w:rPr>
          <w:i/>
          <w:iCs/>
        </w:rPr>
        <w:t xml:space="preserve">σ</w:t>
      </w:r>
      <w:r>
        <w:t xml:space="preserve"> </w:t>
      </w:r>
      <w:r>
        <w:t xml:space="preserve">and no other pair of targets is distinguishable. In stratum a (</w:t>
      </w:r>
      <w:r>
        <w:t xml:space="preserve">61</w:t>
      </w:r>
      <w:r>
        <w:t xml:space="preserve"> </w:t>
      </w:r>
      <w:r>
        <w:t xml:space="preserve">samples,</w:t>
      </w:r>
      <w:r>
        <w:t xml:space="preserve"> </w:t>
      </w:r>
      <w:r>
        <w:t xml:space="preserve">903</w:t>
      </w:r>
      <w:r>
        <w:t xml:space="preserve"> </w:t>
      </w:r>
      <w:r>
        <w:t xml:space="preserve">rows) the scores for</w:t>
      </w:r>
      <w:r>
        <w:t xml:space="preserve"> </w:t>
      </w:r>
      <w:r>
        <w:rPr>
          <w:i/>
          <w:iCs/>
        </w:rPr>
        <w:t xml:space="preserve">κ</w:t>
      </w:r>
      <w:r>
        <w:t xml:space="preserve"> </w:t>
      </w:r>
      <w:r>
        <w:t xml:space="preserve">(</w:t>
      </w:r>
      <w:r>
        <w:t xml:space="preserve">0.661</w:t>
      </w:r>
      <w:r>
        <w:t xml:space="preserve">) and zT (</w:t>
      </w:r>
      <w:r>
        <w:t xml:space="preserve">0.488</w:t>
      </w:r>
      <w:r>
        <w:t xml:space="preserve">) are clearly lower than in a0, while the lower point values for S (</w:t>
      </w:r>
      <w:r>
        <w:t xml:space="preserve">0.712</w:t>
      </w:r>
      <w:r>
        <w:t xml:space="preserve">) and</w:t>
      </w:r>
      <w:r>
        <w:t xml:space="preserve"> </w:t>
      </w:r>
      <w:r>
        <w:rPr>
          <w:i/>
          <w:iCs/>
        </w:rPr>
        <w:t xml:space="preserve">σ</w:t>
      </w:r>
      <w:r>
        <w:t xml:space="preserve"> </w:t>
      </w:r>
      <w:r>
        <w:t xml:space="preserve">(</w:t>
      </w:r>
      <w:r>
        <w:t xml:space="preserve">0.172</w:t>
      </w:r>
      <w:r>
        <w:t xml:space="preserve">) cannot be told from a0, because their intervals overlap; no target is distinguishable from another in a, and the interval of</w:t>
      </w:r>
      <w:r>
        <w:t xml:space="preserve"> </w:t>
      </w:r>
      <w:r>
        <w:rPr>
          <w:i/>
          <w:iCs/>
        </w:rPr>
        <w:t xml:space="preserve">σ</w:t>
      </w:r>
      <w:r>
        <w:t xml:space="preserve"> </w:t>
      </w:r>
      <w:r>
        <w:t xml:space="preserve">(</w:t>
      </w:r>
      <w:r>
        <w:t xml:space="preserve">−0.807</w:t>
      </w:r>
      <w:r>
        <w:t xml:space="preserve"> </w:t>
      </w:r>
      <w:r>
        <w:t xml:space="preserve">to</w:t>
      </w:r>
      <w:r>
        <w:t xml:space="preserve"> </w:t>
      </w:r>
      <w:r>
        <w:t xml:space="preserve">0.675</w:t>
      </w:r>
      <w:r>
        <w:t xml:space="preserve">) includes zero. Stratum b has</w:t>
      </w:r>
      <w:r>
        <w:t xml:space="preserve"> </w:t>
      </w:r>
      <w:r>
        <w:t xml:space="preserve">27</w:t>
      </w:r>
      <w:r>
        <w:t xml:space="preserve"> </w:t>
      </w:r>
      <w:r>
        <w:t xml:space="preserve">samples (</w:t>
      </w:r>
      <w:r>
        <w:t xml:space="preserve">412</w:t>
      </w:r>
      <w:r>
        <w:t xml:space="preserve"> </w:t>
      </w:r>
      <w:r>
        <w:t xml:space="preserve">rows) and is described qualitatively: its point values for S,</w:t>
      </w:r>
      <w:r>
        <w:t xml:space="preserve"> </w:t>
      </w:r>
      <w:r>
        <w:rPr>
          <w:i/>
          <w:iCs/>
        </w:rPr>
        <w:t xml:space="preserve">κ</w:t>
      </w:r>
      <w:r>
        <w:t xml:space="preserve"> </w:t>
      </w:r>
      <w:r>
        <w:t xml:space="preserve">and zT are of the same order as in stratum a and are not distinguishable from them, the intervals of S,</w:t>
      </w:r>
      <w:r>
        <w:t xml:space="preserve"> </w:t>
      </w:r>
      <w:r>
        <w:rPr>
          <w:i/>
          <w:iCs/>
        </w:rPr>
        <w:t xml:space="preserve">κ</w:t>
      </w:r>
      <w:r>
        <w:t xml:space="preserve"> </w:t>
      </w:r>
      <w:r>
        <w:t xml:space="preserve">and zT are each at least</w:t>
      </w:r>
      <w:r>
        <w:t xml:space="preserve"> </w:t>
      </w:r>
      <w:r>
        <w:t xml:space="preserve">0.42</w:t>
      </w:r>
      <w:r>
        <w:t xml:space="preserve"> </w:t>
      </w:r>
      <w:r>
        <w:t xml:space="preserve">wide, and the interval of</w:t>
      </w:r>
      <w:r>
        <w:t xml:space="preserve"> </w:t>
      </w:r>
      <w:r>
        <w:rPr>
          <w:i/>
          <w:iCs/>
        </w:rPr>
        <w:t xml:space="preserve">σ</w:t>
      </w:r>
      <w:r>
        <w:t xml:space="preserve"> </w:t>
      </w:r>
      <w:r>
        <w:t xml:space="preserve">includes zero. Scoring against the zT recomputed from the measured Seebeck coefficient, resistivity and thermal conductivity instead of the declared zT changes R</w:t>
      </w:r>
      <w:r>
        <w:rPr>
          <w:vertAlign w:val="superscript"/>
        </w:rPr>
        <w:t xml:space="preserve">2</w:t>
      </w:r>
      <w:r>
        <w:t xml:space="preserve"> </w:t>
      </w:r>
      <w:r>
        <w:t xml:space="preserve">by at most</w:t>
      </w:r>
      <w:r>
        <w:t xml:space="preserve"> </w:t>
      </w:r>
      <w:r>
        <w:t xml:space="preserve">0.012</w:t>
      </w:r>
      <w:r>
        <w:t xml:space="preserve"> </w:t>
      </w:r>
      <w:r>
        <w:t xml:space="preserve">in any stratum. The derived zT is not offered as an external result.</w:t>
      </w:r>
    </w:p>
    <w:p>
      <w:pPr>
        <w:pStyle w:val="BodyText"/>
      </w:pPr>
      <w:r>
        <w:rPr>
          <w:b/>
          <w:bCs/>
        </w:rPr>
        <w:t xml:space="preserve">Table 8:</w:t>
      </w:r>
      <w:r>
        <w:t xml:space="preserve"> </w:t>
      </w:r>
      <w:r>
        <w:t xml:space="preserve">teMatDb scoring with the same final models (R</w:t>
      </w:r>
      <w:r>
        <w:rPr>
          <w:vertAlign w:val="superscript"/>
        </w:rPr>
        <w:t xml:space="preserve">2</w:t>
      </w:r>
      <w:r>
        <w:t xml:space="preserve"> </w:t>
      </w:r>
      <w:r>
        <w:t xml:space="preserve">with the 95% interval of a bootstrap over whole samples, 2000 draws, in brackets). Strata are never pooled: a0, the sample’s source DOI is in the training data (not an external test); a, the DOI is not in the training data; b, the chemistry cluster is absent from training. zT (direct) is scored against the declared zT;</w:t>
      </w:r>
      <w:r>
        <w:t xml:space="preserve"> </w:t>
      </w:r>
      <w:r>
        <w:rPr>
          <w:i/>
          <w:iCs/>
        </w:rPr>
        <w:t xml:space="preserve">σ</w:t>
      </w:r>
      <w:r>
        <w:t xml:space="preserve"> </w:t>
      </w:r>
      <w:r>
        <w:t xml:space="preserve">and</w:t>
      </w:r>
      <w:r>
        <w:t xml:space="preserve"> </w:t>
      </w:r>
      <w:r>
        <w:rPr>
          <w:i/>
          <w:iCs/>
        </w:rPr>
        <w:t xml:space="preserve">κ</w:t>
      </w:r>
      <w:r>
        <w:t xml:space="preserve"> </w:t>
      </w:r>
      <w:r>
        <w:t xml:space="preserve">in log</w:t>
      </w:r>
      <w:r>
        <w:rPr>
          <w:vertAlign w:val="subscript"/>
        </w:rPr>
        <w:t xml:space="preserve">10</w:t>
      </w:r>
      <w:r>
        <w:t xml:space="preserve"> </w:t>
      </w:r>
      <w:r>
        <w:t xml:space="preserve">units. An ordering is stated only where the difference exceeds the fit-to-fit difference of the ESTM scoring (Section 3.2) and the intervals do not overlap; this is a descriptive rule, not a test.</w:t>
      </w:r>
    </w:p>
    <w:tbl>
      <w:tblPr>
        <w:tblStyle w:val="Table"/>
        <w:tblW w:type="pct" w:w="5000"/>
        <w:tblLayout w:type="fixed"/>
        <w:tblLook w:firstRow="1" w:lastRow="0" w:firstColumn="0" w:lastColumn="0" w:noHBand="0" w:noVBand="0" w:val="0020"/>
      </w:tblPr>
      <w:tblGrid>
        <w:gridCol w:w="1046"/>
        <w:gridCol w:w="747"/>
        <w:gridCol w:w="747"/>
        <w:gridCol w:w="1344"/>
        <w:gridCol w:w="1344"/>
        <w:gridCol w:w="1344"/>
        <w:gridCol w:w="1344"/>
      </w:tblGrid>
      <w:tr>
        <w:trPr>
          <w:tblHeader w:val="on"/>
        </w:trPr>
        <w:tc>
          <w:tcPr/>
          <w:p>
            <w:pPr>
              <w:pStyle w:val="Compact"/>
            </w:pPr>
            <w:r>
              <w:rPr>
                <w:b/>
                <w:bCs/>
              </w:rPr>
              <w:t xml:space="preserve">Stratum</w:t>
            </w:r>
          </w:p>
        </w:tc>
        <w:tc>
          <w:tcPr/>
          <w:p>
            <w:pPr>
              <w:pStyle w:val="Compact"/>
            </w:pPr>
            <w:r>
              <w:rPr>
                <w:b/>
                <w:bCs/>
              </w:rPr>
              <w:t xml:space="preserve">Rows</w:t>
            </w:r>
          </w:p>
        </w:tc>
        <w:tc>
          <w:tcPr/>
          <w:p>
            <w:pPr>
              <w:pStyle w:val="Compact"/>
            </w:pPr>
            <w:r>
              <w:rPr>
                <w:b/>
                <w:bCs/>
              </w:rPr>
              <w:t xml:space="preserve">Samples</w:t>
            </w:r>
          </w:p>
        </w:tc>
        <w:tc>
          <w:tcPr/>
          <w:p>
            <w:pPr>
              <w:pStyle w:val="Compact"/>
            </w:pPr>
            <w:r>
              <w:rPr>
                <w:b/>
                <w:bCs/>
              </w:rPr>
              <w:t xml:space="preserve">S</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 (direct)</w:t>
            </w:r>
          </w:p>
        </w:tc>
      </w:tr>
      <w:tr>
        <w:tc>
          <w:tcPr/>
          <w:p>
            <w:pPr>
              <w:pStyle w:val="Compact"/>
            </w:pPr>
            <w:r>
              <w:t xml:space="preserve">a0, DOI in training</w:t>
            </w:r>
          </w:p>
        </w:tc>
        <w:tc>
          <w:tcPr/>
          <w:p>
            <w:pPr>
              <w:pStyle w:val="Compact"/>
            </w:pPr>
            <w:r>
              <w:t xml:space="preserve">2,027</w:t>
            </w:r>
          </w:p>
        </w:tc>
        <w:tc>
          <w:tcPr/>
          <w:p>
            <w:pPr>
              <w:pStyle w:val="Compact"/>
            </w:pPr>
            <w:r>
              <w:t xml:space="preserve">122</w:t>
            </w:r>
          </w:p>
        </w:tc>
        <w:tc>
          <w:tcPr/>
          <w:p>
            <w:pPr>
              <w:pStyle w:val="Compact"/>
            </w:pPr>
            <w:r>
              <w:t xml:space="preserve">0.936 [0.891, 0.969]</w:t>
            </w:r>
          </w:p>
        </w:tc>
        <w:tc>
          <w:tcPr/>
          <w:p>
            <w:pPr>
              <w:pStyle w:val="Compact"/>
            </w:pPr>
            <w:r>
              <w:t xml:space="preserve">0.767 [0.618, 0.865]</w:t>
            </w:r>
          </w:p>
        </w:tc>
        <w:tc>
          <w:tcPr/>
          <w:p>
            <w:pPr>
              <w:pStyle w:val="Compact"/>
            </w:pPr>
            <w:r>
              <w:t xml:space="preserve">0.913 [0.880, 0.941]</w:t>
            </w:r>
          </w:p>
        </w:tc>
        <w:tc>
          <w:tcPr/>
          <w:p>
            <w:pPr>
              <w:pStyle w:val="Compact"/>
            </w:pPr>
            <w:r>
              <w:t xml:space="preserve">0.850 [0.782, 0.897]</w:t>
            </w:r>
          </w:p>
        </w:tc>
      </w:tr>
      <w:tr>
        <w:tc>
          <w:tcPr/>
          <w:p>
            <w:pPr>
              <w:pStyle w:val="Compact"/>
            </w:pPr>
            <w:r>
              <w:t xml:space="preserve">a, DOI not in training</w:t>
            </w:r>
          </w:p>
        </w:tc>
        <w:tc>
          <w:tcPr/>
          <w:p>
            <w:pPr>
              <w:pStyle w:val="Compact"/>
            </w:pPr>
            <w:r>
              <w:t xml:space="preserve">903</w:t>
            </w:r>
          </w:p>
        </w:tc>
        <w:tc>
          <w:tcPr/>
          <w:p>
            <w:pPr>
              <w:pStyle w:val="Compact"/>
            </w:pPr>
            <w:r>
              <w:t xml:space="preserve">61</w:t>
            </w:r>
          </w:p>
        </w:tc>
        <w:tc>
          <w:tcPr/>
          <w:p>
            <w:pPr>
              <w:pStyle w:val="Compact"/>
            </w:pPr>
            <w:r>
              <w:t xml:space="preserve">0.712 [0.375, 0.924]</w:t>
            </w:r>
          </w:p>
        </w:tc>
        <w:tc>
          <w:tcPr/>
          <w:p>
            <w:pPr>
              <w:pStyle w:val="Compact"/>
            </w:pPr>
            <w:r>
              <w:t xml:space="preserve">0.172 [−0.807, 0.675]</w:t>
            </w:r>
          </w:p>
        </w:tc>
        <w:tc>
          <w:tcPr/>
          <w:p>
            <w:pPr>
              <w:pStyle w:val="Compact"/>
            </w:pPr>
            <w:r>
              <w:t xml:space="preserve">0.661 [0.344, 0.840]</w:t>
            </w:r>
          </w:p>
        </w:tc>
        <w:tc>
          <w:tcPr/>
          <w:p>
            <w:pPr>
              <w:pStyle w:val="Compact"/>
            </w:pPr>
            <w:r>
              <w:t xml:space="preserve">0.488 [0.258, 0.685]</w:t>
            </w:r>
          </w:p>
        </w:tc>
      </w:tr>
      <w:tr>
        <w:tc>
          <w:tcPr/>
          <w:p>
            <w:pPr>
              <w:pStyle w:val="Compact"/>
            </w:pPr>
            <w:r>
              <w:t xml:space="preserve">b, cluster absent from training</w:t>
            </w:r>
          </w:p>
        </w:tc>
        <w:tc>
          <w:tcPr/>
          <w:p>
            <w:pPr>
              <w:pStyle w:val="Compact"/>
            </w:pPr>
            <w:r>
              <w:t xml:space="preserve">412</w:t>
            </w:r>
          </w:p>
        </w:tc>
        <w:tc>
          <w:tcPr/>
          <w:p>
            <w:pPr>
              <w:pStyle w:val="Compact"/>
            </w:pPr>
            <w:r>
              <w:t xml:space="preserve">27</w:t>
            </w:r>
          </w:p>
        </w:tc>
        <w:tc>
          <w:tcPr/>
          <w:p>
            <w:pPr>
              <w:pStyle w:val="Compact"/>
            </w:pPr>
            <w:r>
              <w:t xml:space="preserve">0.696 [0.432, 0.857]</w:t>
            </w:r>
          </w:p>
        </w:tc>
        <w:tc>
          <w:tcPr/>
          <w:p>
            <w:pPr>
              <w:pStyle w:val="Compact"/>
            </w:pPr>
            <w:r>
              <w:t xml:space="preserve">0.430 [−0.121, 0.690]</w:t>
            </w:r>
          </w:p>
        </w:tc>
        <w:tc>
          <w:tcPr/>
          <w:p>
            <w:pPr>
              <w:pStyle w:val="Compact"/>
            </w:pPr>
            <w:r>
              <w:t xml:space="preserve">0.718 [0.387, 0.866]</w:t>
            </w:r>
          </w:p>
        </w:tc>
        <w:tc>
          <w:tcPr/>
          <w:p>
            <w:pPr>
              <w:pStyle w:val="Compact"/>
            </w:pPr>
            <w:r>
              <w:t xml:space="preserve">0.565 [0.262, 0.778]</w:t>
            </w:r>
          </w:p>
        </w:tc>
      </w:tr>
    </w:tbl>
    <w:p>
      <w:pPr>
        <w:pStyle w:val="BodyText"/>
      </w:pPr>
      <w:r>
        <w:t xml:space="preserve">The comparison with the DFT-computed Seebeck coefficients of JARVIS</w:t>
      </w:r>
      <w:r>
        <w:rPr>
          <w:vertAlign w:val="superscript"/>
        </w:rPr>
        <w:t xml:space="preserve">41</w:t>
      </w:r>
      <w:r>
        <w:t xml:space="preserve"> </w:t>
      </w:r>
      <w:r>
        <w:t xml:space="preserve">shows at most a marginal transfer of the sign and only a weak transfer of the magnitude. The sign test covers mostly metals: of the</w:t>
      </w:r>
      <w:r>
        <w:t xml:space="preserve"> </w:t>
      </w:r>
      <w:r>
        <w:t xml:space="preserve">13,123</w:t>
      </w:r>
      <w:r>
        <w:t xml:space="preserve"> </w:t>
      </w:r>
      <w:r>
        <w:t xml:space="preserve">entries with a JARVIS sign,</w:t>
      </w:r>
      <w:r>
        <w:t xml:space="preserve"> </w:t>
      </w:r>
      <w:r>
        <w:t xml:space="preserve">12,733</w:t>
      </w:r>
      <w:r>
        <w:t xml:space="preserve"> </w:t>
      </w:r>
      <w:r>
        <w:t xml:space="preserve">are metals or semimetals and</w:t>
      </w:r>
      <w:r>
        <w:t xml:space="preserve"> </w:t>
      </w:r>
      <w:r>
        <w:t xml:space="preserve">390</w:t>
      </w:r>
      <w:r>
        <w:t xml:space="preserve"> </w:t>
      </w:r>
      <w:r>
        <w:t xml:space="preserve">are semiconductors, and of the</w:t>
      </w:r>
      <w:r>
        <w:t xml:space="preserve"> </w:t>
      </w:r>
      <w:r>
        <w:t xml:space="preserve">3,885</w:t>
      </w:r>
      <w:r>
        <w:t xml:space="preserve"> </w:t>
      </w:r>
      <w:r>
        <w:t xml:space="preserve">entries that remain after the magnitude criterion</w:t>
      </w:r>
      <w:r>
        <w:t xml:space="preserve"> </w:t>
      </w:r>
      <w:r>
        <w:t xml:space="preserve">3,534</w:t>
      </w:r>
      <w:r>
        <w:t xml:space="preserve"> </w:t>
      </w:r>
      <w:r>
        <w:t xml:space="preserve">(</w:t>
      </w:r>
      <w:r>
        <w:t xml:space="preserve">91</w:t>
      </w:r>
      <w:r>
        <w:t xml:space="preserve">%) are metals or semimetals. Of the</w:t>
      </w:r>
      <w:r>
        <w:t xml:space="preserve"> </w:t>
      </w:r>
      <w:r>
        <w:t xml:space="preserve">9,762</w:t>
      </w:r>
      <w:r>
        <w:t xml:space="preserve"> </w:t>
      </w:r>
      <w:r>
        <w:t xml:space="preserve">semiconductors,</w:t>
      </w:r>
      <w:r>
        <w:t xml:space="preserve"> </w:t>
      </w:r>
      <w:r>
        <w:t xml:space="preserve">9,372</w:t>
      </w:r>
      <w:r>
        <w:t xml:space="preserve"> </w:t>
      </w:r>
      <w:r>
        <w:t xml:space="preserve">have opposite n-type and p-type signs and therefore no sign to compare. Sign agreement is at chance overall (</w:t>
      </w:r>
      <w:r>
        <w:t xml:space="preserve">0.50</w:t>
      </w:r>
      <w:r>
        <w:t xml:space="preserve">, interval</w:t>
      </w:r>
      <w:r>
        <w:t xml:space="preserve"> </w:t>
      </w:r>
      <w:r>
        <w:t xml:space="preserve">0.49</w:t>
      </w:r>
      <w:r>
        <w:t xml:space="preserve">–</w:t>
      </w:r>
      <w:r>
        <w:t xml:space="preserve">0.52</w:t>
      </w:r>
      <w:r>
        <w:t xml:space="preserve">,</w:t>
      </w:r>
      <w:r>
        <w:t xml:space="preserve"> </w:t>
      </w:r>
      <w:r>
        <w:t xml:space="preserve">3,885</w:t>
      </w:r>
      <w:r>
        <w:t xml:space="preserve"> </w:t>
      </w:r>
      <w:r>
        <w:t xml:space="preserve">entries), for metals and semimetals (</w:t>
      </w:r>
      <w:r>
        <w:t xml:space="preserve">0.50</w:t>
      </w:r>
      <w:r>
        <w:t xml:space="preserve">,</w:t>
      </w:r>
      <w:r>
        <w:t xml:space="preserve"> </w:t>
      </w:r>
      <w:r>
        <w:t xml:space="preserve">0.48</w:t>
      </w:r>
      <w:r>
        <w:t xml:space="preserve">–</w:t>
      </w:r>
      <w:r>
        <w:t xml:space="preserve">0.52</w:t>
      </w:r>
      <w:r>
        <w:t xml:space="preserve">) and for semiconductors (</w:t>
      </w:r>
      <w:r>
        <w:t xml:space="preserve">0.52</w:t>
      </w:r>
      <w:r>
        <w:t xml:space="preserve">,</w:t>
      </w:r>
      <w:r>
        <w:t xml:space="preserve"> </w:t>
      </w:r>
      <w:r>
        <w:t xml:space="preserve">0.47</w:t>
      </w:r>
      <w:r>
        <w:t xml:space="preserve">–</w:t>
      </w:r>
      <w:r>
        <w:t xml:space="preserve">0.58</w:t>
      </w:r>
      <w:r>
        <w:t xml:space="preserve">, only</w:t>
      </w:r>
      <w:r>
        <w:t xml:space="preserve"> </w:t>
      </w:r>
      <w:r>
        <w:t xml:space="preserve">351</w:t>
      </w:r>
      <w:r>
        <w:t xml:space="preserve"> </w:t>
      </w:r>
      <w:r>
        <w:t xml:space="preserve">entries). The model predicts p-type for</w:t>
      </w:r>
      <w:r>
        <w:t xml:space="preserve"> </w:t>
      </w:r>
      <w:r>
        <w:t xml:space="preserve">63</w:t>
      </w:r>
      <w:r>
        <w:t xml:space="preserve">% of these entries and JARVIS has</w:t>
      </w:r>
      <w:r>
        <w:t xml:space="preserve"> </w:t>
      </w:r>
      <w:r>
        <w:t xml:space="preserve">53</w:t>
      </w:r>
      <w:r>
        <w:t xml:space="preserve">% positive. With the carrier-type classifier’s sign, which the screening uses, the agreement is</w:t>
      </w:r>
      <w:r>
        <w:t xml:space="preserve"> </w:t>
      </w:r>
      <w:r>
        <w:t xml:space="preserve">0.52</w:t>
      </w:r>
      <w:r>
        <w:t xml:space="preserve"> </w:t>
      </w:r>
      <w:r>
        <w:t xml:space="preserve">(</w:t>
      </w:r>
      <w:r>
        <w:t xml:space="preserve">0.50</w:t>
      </w:r>
      <w:r>
        <w:t xml:space="preserve">–</w:t>
      </w:r>
      <w:r>
        <w:t xml:space="preserve">0.54</w:t>
      </w:r>
      <w:r>
        <w:t xml:space="preserve">) overall and</w:t>
      </w:r>
      <w:r>
        <w:t xml:space="preserve"> </w:t>
      </w:r>
      <w:r>
        <w:t xml:space="preserve">0.57</w:t>
      </w:r>
      <w:r>
        <w:t xml:space="preserve"> </w:t>
      </w:r>
      <w:r>
        <w:t xml:space="preserve">(</w:t>
      </w:r>
      <w:r>
        <w:t xml:space="preserve">0.51</w:t>
      </w:r>
      <w:r>
        <w:t xml:space="preserve">–</w:t>
      </w:r>
      <w:r>
        <w:t xml:space="preserve">0.62</w:t>
      </w:r>
      <w:r>
        <w:t xml:space="preserve">) for the semiconductors: marginally above chance, and clearly so only for metals in clusters seen in training (</w:t>
      </w:r>
      <w:r>
        <w:t xml:space="preserve">0.67</w:t>
      </w:r>
      <w:r>
        <w:t xml:space="preserve">,</w:t>
      </w:r>
      <w:r>
        <w:t xml:space="preserve"> </w:t>
      </w:r>
      <w:r>
        <w:t xml:space="preserve">0.59</w:t>
      </w:r>
      <w:r>
        <w:t xml:space="preserve">–</w:t>
      </w:r>
      <w:r>
        <w:t xml:space="preserve">0.74</w:t>
      </w:r>
      <w:r>
        <w:t xml:space="preserve">), against</w:t>
      </w:r>
      <w:r>
        <w:t xml:space="preserve"> </w:t>
      </w:r>
      <w:r>
        <w:t xml:space="preserve">0.51</w:t>
      </w:r>
      <w:r>
        <w:t xml:space="preserve"> </w:t>
      </w:r>
      <w:r>
        <w:t xml:space="preserve">for unseen clusters. The rank correlation of the absolute predicted S with the JARVIS magnitude is</w:t>
      </w:r>
      <w:r>
        <w:t xml:space="preserve"> </w:t>
      </w:r>
      <w:r>
        <w:t xml:space="preserve">0.23</w:t>
      </w:r>
      <w:r>
        <w:t xml:space="preserve"> </w:t>
      </w:r>
      <w:r>
        <w:t xml:space="preserve">(</w:t>
      </w:r>
      <w:r>
        <w:t xml:space="preserve">0.21</w:t>
      </w:r>
      <w:r>
        <w:t xml:space="preserve">–</w:t>
      </w:r>
      <w:r>
        <w:t xml:space="preserve">0.24</w:t>
      </w:r>
      <w:r>
        <w:t xml:space="preserve">) over all entries,</w:t>
      </w:r>
      <w:r>
        <w:t xml:space="preserve"> </w:t>
      </w:r>
      <w:r>
        <w:t xml:space="preserve">0.11</w:t>
      </w:r>
      <w:r>
        <w:t xml:space="preserve"> </w:t>
      </w:r>
      <w:r>
        <w:t xml:space="preserve">(</w:t>
      </w:r>
      <w:r>
        <w:t xml:space="preserve">0.09</w:t>
      </w:r>
      <w:r>
        <w:t xml:space="preserve">–</w:t>
      </w:r>
      <w:r>
        <w:t xml:space="preserve">0.13</w:t>
      </w:r>
      <w:r>
        <w:t xml:space="preserve">) for metals and semimetals and negative for semiconductors (</w:t>
      </w:r>
      <w:r>
        <w:t xml:space="preserve">-0.08</w:t>
      </w:r>
      <w:r>
        <w:t xml:space="preserve">,</w:t>
      </w:r>
      <w:r>
        <w:t xml:space="preserve"> </w:t>
      </w:r>
      <w:r>
        <w:t xml:space="preserve">-0.11</w:t>
      </w:r>
      <w:r>
        <w:t xml:space="preserve">–</w:t>
      </w:r>
      <w:r>
        <w:t xml:space="preserve">-0.05</w:t>
      </w:r>
      <w:r>
        <w:t xml:space="preserve">); the overall value is carried by the metals and by chemistries the model has seen. For entries whose chemistry cluster occurs in the training data it is</w:t>
      </w:r>
      <w:r>
        <w:t xml:space="preserve"> </w:t>
      </w:r>
      <w:r>
        <w:t xml:space="preserve">0.38</w:t>
      </w:r>
      <w:r>
        <w:t xml:space="preserve"> </w:t>
      </w:r>
      <w:r>
        <w:t xml:space="preserve">(</w:t>
      </w:r>
      <w:r>
        <w:t xml:space="preserve">0.25</w:t>
      </w:r>
      <w:r>
        <w:t xml:space="preserve">–</w:t>
      </w:r>
      <w:r>
        <w:t xml:space="preserve">0.48</w:t>
      </w:r>
      <w:r>
        <w:t xml:space="preserve">,</w:t>
      </w:r>
      <w:r>
        <w:t xml:space="preserve"> </w:t>
      </w:r>
      <w:r>
        <w:t xml:space="preserve">1,150</w:t>
      </w:r>
      <w:r>
        <w:t xml:space="preserve"> </w:t>
      </w:r>
      <w:r>
        <w:t xml:space="preserve">entries) against</w:t>
      </w:r>
      <w:r>
        <w:t xml:space="preserve"> </w:t>
      </w:r>
      <w:r>
        <w:t xml:space="preserve">0.22</w:t>
      </w:r>
      <w:r>
        <w:t xml:space="preserve"> </w:t>
      </w:r>
      <w:r>
        <w:t xml:space="preserve">(</w:t>
      </w:r>
      <w:r>
        <w:t xml:space="preserve">0.20</w:t>
      </w:r>
      <w:r>
        <w:t xml:space="preserve">–</w:t>
      </w:r>
      <w:r>
        <w:t xml:space="preserve">0.24</w:t>
      </w:r>
      <w:r>
        <w:t xml:space="preserve">) for the others; among metals it is</w:t>
      </w:r>
      <w:r>
        <w:t xml:space="preserve"> </w:t>
      </w:r>
      <w:r>
        <w:t xml:space="preserve">0.31</w:t>
      </w:r>
      <w:r>
        <w:t xml:space="preserve"> </w:t>
      </w:r>
      <w:r>
        <w:t xml:space="preserve">for seen clusters (</w:t>
      </w:r>
      <w:r>
        <w:t xml:space="preserve">627</w:t>
      </w:r>
      <w:r>
        <w:t xml:space="preserve"> </w:t>
      </w:r>
      <w:r>
        <w:t xml:space="preserve">entries) and</w:t>
      </w:r>
      <w:r>
        <w:t xml:space="preserve"> </w:t>
      </w:r>
      <w:r>
        <w:t xml:space="preserve">0.10</w:t>
      </w:r>
      <w:r>
        <w:t xml:space="preserve"> </w:t>
      </w:r>
      <w:r>
        <w:t xml:space="preserve">for unseen ones, and the sign agreement of metals with seen clusters is</w:t>
      </w:r>
      <w:r>
        <w:t xml:space="preserve"> </w:t>
      </w:r>
      <w:r>
        <w:t xml:space="preserve">0.62</w:t>
      </w:r>
      <w:r>
        <w:t xml:space="preserve"> </w:t>
      </w:r>
      <w:r>
        <w:t xml:space="preserve">(</w:t>
      </w:r>
      <w:r>
        <w:t xml:space="preserve">0.53</w:t>
      </w:r>
      <w:r>
        <w:t xml:space="preserve">–</w:t>
      </w:r>
      <w:r>
        <w:t xml:space="preserve">0.69</w:t>
      </w:r>
      <w:r>
        <w:t xml:space="preserve">,</w:t>
      </w:r>
      <w:r>
        <w:t xml:space="preserve"> </w:t>
      </w:r>
      <w:r>
        <w:t xml:space="preserve">172</w:t>
      </w:r>
      <w:r>
        <w:t xml:space="preserve"> </w:t>
      </w:r>
      <w:r>
        <w:t xml:space="preserve">entries) against</w:t>
      </w:r>
      <w:r>
        <w:t xml:space="preserve"> </w:t>
      </w:r>
      <w:r>
        <w:t xml:space="preserve">0.50</w:t>
      </w:r>
      <w:r>
        <w:t xml:space="preserve"> </w:t>
      </w:r>
      <w:r>
        <w:t xml:space="preserve">for unseen ones. The models therefore carry essentially no sign information to DFT-computed values for chemistries outside the training data (agreement at chance with the regressor’s sign, marginally above it with the classifier’s), and a weak magnitude ranking that is largely confined to compositions they have seen. This is a statement about transfer to computed values for ideal crystals at one temperature and one doping level, which differ from measured values of real samples in several ways, not a measure of accuracy on perovskites.</w:t>
      </w:r>
    </w:p>
    <w:bookmarkEnd w:id="46"/>
    <w:bookmarkStart w:id="53" w:name="screening-results"/>
    <w:p>
      <w:pPr>
        <w:pStyle w:val="Heading2"/>
      </w:pPr>
      <w:r>
        <w:t xml:space="preserve">3.3 Screening results</w:t>
      </w:r>
    </w:p>
    <w:bookmarkStart w:id="47" w:name="candidate-pool-and-ranked-list"/>
    <w:p>
      <w:pPr>
        <w:pStyle w:val="Heading3"/>
      </w:pPr>
      <w:r>
        <w:t xml:space="preserve">3.3.1 Candidate pool and ranked list</w:t>
      </w:r>
    </w:p>
    <w:p>
      <w:pPr>
        <w:pStyle w:val="FirstParagraph"/>
      </w:pPr>
      <w:r>
        <w:t xml:space="preserve">The screening starts from</w:t>
      </w:r>
      <w:r>
        <w:t xml:space="preserve"> </w:t>
      </w:r>
      <w:r>
        <w:t xml:space="preserve">75,508</w:t>
      </w:r>
      <w:r>
        <w:t xml:space="preserve"> </w:t>
      </w:r>
      <w:r>
        <w:t xml:space="preserve">Materials Project compounds with E</w:t>
      </w:r>
      <w:r>
        <w:rPr>
          <w:vertAlign w:val="subscript"/>
        </w:rPr>
        <w:t xml:space="preserve">hull</w:t>
      </w:r>
      <w:r>
        <w:t xml:space="preserve"> </w:t>
      </w:r>
      <w:r>
        <w:t xml:space="preserve">≤</w:t>
      </w:r>
      <w:r>
        <w:t xml:space="preserve"> </w:t>
      </w:r>
      <w:r>
        <w:t xml:space="preserve">0.05</w:t>
      </w:r>
      <w:r>
        <w:t xml:space="preserve"> </w:t>
      </w:r>
      <w:r>
        <w:t xml:space="preserve">eV atom</w:t>
      </w:r>
      <w:r>
        <w:rPr>
          <w:vertAlign w:val="superscript"/>
        </w:rPr>
        <w:t xml:space="preserve">−1</w:t>
      </w:r>
      <w:r>
        <w:t xml:space="preserve">.</w:t>
      </w:r>
      <w:r>
        <w:t xml:space="preserve"> </w:t>
      </w:r>
      <w:r>
        <w:t xml:space="preserve">26,355</w:t>
      </w:r>
      <w:r>
        <w:t xml:space="preserve"> </w:t>
      </w:r>
      <w:r>
        <w:t xml:space="preserve">have a PBE gap in the window,</w:t>
      </w:r>
      <w:r>
        <w:t xml:space="preserve"> </w:t>
      </w:r>
      <w:r>
        <w:t xml:space="preserve">24,723</w:t>
      </w:r>
      <w:r>
        <w:t xml:space="preserve"> </w:t>
      </w:r>
      <w:r>
        <w:t xml:space="preserve">remain after the exclusion of lead and radioactive elements, and</w:t>
      </w:r>
      <w:r>
        <w:t xml:space="preserve"> </w:t>
      </w:r>
      <w:r>
        <w:t xml:space="preserve">806</w:t>
      </w:r>
      <w:r>
        <w:t xml:space="preserve"> </w:t>
      </w:r>
      <w:r>
        <w:t xml:space="preserve">have ABX</w:t>
      </w:r>
      <w:r>
        <w:rPr>
          <w:vertAlign w:val="subscript"/>
        </w:rPr>
        <w:t xml:space="preserve">3</w:t>
      </w:r>
      <w:r>
        <w:t xml:space="preserve"> </w:t>
      </w:r>
      <w:r>
        <w:t xml:space="preserve">stoichiometry, of which</w:t>
      </w:r>
      <w:r>
        <w:t xml:space="preserve"> </w:t>
      </w:r>
      <w:r>
        <w:t xml:space="preserve">30</w:t>
      </w:r>
      <w:r>
        <w:t xml:space="preserve"> </w:t>
      </w:r>
      <w:r>
        <w:t xml:space="preserve">are anti-perovskites and are set aside. The connectivity test keeps</w:t>
      </w:r>
      <w:r>
        <w:t xml:space="preserve"> </w:t>
      </w:r>
      <w:r>
        <w:t xml:space="preserve">315</w:t>
      </w:r>
      <w:r>
        <w:t xml:space="preserve"> </w:t>
      </w:r>
      <w:r>
        <w:t xml:space="preserve">compounds as perovskite-type; a space-group rule alone would have kept</w:t>
      </w:r>
      <w:r>
        <w:t xml:space="preserve"> </w:t>
      </w:r>
      <w:r>
        <w:t xml:space="preserve">281</w:t>
      </w:r>
      <w:r>
        <w:t xml:space="preserve">,</w:t>
      </w:r>
      <w:r>
        <w:t xml:space="preserve"> </w:t>
      </w:r>
      <w:r>
        <w:t xml:space="preserve">62</w:t>
      </w:r>
      <w:r>
        <w:t xml:space="preserve"> </w:t>
      </w:r>
      <w:r>
        <w:t xml:space="preserve">of which fail the connectivity test, while</w:t>
      </w:r>
      <w:r>
        <w:t xml:space="preserve"> </w:t>
      </w:r>
      <w:r>
        <w:t xml:space="preserve">118</w:t>
      </w:r>
      <w:r>
        <w:t xml:space="preserve"> </w:t>
      </w:r>
      <w:r>
        <w:t xml:space="preserve">perovskite-type compounds lie outside the space groups of the rule.</w:t>
      </w:r>
      <w:r>
        <w:t xml:space="preserve"> </w:t>
      </w:r>
      <w:r>
        <w:t xml:space="preserve">32</w:t>
      </w:r>
      <w:r>
        <w:t xml:space="preserve"> </w:t>
      </w:r>
      <w:r>
        <w:t xml:space="preserve">have a gap of at most</w:t>
      </w:r>
      <w:r>
        <w:t xml:space="preserve"> </w:t>
      </w:r>
      <w:r>
        <w:t xml:space="preserve">0.6</w:t>
      </w:r>
      <w:r>
        <w:t xml:space="preserve"> </w:t>
      </w:r>
      <w:r>
        <w:t xml:space="preserve">eV, and</w:t>
      </w:r>
      <w:r>
        <w:t xml:space="preserve"> </w:t>
      </w:r>
      <w:r>
        <w:t xml:space="preserve">30</w:t>
      </w:r>
      <w:r>
        <w:t xml:space="preserve"> </w:t>
      </w:r>
      <w:r>
        <w:t xml:space="preserve">remain after the exclusion of Tl, Hg, Cd, As and Be. Of these</w:t>
      </w:r>
      <w:r>
        <w:t xml:space="preserve"> </w:t>
      </w:r>
      <w:r>
        <w:t xml:space="preserve">30</w:t>
      </w:r>
      <w:r>
        <w:t xml:space="preserve"> </w:t>
      </w:r>
      <w:r>
        <w:t xml:space="preserve">candidates,</w:t>
      </w:r>
      <w:r>
        <w:t xml:space="preserve"> </w:t>
      </w:r>
      <w:r>
        <w:t xml:space="preserve">9</w:t>
      </w:r>
      <w:r>
        <w:t xml:space="preserve"> </w:t>
      </w:r>
      <w:r>
        <w:t xml:space="preserve">(BaSnO</w:t>
      </w:r>
      <w:r>
        <w:rPr>
          <w:vertAlign w:val="subscript"/>
        </w:rPr>
        <w:t xml:space="preserve">3</w:t>
      </w:r>
      <w:r>
        <w:t xml:space="preserve">, CaMnO</w:t>
      </w:r>
      <w:r>
        <w:rPr>
          <w:vertAlign w:val="subscript"/>
        </w:rPr>
        <w:t xml:space="preserve">3</w:t>
      </w:r>
      <w:r>
        <w:t xml:space="preserve">, CsSnI</w:t>
      </w:r>
      <w:r>
        <w:rPr>
          <w:vertAlign w:val="subscript"/>
        </w:rPr>
        <w:t xml:space="preserve">3</w:t>
      </w:r>
      <w:r>
        <w:t xml:space="preserve"> </w:t>
      </w:r>
      <w:r>
        <w:t xml:space="preserve">in two entries, LaCoO</w:t>
      </w:r>
      <w:r>
        <w:rPr>
          <w:vertAlign w:val="subscript"/>
        </w:rPr>
        <w:t xml:space="preserve">3</w:t>
      </w:r>
      <w:r>
        <w:t xml:space="preserve">, LaNiO</w:t>
      </w:r>
      <w:r>
        <w:rPr>
          <w:vertAlign w:val="subscript"/>
        </w:rPr>
        <w:t xml:space="preserve">3</w:t>
      </w:r>
      <w:r>
        <w:t xml:space="preserve">, LaRhO</w:t>
      </w:r>
      <w:r>
        <w:rPr>
          <w:vertAlign w:val="subscript"/>
        </w:rPr>
        <w:t xml:space="preserve">3</w:t>
      </w:r>
      <w:r>
        <w:t xml:space="preserve"> </w:t>
      </w:r>
      <w:r>
        <w:t xml:space="preserve">and YCoO</w:t>
      </w:r>
      <w:r>
        <w:rPr>
          <w:vertAlign w:val="subscript"/>
        </w:rPr>
        <w:t xml:space="preserve">3</w:t>
      </w:r>
      <w:r>
        <w:t xml:space="preserve"> </w:t>
      </w:r>
      <w:r>
        <w:t xml:space="preserve">in two entries) lie in chemistry clusters that occur in the training data and</w:t>
      </w:r>
      <w:r>
        <w:t xml:space="preserve"> </w:t>
      </w:r>
      <w:r>
        <w:t xml:space="preserve">21</w:t>
      </w:r>
      <w:r>
        <w:t xml:space="preserve"> </w:t>
      </w:r>
      <w:r>
        <w:t xml:space="preserve">do not; the two groups are reported separately because the models are validated only where the training data contain the chemistry. Of the</w:t>
      </w:r>
      <w:r>
        <w:t xml:space="preserve"> </w:t>
      </w:r>
      <w:r>
        <w:t xml:space="preserve">30</w:t>
      </w:r>
      <w:r>
        <w:t xml:space="preserve"> </w:t>
      </w:r>
      <w:r>
        <w:t xml:space="preserve">candidates,</w:t>
      </w:r>
      <w:r>
        <w:t xml:space="preserve"> </w:t>
      </w:r>
      <w:r>
        <w:t xml:space="preserve">12</w:t>
      </w:r>
      <w:r>
        <w:t xml:space="preserve"> </w:t>
      </w:r>
      <w:r>
        <w:t xml:space="preserve">remain at every tighter stability limit and are on the convex hull. Raising the stability limit to</w:t>
      </w:r>
      <w:r>
        <w:t xml:space="preserve"> </w:t>
      </w:r>
      <w:r>
        <w:t xml:space="preserve">0.1</w:t>
      </w:r>
      <w:r>
        <w:t xml:space="preserve"> </w:t>
      </w:r>
      <w:r>
        <w:t xml:space="preserve">eV atom</w:t>
      </w:r>
      <w:r>
        <w:rPr>
          <w:vertAlign w:val="superscript"/>
        </w:rPr>
        <w:t xml:space="preserve">−1</w:t>
      </w:r>
      <w:r>
        <w:t xml:space="preserve"> </w:t>
      </w:r>
      <w:r>
        <w:t xml:space="preserve">keeps all of them and adds</w:t>
      </w:r>
      <w:r>
        <w:t xml:space="preserve"> </w:t>
      </w:r>
      <w:r>
        <w:t xml:space="preserve">14</w:t>
      </w:r>
      <w:r>
        <w:t xml:space="preserve"> </w:t>
      </w:r>
      <w:r>
        <w:t xml:space="preserve">(</w:t>
      </w:r>
      <w:r>
        <w:t xml:space="preserve">44</w:t>
      </w:r>
      <w:r>
        <w:t xml:space="preserve"> </w:t>
      </w:r>
      <w:r>
        <w:t xml:space="preserve">in total, all of the added ones in unseen clusters), widening the cap to</w:t>
      </w:r>
      <w:r>
        <w:t xml:space="preserve"> </w:t>
      </w:r>
      <w:r>
        <w:t xml:space="preserve">0.9</w:t>
      </w:r>
      <w:r>
        <w:t xml:space="preserve"> </w:t>
      </w:r>
      <w:r>
        <w:t xml:space="preserve">eV adds</w:t>
      </w:r>
      <w:r>
        <w:t xml:space="preserve"> </w:t>
      </w:r>
      <w:r>
        <w:t xml:space="preserve">19</w:t>
      </w:r>
      <w:r>
        <w:t xml:space="preserve"> </w:t>
      </w:r>
      <w:r>
        <w:t xml:space="preserve">(</w:t>
      </w:r>
      <w:r>
        <w:t xml:space="preserve">4</w:t>
      </w:r>
      <w:r>
        <w:t xml:space="preserve"> </w:t>
      </w:r>
      <w:r>
        <w:t xml:space="preserve">in seen clusters), both together give</w:t>
      </w:r>
      <w:r>
        <w:t xml:space="preserve"> </w:t>
      </w:r>
      <w:r>
        <w:t xml:space="preserve">73</w:t>
      </w:r>
      <w:r>
        <w:t xml:space="preserve">, and allowing Tl, As and Be adds</w:t>
      </w:r>
      <w:r>
        <w:t xml:space="preserve"> </w:t>
      </w:r>
      <w:r>
        <w:t xml:space="preserve">2</w:t>
      </w:r>
      <w:r>
        <w:t xml:space="preserve">. The list is therefore sensitive to the criteria, which are choices, and every candidate beyond the stable ones depends on them.</w:t>
      </w:r>
    </w:p>
    <w:p>
      <w:pPr>
        <w:pStyle w:val="BodyText"/>
      </w:pPr>
      <w:r>
        <w:rPr>
          <w:b/>
          <w:bCs/>
        </w:rPr>
        <w:t xml:space="preserve">Table 9:</w:t>
      </w:r>
      <w:r>
        <w:t xml:space="preserve"> </w:t>
      </w:r>
      <w:r>
        <w:t xml:space="preserve">Ranked list of the 30 lead-free, narrow-gap, perovskite-type candidates of the main list: hypotheses to test, not findings. Within each group (chemistry cluster present in the training data, or absent) the candidates are ordered by the maximum over 300–800 K of the predicted zT, reached at the temperature T; the other columns are the predictions at T (S with the sign of the carrier-type classifier). E</w:t>
      </w:r>
      <w:r>
        <w:rPr>
          <w:vertAlign w:val="subscript"/>
        </w:rPr>
        <w:t xml:space="preserve">hull</w:t>
      </w:r>
      <w:r>
        <w:t xml:space="preserve"> </w:t>
      </w:r>
      <w:r>
        <w:t xml:space="preserve">in eV atom</w:t>
      </w:r>
      <w:r>
        <w:rPr>
          <w:vertAlign w:val="superscript"/>
        </w:rPr>
        <w:t xml:space="preserve">−1</w:t>
      </w:r>
      <w:r>
        <w:t xml:space="preserve"> </w:t>
      </w:r>
      <w:r>
        <w:t xml:space="preserve">(on hull: no energy above the convex hull), E</w:t>
      </w:r>
      <w:r>
        <w:rPr>
          <w:vertAlign w:val="subscript"/>
        </w:rPr>
        <w:t xml:space="preserve">g</w:t>
      </w:r>
      <w:r>
        <w:t xml:space="preserve"> </w:t>
      </w:r>
      <w:r>
        <w:t xml:space="preserve">the PBE gap in eV,</w:t>
      </w:r>
      <w:r>
        <w:t xml:space="preserve"> </w:t>
      </w:r>
      <w:r>
        <w:rPr>
          <w:i/>
          <w:iCs/>
        </w:rPr>
        <w:t xml:space="preserve">σ</w:t>
      </w:r>
      <w:r>
        <w:t xml:space="preserve"> </w:t>
      </w:r>
      <w:r>
        <w:t xml:space="preserve">in S m</w:t>
      </w:r>
      <w:r>
        <w:rPr>
          <w:vertAlign w:val="superscript"/>
        </w:rPr>
        <w:t xml:space="preserve">−1</w:t>
      </w:r>
      <w:r>
        <w:t xml:space="preserve">,</w:t>
      </w:r>
      <w:r>
        <w:t xml:space="preserve"> </w:t>
      </w:r>
      <w:r>
        <w:rPr>
          <w:i/>
          <w:iCs/>
        </w:rPr>
        <w:t xml:space="preserve">κ</w:t>
      </w:r>
      <w:r>
        <w:t xml:space="preserve"> </w:t>
      </w:r>
      <w:r>
        <w:t xml:space="preserve">in W m</w:t>
      </w:r>
      <w:r>
        <w:rPr>
          <w:vertAlign w:val="superscript"/>
        </w:rPr>
        <w:t xml:space="preserve">−1</w:t>
      </w:r>
      <w:r>
        <w:t xml:space="preserve"> </w:t>
      </w:r>
      <w:r>
        <w:t xml:space="preserve">K</w:t>
      </w:r>
      <w:r>
        <w:rPr>
          <w:vertAlign w:val="superscript"/>
        </w:rPr>
        <w:t xml:space="preserve">−1</w:t>
      </w:r>
      <w:r>
        <w:t xml:space="preserve">. † the shortlist of the pre-registered rule (docs/decisions.md). ‡ the maximum lies above the melting point of the compound; see Table 10. Studied before: a paper whose title or abstract reports a thermoelectric measurement or calculation of the compound was found by a literature check made independently of the predictions (no evidence = none found, not none existing). The features are composition-only, so polymorphs of one compound (separate Materials Project entries) share their predictions.</w:t>
      </w:r>
    </w:p>
    <w:tbl>
      <w:tblPr>
        <w:tblStyle w:val="Table"/>
        <w:tblW w:type="pct" w:w="5000"/>
        <w:tblLayout w:type="fixed"/>
        <w:tblLook w:firstRow="1" w:lastRow="0" w:firstColumn="0" w:lastColumn="0" w:noHBand="0" w:noVBand="0" w:val="0020"/>
      </w:tblPr>
      <w:tblGrid>
        <w:gridCol w:w="617"/>
        <w:gridCol w:w="308"/>
        <w:gridCol w:w="1131"/>
        <w:gridCol w:w="617"/>
        <w:gridCol w:w="822"/>
        <w:gridCol w:w="514"/>
        <w:gridCol w:w="514"/>
        <w:gridCol w:w="617"/>
        <w:gridCol w:w="822"/>
        <w:gridCol w:w="514"/>
        <w:gridCol w:w="514"/>
        <w:gridCol w:w="925"/>
      </w:tblGrid>
      <w:tr>
        <w:trPr>
          <w:tblHeader w:val="on"/>
        </w:trPr>
        <w:tc>
          <w:tcPr/>
          <w:p>
            <w:pPr>
              <w:pStyle w:val="Compact"/>
            </w:pPr>
            <w:r>
              <w:rPr>
                <w:b/>
                <w:bCs/>
              </w:rPr>
              <w:t xml:space="preserve">Cluster</w:t>
            </w:r>
          </w:p>
        </w:tc>
        <w:tc>
          <w:tcPr/>
          <w:p>
            <w:pPr>
              <w:pStyle w:val="Compact"/>
            </w:pPr>
            <w:r>
              <w:rPr>
                <w:b/>
                <w:bCs/>
              </w:rPr>
              <w:t xml:space="preserve">#</w:t>
            </w:r>
          </w:p>
        </w:tc>
        <w:tc>
          <w:tcPr/>
          <w:p>
            <w:pPr>
              <w:pStyle w:val="Compact"/>
            </w:pPr>
            <w:r>
              <w:rPr>
                <w:b/>
                <w:bCs/>
              </w:rPr>
              <w:t xml:space="preserve">Compound (MP id)</w:t>
            </w:r>
          </w:p>
        </w:tc>
        <w:tc>
          <w:tcPr/>
          <w:p>
            <w:pPr>
              <w:pStyle w:val="Compact"/>
            </w:pPr>
            <w:r>
              <w:rPr>
                <w:b/>
                <w:bCs/>
              </w:rPr>
              <w:t xml:space="preserve">E</w:t>
            </w:r>
            <w:r>
              <w:rPr>
                <w:b/>
                <w:bCs/>
                <w:vertAlign w:val="subscript"/>
              </w:rPr>
              <w:t xml:space="preserve">hull</w:t>
            </w:r>
          </w:p>
        </w:tc>
        <w:tc>
          <w:tcPr/>
          <w:p>
            <w:pPr>
              <w:pStyle w:val="Compact"/>
            </w:pPr>
            <w:r>
              <w:rPr>
                <w:b/>
                <w:bCs/>
              </w:rPr>
              <w:t xml:space="preserve">Stability</w:t>
            </w:r>
          </w:p>
        </w:tc>
        <w:tc>
          <w:tcPr/>
          <w:p>
            <w:pPr>
              <w:pStyle w:val="Compact"/>
            </w:pPr>
            <w:r>
              <w:rPr>
                <w:b/>
                <w:bCs/>
              </w:rPr>
              <w:t xml:space="preserve">E</w:t>
            </w:r>
            <w:r>
              <w:rPr>
                <w:b/>
                <w:bCs/>
                <w:vertAlign w:val="subscript"/>
              </w:rPr>
              <w:t xml:space="preserve">g</w:t>
            </w:r>
          </w:p>
        </w:tc>
        <w:tc>
          <w:tcPr/>
          <w:p>
            <w:pPr>
              <w:pStyle w:val="Compact"/>
            </w:pPr>
            <w:r>
              <w:rPr>
                <w:b/>
                <w:bCs/>
              </w:rPr>
              <w:t xml:space="preserve">T (K)</w:t>
            </w:r>
          </w:p>
        </w:tc>
        <w:tc>
          <w:tcPr/>
          <w:p>
            <w:pPr>
              <w:pStyle w:val="Compact"/>
            </w:pPr>
            <w:r>
              <w:rPr>
                <w:b/>
                <w:bCs/>
              </w:rPr>
              <w:t xml:space="preserve">S (</w:t>
            </w:r>
            <w:r>
              <w:rPr>
                <w:b/>
                <w:bCs/>
                <w:i/>
                <w:iCs/>
              </w:rPr>
              <w:t xml:space="preserve">µ</w:t>
            </w:r>
            <w:r>
              <w:rPr>
                <w:b/>
                <w:bCs/>
              </w:rPr>
              <w:t xml:space="preserve">V K</w:t>
            </w:r>
            <w:r>
              <w:rPr>
                <w:b/>
                <w:bCs/>
                <w:vertAlign w:val="superscript"/>
              </w:rPr>
              <w:t xml:space="preserve">−1</w:t>
            </w:r>
            <w:r>
              <w:rPr>
                <w:b/>
                <w:bCs/>
              </w:rPr>
              <w:t xml:space="preserve">)</w:t>
            </w:r>
          </w:p>
        </w:tc>
        <w:tc>
          <w:tcPr/>
          <w:p>
            <w:pPr>
              <w:pStyle w:val="Compact"/>
            </w:pPr>
            <w:r>
              <w:rPr>
                <w:b/>
                <w:bCs/>
                <w:i/>
                <w:iCs/>
              </w:rPr>
              <w:t xml:space="preserve">σ</w:t>
            </w:r>
          </w:p>
        </w:tc>
        <w:tc>
          <w:tcPr/>
          <w:p>
            <w:pPr>
              <w:pStyle w:val="Compact"/>
            </w:pPr>
            <w:r>
              <w:rPr>
                <w:b/>
                <w:bCs/>
                <w:i/>
                <w:iCs/>
              </w:rPr>
              <w:t xml:space="preserve">κ</w:t>
            </w:r>
          </w:p>
        </w:tc>
        <w:tc>
          <w:tcPr/>
          <w:p>
            <w:pPr>
              <w:pStyle w:val="Compact"/>
            </w:pPr>
            <w:r>
              <w:rPr>
                <w:b/>
                <w:bCs/>
              </w:rPr>
              <w:t xml:space="preserve">zT</w:t>
            </w:r>
          </w:p>
        </w:tc>
        <w:tc>
          <w:tcPr/>
          <w:p>
            <w:pPr>
              <w:pStyle w:val="Compact"/>
            </w:pPr>
            <w:r>
              <w:rPr>
                <w:b/>
                <w:bCs/>
              </w:rPr>
              <w:t xml:space="preserve">Studied before</w:t>
            </w:r>
          </w:p>
        </w:tc>
      </w:tr>
      <w:tr>
        <w:tc>
          <w:tcPr/>
          <w:p>
            <w:pPr>
              <w:pStyle w:val="Compact"/>
            </w:pPr>
            <w:r>
              <w:t xml:space="preserve">seen</w:t>
            </w:r>
          </w:p>
        </w:tc>
        <w:tc>
          <w:tcPr/>
          <w:p>
            <w:pPr>
              <w:pStyle w:val="Compact"/>
            </w:pPr>
            <w:r>
              <w:t xml:space="preserve">1</w:t>
            </w:r>
          </w:p>
        </w:tc>
        <w:tc>
          <w:tcPr/>
          <w:p>
            <w:pPr>
              <w:pStyle w:val="Compact"/>
            </w:pPr>
            <w:r>
              <w:t xml:space="preserve">CsSnI</w:t>
            </w:r>
            <w:r>
              <w:rPr>
                <w:vertAlign w:val="subscript"/>
              </w:rPr>
              <w:t xml:space="preserve">3</w:t>
            </w:r>
            <w:r>
              <w:t xml:space="preserve"> </w:t>
            </w:r>
            <w:r>
              <w:t xml:space="preserve">† ‡ (mp-614013)</w:t>
            </w:r>
          </w:p>
        </w:tc>
        <w:tc>
          <w:tcPr/>
          <w:p>
            <w:pPr>
              <w:pStyle w:val="Compact"/>
            </w:pPr>
            <w:r>
              <w:t xml:space="preserve">0.000</w:t>
            </w:r>
          </w:p>
        </w:tc>
        <w:tc>
          <w:tcPr/>
          <w:p>
            <w:pPr>
              <w:pStyle w:val="Compact"/>
            </w:pPr>
            <w:r>
              <w:t xml:space="preserve">on hull</w:t>
            </w:r>
          </w:p>
        </w:tc>
        <w:tc>
          <w:tcPr/>
          <w:p>
            <w:pPr>
              <w:pStyle w:val="Compact"/>
            </w:pPr>
            <w:r>
              <w:t xml:space="preserve">0.45</w:t>
            </w:r>
          </w:p>
        </w:tc>
        <w:tc>
          <w:tcPr/>
          <w:p>
            <w:pPr>
              <w:pStyle w:val="Compact"/>
            </w:pPr>
            <w:r>
              <w:t xml:space="preserve">800</w:t>
            </w:r>
          </w:p>
        </w:tc>
        <w:tc>
          <w:tcPr/>
          <w:p>
            <w:pPr>
              <w:pStyle w:val="Compact"/>
            </w:pPr>
            <w:r>
              <w:t xml:space="preserve">144</w:t>
            </w:r>
          </w:p>
        </w:tc>
        <w:tc>
          <w:tcPr/>
          <w:p>
            <w:pPr>
              <w:pStyle w:val="Compact"/>
            </w:pPr>
            <w:r>
              <w:t xml:space="preserve">9.2 × 10</w:t>
            </w:r>
            <w:r>
              <w:rPr>
                <w:vertAlign w:val="superscript"/>
              </w:rPr>
              <w:t xml:space="preserve">3</w:t>
            </w:r>
          </w:p>
        </w:tc>
        <w:tc>
          <w:tcPr/>
          <w:p>
            <w:pPr>
              <w:pStyle w:val="Compact"/>
            </w:pPr>
            <w:r>
              <w:t xml:space="preserve">0.62</w:t>
            </w:r>
          </w:p>
        </w:tc>
        <w:tc>
          <w:tcPr/>
          <w:p>
            <w:pPr>
              <w:pStyle w:val="Compact"/>
            </w:pPr>
            <w:r>
              <w:t xml:space="preserve">0.58</w:t>
            </w:r>
          </w:p>
        </w:tc>
        <w:tc>
          <w:tcPr/>
          <w:p>
            <w:pPr>
              <w:pStyle w:val="Compact"/>
            </w:pPr>
            <w:r>
              <w:t xml:space="preserve">yes</w:t>
            </w:r>
          </w:p>
        </w:tc>
      </w:tr>
      <w:tr>
        <w:tc>
          <w:tcPr/>
          <w:p>
            <w:pPr>
              <w:pStyle w:val="Compact"/>
            </w:pPr>
            <w:r>
              <w:t xml:space="preserve">seen</w:t>
            </w:r>
          </w:p>
        </w:tc>
        <w:tc>
          <w:tcPr/>
          <w:p>
            <w:pPr>
              <w:pStyle w:val="Compact"/>
            </w:pPr>
            <w:r>
              <w:t xml:space="preserve">2</w:t>
            </w:r>
          </w:p>
        </w:tc>
        <w:tc>
          <w:tcPr/>
          <w:p>
            <w:pPr>
              <w:pStyle w:val="Compact"/>
            </w:pPr>
            <w:r>
              <w:t xml:space="preserve">CsSnI</w:t>
            </w:r>
            <w:r>
              <w:rPr>
                <w:vertAlign w:val="subscript"/>
              </w:rPr>
              <w:t xml:space="preserve">3</w:t>
            </w:r>
            <w:r>
              <w:t xml:space="preserve"> </w:t>
            </w:r>
            <w:r>
              <w:t xml:space="preserve">‡ (mp-616378)</w:t>
            </w:r>
          </w:p>
        </w:tc>
        <w:tc>
          <w:tcPr/>
          <w:p>
            <w:pPr>
              <w:pStyle w:val="Compact"/>
            </w:pPr>
            <w:r>
              <w:t xml:space="preserve">0.012</w:t>
            </w:r>
          </w:p>
        </w:tc>
        <w:tc>
          <w:tcPr/>
          <w:p>
            <w:pPr>
              <w:pStyle w:val="Compact"/>
            </w:pPr>
            <w:r>
              <w:t xml:space="preserve">metastable</w:t>
            </w:r>
          </w:p>
        </w:tc>
        <w:tc>
          <w:tcPr/>
          <w:p>
            <w:pPr>
              <w:pStyle w:val="Compact"/>
            </w:pPr>
            <w:r>
              <w:t xml:space="preserve">0.54</w:t>
            </w:r>
          </w:p>
        </w:tc>
        <w:tc>
          <w:tcPr/>
          <w:p>
            <w:pPr>
              <w:pStyle w:val="Compact"/>
            </w:pPr>
            <w:r>
              <w:t xml:space="preserve">800</w:t>
            </w:r>
          </w:p>
        </w:tc>
        <w:tc>
          <w:tcPr/>
          <w:p>
            <w:pPr>
              <w:pStyle w:val="Compact"/>
            </w:pPr>
            <w:r>
              <w:t xml:space="preserve">144</w:t>
            </w:r>
          </w:p>
        </w:tc>
        <w:tc>
          <w:tcPr/>
          <w:p>
            <w:pPr>
              <w:pStyle w:val="Compact"/>
            </w:pPr>
            <w:r>
              <w:t xml:space="preserve">9.2 × 10</w:t>
            </w:r>
            <w:r>
              <w:rPr>
                <w:vertAlign w:val="superscript"/>
              </w:rPr>
              <w:t xml:space="preserve">3</w:t>
            </w:r>
          </w:p>
        </w:tc>
        <w:tc>
          <w:tcPr/>
          <w:p>
            <w:pPr>
              <w:pStyle w:val="Compact"/>
            </w:pPr>
            <w:r>
              <w:t xml:space="preserve">0.62</w:t>
            </w:r>
          </w:p>
        </w:tc>
        <w:tc>
          <w:tcPr/>
          <w:p>
            <w:pPr>
              <w:pStyle w:val="Compact"/>
            </w:pPr>
            <w:r>
              <w:t xml:space="preserve">0.58</w:t>
            </w:r>
          </w:p>
        </w:tc>
        <w:tc>
          <w:tcPr/>
          <w:p>
            <w:pPr>
              <w:pStyle w:val="Compact"/>
            </w:pPr>
            <w:r>
              <w:t xml:space="preserve">yes</w:t>
            </w:r>
          </w:p>
        </w:tc>
      </w:tr>
      <w:tr>
        <w:tc>
          <w:tcPr/>
          <w:p>
            <w:pPr>
              <w:pStyle w:val="Compact"/>
            </w:pPr>
            <w:r>
              <w:t xml:space="preserve">seen</w:t>
            </w:r>
          </w:p>
        </w:tc>
        <w:tc>
          <w:tcPr/>
          <w:p>
            <w:pPr>
              <w:pStyle w:val="Compact"/>
            </w:pPr>
            <w:r>
              <w:t xml:space="preserve">3</w:t>
            </w:r>
          </w:p>
        </w:tc>
        <w:tc>
          <w:tcPr/>
          <w:p>
            <w:pPr>
              <w:pStyle w:val="Compact"/>
            </w:pPr>
            <w:r>
              <w:t xml:space="preserve">BaSnO</w:t>
            </w:r>
            <w:r>
              <w:rPr>
                <w:vertAlign w:val="subscript"/>
              </w:rPr>
              <w:t xml:space="preserve">3</w:t>
            </w:r>
            <w:r>
              <w:t xml:space="preserve"> </w:t>
            </w:r>
            <w:r>
              <w:t xml:space="preserve">† (mp-3163)</w:t>
            </w:r>
          </w:p>
        </w:tc>
        <w:tc>
          <w:tcPr/>
          <w:p>
            <w:pPr>
              <w:pStyle w:val="Compact"/>
            </w:pPr>
            <w:r>
              <w:t xml:space="preserve">0.000</w:t>
            </w:r>
          </w:p>
        </w:tc>
        <w:tc>
          <w:tcPr/>
          <w:p>
            <w:pPr>
              <w:pStyle w:val="Compact"/>
            </w:pPr>
            <w:r>
              <w:t xml:space="preserve">on hull</w:t>
            </w:r>
          </w:p>
        </w:tc>
        <w:tc>
          <w:tcPr/>
          <w:p>
            <w:pPr>
              <w:pStyle w:val="Compact"/>
            </w:pPr>
            <w:r>
              <w:t xml:space="preserve">0.37</w:t>
            </w:r>
          </w:p>
        </w:tc>
        <w:tc>
          <w:tcPr/>
          <w:p>
            <w:pPr>
              <w:pStyle w:val="Compact"/>
            </w:pPr>
            <w:r>
              <w:t xml:space="preserve">800</w:t>
            </w:r>
          </w:p>
        </w:tc>
        <w:tc>
          <w:tcPr/>
          <w:p>
            <w:pPr>
              <w:pStyle w:val="Compact"/>
            </w:pPr>
            <w:r>
              <w:t xml:space="preserve">−74</w:t>
            </w:r>
          </w:p>
        </w:tc>
        <w:tc>
          <w:tcPr/>
          <w:p>
            <w:pPr>
              <w:pStyle w:val="Compact"/>
            </w:pPr>
            <w:r>
              <w:t xml:space="preserve">3.0 × 10</w:t>
            </w:r>
            <w:r>
              <w:rPr>
                <w:vertAlign w:val="superscript"/>
              </w:rPr>
              <w:t xml:space="preserve">4</w:t>
            </w:r>
          </w:p>
        </w:tc>
        <w:tc>
          <w:tcPr/>
          <w:p>
            <w:pPr>
              <w:pStyle w:val="Compact"/>
            </w:pPr>
            <w:r>
              <w:t xml:space="preserve">6.70</w:t>
            </w:r>
          </w:p>
        </w:tc>
        <w:tc>
          <w:tcPr/>
          <w:p>
            <w:pPr>
              <w:pStyle w:val="Compact"/>
            </w:pPr>
            <w:r>
              <w:t xml:space="preserve">0.10</w:t>
            </w:r>
          </w:p>
        </w:tc>
        <w:tc>
          <w:tcPr/>
          <w:p>
            <w:pPr>
              <w:pStyle w:val="Compact"/>
            </w:pPr>
            <w:r>
              <w:t xml:space="preserve">yes</w:t>
            </w:r>
          </w:p>
        </w:tc>
      </w:tr>
      <w:tr>
        <w:tc>
          <w:tcPr/>
          <w:p>
            <w:pPr>
              <w:pStyle w:val="Compact"/>
            </w:pPr>
            <w:r>
              <w:t xml:space="preserve">seen</w:t>
            </w:r>
          </w:p>
        </w:tc>
        <w:tc>
          <w:tcPr/>
          <w:p>
            <w:pPr>
              <w:pStyle w:val="Compact"/>
            </w:pPr>
            <w:r>
              <w:t xml:space="preserve">4</w:t>
            </w:r>
          </w:p>
        </w:tc>
        <w:tc>
          <w:tcPr/>
          <w:p>
            <w:pPr>
              <w:pStyle w:val="Compact"/>
            </w:pPr>
            <w:r>
              <w:t xml:space="preserve">CaMnO</w:t>
            </w:r>
            <w:r>
              <w:rPr>
                <w:vertAlign w:val="subscript"/>
              </w:rPr>
              <w:t xml:space="preserve">3</w:t>
            </w:r>
            <w:r>
              <w:t xml:space="preserve"> </w:t>
            </w:r>
            <w:r>
              <w:t xml:space="preserve">(mp-19201)</w:t>
            </w:r>
          </w:p>
        </w:tc>
        <w:tc>
          <w:tcPr/>
          <w:p>
            <w:pPr>
              <w:pStyle w:val="Compact"/>
            </w:pPr>
            <w:r>
              <w:t xml:space="preserve">0.035</w:t>
            </w:r>
          </w:p>
        </w:tc>
        <w:tc>
          <w:tcPr/>
          <w:p>
            <w:pPr>
              <w:pStyle w:val="Compact"/>
            </w:pPr>
            <w:r>
              <w:t xml:space="preserve">metastable</w:t>
            </w:r>
          </w:p>
        </w:tc>
        <w:tc>
          <w:tcPr/>
          <w:p>
            <w:pPr>
              <w:pStyle w:val="Compact"/>
            </w:pPr>
            <w:r>
              <w:t xml:space="preserve">0.47</w:t>
            </w:r>
          </w:p>
        </w:tc>
        <w:tc>
          <w:tcPr/>
          <w:p>
            <w:pPr>
              <w:pStyle w:val="Compact"/>
            </w:pPr>
            <w:r>
              <w:t xml:space="preserve">800</w:t>
            </w:r>
          </w:p>
        </w:tc>
        <w:tc>
          <w:tcPr/>
          <w:p>
            <w:pPr>
              <w:pStyle w:val="Compact"/>
            </w:pPr>
            <w:r>
              <w:t xml:space="preserve">−289</w:t>
            </w:r>
          </w:p>
        </w:tc>
        <w:tc>
          <w:tcPr/>
          <w:p>
            <w:pPr>
              <w:pStyle w:val="Compact"/>
            </w:pPr>
            <w:r>
              <w:t xml:space="preserve">2.8 × 10</w:t>
            </w:r>
            <w:r>
              <w:rPr>
                <w:vertAlign w:val="superscript"/>
              </w:rPr>
              <w:t xml:space="preserve">3</w:t>
            </w:r>
          </w:p>
        </w:tc>
        <w:tc>
          <w:tcPr/>
          <w:p>
            <w:pPr>
              <w:pStyle w:val="Compact"/>
            </w:pPr>
            <w:r>
              <w:t xml:space="preserve">3.77</w:t>
            </w:r>
          </w:p>
        </w:tc>
        <w:tc>
          <w:tcPr/>
          <w:p>
            <w:pPr>
              <w:pStyle w:val="Compact"/>
            </w:pPr>
            <w:r>
              <w:t xml:space="preserve">0.08</w:t>
            </w:r>
          </w:p>
        </w:tc>
        <w:tc>
          <w:tcPr/>
          <w:p>
            <w:pPr>
              <w:pStyle w:val="Compact"/>
            </w:pPr>
            <w:r>
              <w:t xml:space="preserve">yes</w:t>
            </w:r>
          </w:p>
        </w:tc>
      </w:tr>
      <w:tr>
        <w:tc>
          <w:tcPr/>
          <w:p>
            <w:pPr>
              <w:pStyle w:val="Compact"/>
            </w:pPr>
            <w:r>
              <w:t xml:space="preserve">seen</w:t>
            </w:r>
          </w:p>
        </w:tc>
        <w:tc>
          <w:tcPr/>
          <w:p>
            <w:pPr>
              <w:pStyle w:val="Compact"/>
            </w:pPr>
            <w:r>
              <w:t xml:space="preserve">5</w:t>
            </w:r>
          </w:p>
        </w:tc>
        <w:tc>
          <w:tcPr/>
          <w:p>
            <w:pPr>
              <w:pStyle w:val="Compact"/>
            </w:pPr>
            <w:r>
              <w:t xml:space="preserve">YCoO</w:t>
            </w:r>
            <w:r>
              <w:rPr>
                <w:vertAlign w:val="subscript"/>
              </w:rPr>
              <w:t xml:space="preserve">3</w:t>
            </w:r>
            <w:r>
              <w:t xml:space="preserve"> </w:t>
            </w:r>
            <w:r>
              <w:t xml:space="preserve">(mp-1273178)</w:t>
            </w:r>
          </w:p>
        </w:tc>
        <w:tc>
          <w:tcPr/>
          <w:p>
            <w:pPr>
              <w:pStyle w:val="Compact"/>
            </w:pPr>
            <w:r>
              <w:t xml:space="preserve">0.012</w:t>
            </w:r>
          </w:p>
        </w:tc>
        <w:tc>
          <w:tcPr/>
          <w:p>
            <w:pPr>
              <w:pStyle w:val="Compact"/>
            </w:pPr>
            <w:r>
              <w:t xml:space="preserve">metastable</w:t>
            </w:r>
          </w:p>
        </w:tc>
        <w:tc>
          <w:tcPr/>
          <w:p>
            <w:pPr>
              <w:pStyle w:val="Compact"/>
            </w:pPr>
            <w:r>
              <w:t xml:space="preserve">0.31</w:t>
            </w:r>
          </w:p>
        </w:tc>
        <w:tc>
          <w:tcPr/>
          <w:p>
            <w:pPr>
              <w:pStyle w:val="Compact"/>
            </w:pPr>
            <w:r>
              <w:t xml:space="preserve">800</w:t>
            </w:r>
          </w:p>
        </w:tc>
        <w:tc>
          <w:tcPr/>
          <w:p>
            <w:pPr>
              <w:pStyle w:val="Compact"/>
            </w:pPr>
            <w:r>
              <w:t xml:space="preserve">208</w:t>
            </w:r>
          </w:p>
        </w:tc>
        <w:tc>
          <w:tcPr/>
          <w:p>
            <w:pPr>
              <w:pStyle w:val="Compact"/>
            </w:pPr>
            <w:r>
              <w:t xml:space="preserve">1.1 × 10</w:t>
            </w:r>
            <w:r>
              <w:rPr>
                <w:vertAlign w:val="superscript"/>
              </w:rPr>
              <w:t xml:space="preserve">4</w:t>
            </w:r>
          </w:p>
        </w:tc>
        <w:tc>
          <w:tcPr/>
          <w:p>
            <w:pPr>
              <w:pStyle w:val="Compact"/>
            </w:pPr>
            <w:r>
              <w:t xml:space="preserve">2.99</w:t>
            </w:r>
          </w:p>
        </w:tc>
        <w:tc>
          <w:tcPr/>
          <w:p>
            <w:pPr>
              <w:pStyle w:val="Compact"/>
            </w:pPr>
            <w:r>
              <w:t xml:space="preserve">0.05</w:t>
            </w:r>
          </w:p>
        </w:tc>
        <w:tc>
          <w:tcPr/>
          <w:p>
            <w:pPr>
              <w:pStyle w:val="Compact"/>
            </w:pPr>
            <w:r>
              <w:t xml:space="preserve">yes</w:t>
            </w:r>
          </w:p>
        </w:tc>
      </w:tr>
      <w:tr>
        <w:tc>
          <w:tcPr/>
          <w:p>
            <w:pPr>
              <w:pStyle w:val="Compact"/>
            </w:pPr>
            <w:r>
              <w:t xml:space="preserve">seen</w:t>
            </w:r>
          </w:p>
        </w:tc>
        <w:tc>
          <w:tcPr/>
          <w:p>
            <w:pPr>
              <w:pStyle w:val="Compact"/>
            </w:pPr>
            <w:r>
              <w:t xml:space="preserve">6</w:t>
            </w:r>
          </w:p>
        </w:tc>
        <w:tc>
          <w:tcPr/>
          <w:p>
            <w:pPr>
              <w:pStyle w:val="Compact"/>
            </w:pPr>
            <w:r>
              <w:t xml:space="preserve">YCoO</w:t>
            </w:r>
            <w:r>
              <w:rPr>
                <w:vertAlign w:val="subscript"/>
              </w:rPr>
              <w:t xml:space="preserve">3</w:t>
            </w:r>
            <w:r>
              <w:t xml:space="preserve"> </w:t>
            </w:r>
            <w:r>
              <w:t xml:space="preserve">(mp-1288734)</w:t>
            </w:r>
          </w:p>
        </w:tc>
        <w:tc>
          <w:tcPr/>
          <w:p>
            <w:pPr>
              <w:pStyle w:val="Compact"/>
            </w:pPr>
            <w:r>
              <w:t xml:space="preserve">0.015</w:t>
            </w:r>
          </w:p>
        </w:tc>
        <w:tc>
          <w:tcPr/>
          <w:p>
            <w:pPr>
              <w:pStyle w:val="Compact"/>
            </w:pPr>
            <w:r>
              <w:t xml:space="preserve">metastable</w:t>
            </w:r>
          </w:p>
        </w:tc>
        <w:tc>
          <w:tcPr/>
          <w:p>
            <w:pPr>
              <w:pStyle w:val="Compact"/>
            </w:pPr>
            <w:r>
              <w:t xml:space="preserve">0.11</w:t>
            </w:r>
          </w:p>
        </w:tc>
        <w:tc>
          <w:tcPr/>
          <w:p>
            <w:pPr>
              <w:pStyle w:val="Compact"/>
            </w:pPr>
            <w:r>
              <w:t xml:space="preserve">800</w:t>
            </w:r>
          </w:p>
        </w:tc>
        <w:tc>
          <w:tcPr/>
          <w:p>
            <w:pPr>
              <w:pStyle w:val="Compact"/>
            </w:pPr>
            <w:r>
              <w:t xml:space="preserve">208</w:t>
            </w:r>
          </w:p>
        </w:tc>
        <w:tc>
          <w:tcPr/>
          <w:p>
            <w:pPr>
              <w:pStyle w:val="Compact"/>
            </w:pPr>
            <w:r>
              <w:t xml:space="preserve">1.1 × 10</w:t>
            </w:r>
            <w:r>
              <w:rPr>
                <w:vertAlign w:val="superscript"/>
              </w:rPr>
              <w:t xml:space="preserve">4</w:t>
            </w:r>
          </w:p>
        </w:tc>
        <w:tc>
          <w:tcPr/>
          <w:p>
            <w:pPr>
              <w:pStyle w:val="Compact"/>
            </w:pPr>
            <w:r>
              <w:t xml:space="preserve">2.99</w:t>
            </w:r>
          </w:p>
        </w:tc>
        <w:tc>
          <w:tcPr/>
          <w:p>
            <w:pPr>
              <w:pStyle w:val="Compact"/>
            </w:pPr>
            <w:r>
              <w:t xml:space="preserve">0.05</w:t>
            </w:r>
          </w:p>
        </w:tc>
        <w:tc>
          <w:tcPr/>
          <w:p>
            <w:pPr>
              <w:pStyle w:val="Compact"/>
            </w:pPr>
            <w:r>
              <w:t xml:space="preserve">yes</w:t>
            </w:r>
          </w:p>
        </w:tc>
      </w:tr>
      <w:tr>
        <w:tc>
          <w:tcPr/>
          <w:p>
            <w:pPr>
              <w:pStyle w:val="Compact"/>
            </w:pPr>
            <w:r>
              <w:t xml:space="preserve">seen</w:t>
            </w:r>
          </w:p>
        </w:tc>
        <w:tc>
          <w:tcPr/>
          <w:p>
            <w:pPr>
              <w:pStyle w:val="Compact"/>
            </w:pPr>
            <w:r>
              <w:t xml:space="preserve">7</w:t>
            </w:r>
          </w:p>
        </w:tc>
        <w:tc>
          <w:tcPr/>
          <w:p>
            <w:pPr>
              <w:pStyle w:val="Compact"/>
            </w:pPr>
            <w:r>
              <w:t xml:space="preserve">LaRhO</w:t>
            </w:r>
            <w:r>
              <w:rPr>
                <w:vertAlign w:val="subscript"/>
              </w:rPr>
              <w:t xml:space="preserve">3</w:t>
            </w:r>
            <w:r>
              <w:t xml:space="preserve"> </w:t>
            </w:r>
            <w:r>
              <w:t xml:space="preserve">† (mp-5163)</w:t>
            </w:r>
          </w:p>
        </w:tc>
        <w:tc>
          <w:tcPr/>
          <w:p>
            <w:pPr>
              <w:pStyle w:val="Compact"/>
            </w:pPr>
            <w:r>
              <w:t xml:space="preserve">0.000</w:t>
            </w:r>
          </w:p>
        </w:tc>
        <w:tc>
          <w:tcPr/>
          <w:p>
            <w:pPr>
              <w:pStyle w:val="Compact"/>
            </w:pPr>
            <w:r>
              <w:t xml:space="preserve">on hull</w:t>
            </w:r>
          </w:p>
        </w:tc>
        <w:tc>
          <w:tcPr/>
          <w:p>
            <w:pPr>
              <w:pStyle w:val="Compact"/>
            </w:pPr>
            <w:r>
              <w:t xml:space="preserve">0.60</w:t>
            </w:r>
          </w:p>
        </w:tc>
        <w:tc>
          <w:tcPr/>
          <w:p>
            <w:pPr>
              <w:pStyle w:val="Compact"/>
            </w:pPr>
            <w:r>
              <w:t xml:space="preserve">800</w:t>
            </w:r>
          </w:p>
        </w:tc>
        <w:tc>
          <w:tcPr/>
          <w:p>
            <w:pPr>
              <w:pStyle w:val="Compact"/>
            </w:pPr>
            <w:r>
              <w:t xml:space="preserve">421</w:t>
            </w:r>
          </w:p>
        </w:tc>
        <w:tc>
          <w:tcPr/>
          <w:p>
            <w:pPr>
              <w:pStyle w:val="Compact"/>
            </w:pPr>
            <w:r>
              <w:t xml:space="preserve">3.5 × 10</w:t>
            </w:r>
            <w:r>
              <w:rPr>
                <w:vertAlign w:val="superscript"/>
              </w:rPr>
              <w:t xml:space="preserve">3</w:t>
            </w:r>
          </w:p>
        </w:tc>
        <w:tc>
          <w:tcPr/>
          <w:p>
            <w:pPr>
              <w:pStyle w:val="Compact"/>
            </w:pPr>
            <w:r>
              <w:t xml:space="preserve">1.81</w:t>
            </w:r>
          </w:p>
        </w:tc>
        <w:tc>
          <w:tcPr/>
          <w:p>
            <w:pPr>
              <w:pStyle w:val="Compact"/>
            </w:pPr>
            <w:r>
              <w:t xml:space="preserve">0.05</w:t>
            </w:r>
          </w:p>
        </w:tc>
        <w:tc>
          <w:tcPr/>
          <w:p>
            <w:pPr>
              <w:pStyle w:val="Compact"/>
            </w:pPr>
            <w:r>
              <w:t xml:space="preserve">yes</w:t>
            </w:r>
          </w:p>
        </w:tc>
      </w:tr>
      <w:tr>
        <w:tc>
          <w:tcPr/>
          <w:p>
            <w:pPr>
              <w:pStyle w:val="Compact"/>
            </w:pPr>
            <w:r>
              <w:t xml:space="preserve">seen</w:t>
            </w:r>
          </w:p>
        </w:tc>
        <w:tc>
          <w:tcPr/>
          <w:p>
            <w:pPr>
              <w:pStyle w:val="Compact"/>
            </w:pPr>
            <w:r>
              <w:t xml:space="preserve">8</w:t>
            </w:r>
          </w:p>
        </w:tc>
        <w:tc>
          <w:tcPr/>
          <w:p>
            <w:pPr>
              <w:pStyle w:val="Compact"/>
            </w:pPr>
            <w:r>
              <w:t xml:space="preserve">LaNiO</w:t>
            </w:r>
            <w:r>
              <w:rPr>
                <w:vertAlign w:val="subscript"/>
              </w:rPr>
              <w:t xml:space="preserve">3</w:t>
            </w:r>
            <w:r>
              <w:t xml:space="preserve"> </w:t>
            </w:r>
            <w:r>
              <w:t xml:space="preserve">(mp-1284950)</w:t>
            </w:r>
          </w:p>
        </w:tc>
        <w:tc>
          <w:tcPr/>
          <w:p>
            <w:pPr>
              <w:pStyle w:val="Compact"/>
            </w:pPr>
            <w:r>
              <w:t xml:space="preserve">0.021</w:t>
            </w:r>
          </w:p>
        </w:tc>
        <w:tc>
          <w:tcPr/>
          <w:p>
            <w:pPr>
              <w:pStyle w:val="Compact"/>
            </w:pPr>
            <w:r>
              <w:t xml:space="preserve">metastable</w:t>
            </w:r>
          </w:p>
        </w:tc>
        <w:tc>
          <w:tcPr/>
          <w:p>
            <w:pPr>
              <w:pStyle w:val="Compact"/>
            </w:pPr>
            <w:r>
              <w:t xml:space="preserve">0.36</w:t>
            </w:r>
          </w:p>
        </w:tc>
        <w:tc>
          <w:tcPr/>
          <w:p>
            <w:pPr>
              <w:pStyle w:val="Compact"/>
            </w:pPr>
            <w:r>
              <w:t xml:space="preserve">800</w:t>
            </w:r>
          </w:p>
        </w:tc>
        <w:tc>
          <w:tcPr/>
          <w:p>
            <w:pPr>
              <w:pStyle w:val="Compact"/>
            </w:pPr>
            <w:r>
              <w:t xml:space="preserve">−12</w:t>
            </w:r>
          </w:p>
        </w:tc>
        <w:tc>
          <w:tcPr/>
          <w:p>
            <w:pPr>
              <w:pStyle w:val="Compact"/>
            </w:pPr>
            <w:r>
              <w:t xml:space="preserve">2.7 × 10</w:t>
            </w:r>
            <w:r>
              <w:rPr>
                <w:vertAlign w:val="superscript"/>
              </w:rPr>
              <w:t xml:space="preserve">4</w:t>
            </w:r>
          </w:p>
        </w:tc>
        <w:tc>
          <w:tcPr/>
          <w:p>
            <w:pPr>
              <w:pStyle w:val="Compact"/>
            </w:pPr>
            <w:r>
              <w:t xml:space="preserve">2.86</w:t>
            </w:r>
          </w:p>
        </w:tc>
        <w:tc>
          <w:tcPr/>
          <w:p>
            <w:pPr>
              <w:pStyle w:val="Compact"/>
            </w:pPr>
            <w:r>
              <w:t xml:space="preserve">0.04</w:t>
            </w:r>
          </w:p>
        </w:tc>
        <w:tc>
          <w:tcPr/>
          <w:p>
            <w:pPr>
              <w:pStyle w:val="Compact"/>
            </w:pPr>
            <w:r>
              <w:t xml:space="preserve">yes</w:t>
            </w:r>
          </w:p>
        </w:tc>
      </w:tr>
      <w:tr>
        <w:tc>
          <w:tcPr/>
          <w:p>
            <w:pPr>
              <w:pStyle w:val="Compact"/>
            </w:pPr>
            <w:r>
              <w:t xml:space="preserve">seen</w:t>
            </w:r>
          </w:p>
        </w:tc>
        <w:tc>
          <w:tcPr/>
          <w:p>
            <w:pPr>
              <w:pStyle w:val="Compact"/>
            </w:pPr>
            <w:r>
              <w:t xml:space="preserve">9</w:t>
            </w:r>
          </w:p>
        </w:tc>
        <w:tc>
          <w:tcPr/>
          <w:p>
            <w:pPr>
              <w:pStyle w:val="Compact"/>
            </w:pPr>
            <w:r>
              <w:t xml:space="preserve">LaCoO</w:t>
            </w:r>
            <w:r>
              <w:rPr>
                <w:vertAlign w:val="subscript"/>
              </w:rPr>
              <w:t xml:space="preserve">3</w:t>
            </w:r>
            <w:r>
              <w:t xml:space="preserve"> </w:t>
            </w:r>
            <w:r>
              <w:t xml:space="preserve">† (mp-1288145)</w:t>
            </w:r>
          </w:p>
        </w:tc>
        <w:tc>
          <w:tcPr/>
          <w:p>
            <w:pPr>
              <w:pStyle w:val="Compact"/>
            </w:pPr>
            <w:r>
              <w:t xml:space="preserve">0.000</w:t>
            </w:r>
          </w:p>
        </w:tc>
        <w:tc>
          <w:tcPr/>
          <w:p>
            <w:pPr>
              <w:pStyle w:val="Compact"/>
            </w:pPr>
            <w:r>
              <w:t xml:space="preserve">on hull</w:t>
            </w:r>
          </w:p>
        </w:tc>
        <w:tc>
          <w:tcPr/>
          <w:p>
            <w:pPr>
              <w:pStyle w:val="Compact"/>
            </w:pPr>
            <w:r>
              <w:t xml:space="preserve">0.28</w:t>
            </w:r>
          </w:p>
        </w:tc>
        <w:tc>
          <w:tcPr/>
          <w:p>
            <w:pPr>
              <w:pStyle w:val="Compact"/>
            </w:pPr>
            <w:r>
              <w:t xml:space="preserve">800</w:t>
            </w:r>
          </w:p>
        </w:tc>
        <w:tc>
          <w:tcPr/>
          <w:p>
            <w:pPr>
              <w:pStyle w:val="Compact"/>
            </w:pPr>
            <w:r>
              <w:t xml:space="preserve">35</w:t>
            </w:r>
          </w:p>
        </w:tc>
        <w:tc>
          <w:tcPr/>
          <w:p>
            <w:pPr>
              <w:pStyle w:val="Compact"/>
            </w:pPr>
            <w:r>
              <w:t xml:space="preserve">3.8 × 10</w:t>
            </w:r>
            <w:r>
              <w:rPr>
                <w:vertAlign w:val="superscript"/>
              </w:rPr>
              <w:t xml:space="preserve">4</w:t>
            </w:r>
          </w:p>
        </w:tc>
        <w:tc>
          <w:tcPr/>
          <w:p>
            <w:pPr>
              <w:pStyle w:val="Compact"/>
            </w:pPr>
            <w:r>
              <w:t xml:space="preserve">2.58</w:t>
            </w:r>
          </w:p>
        </w:tc>
        <w:tc>
          <w:tcPr/>
          <w:p>
            <w:pPr>
              <w:pStyle w:val="Compact"/>
            </w:pPr>
            <w:r>
              <w:t xml:space="preserve">0.04</w:t>
            </w:r>
          </w:p>
        </w:tc>
        <w:tc>
          <w:tcPr/>
          <w:p>
            <w:pPr>
              <w:pStyle w:val="Compact"/>
            </w:pPr>
            <w:r>
              <w:t xml:space="preserve">yes</w:t>
            </w:r>
          </w:p>
        </w:tc>
      </w:tr>
      <w:tr>
        <w:tc>
          <w:tcPr/>
          <w:p>
            <w:pPr>
              <w:pStyle w:val="Compact"/>
            </w:pPr>
            <w:r>
              <w:t xml:space="preserve">unseen</w:t>
            </w:r>
          </w:p>
        </w:tc>
        <w:tc>
          <w:tcPr/>
          <w:p>
            <w:pPr>
              <w:pStyle w:val="Compact"/>
            </w:pPr>
            <w:r>
              <w:t xml:space="preserve">1</w:t>
            </w:r>
          </w:p>
        </w:tc>
        <w:tc>
          <w:tcPr/>
          <w:p>
            <w:pPr>
              <w:pStyle w:val="Compact"/>
            </w:pPr>
            <w:r>
              <w:t xml:space="preserve">RbGeI</w:t>
            </w:r>
            <w:r>
              <w:rPr>
                <w:vertAlign w:val="subscript"/>
              </w:rPr>
              <w:t xml:space="preserve">3</w:t>
            </w:r>
            <w:r>
              <w:t xml:space="preserve"> </w:t>
            </w:r>
            <w:r>
              <w:t xml:space="preserve">(mp-571458)</w:t>
            </w:r>
          </w:p>
        </w:tc>
        <w:tc>
          <w:tcPr/>
          <w:p>
            <w:pPr>
              <w:pStyle w:val="Compact"/>
            </w:pPr>
            <w:r>
              <w:t xml:space="preserve">0.013</w:t>
            </w:r>
          </w:p>
        </w:tc>
        <w:tc>
          <w:tcPr/>
          <w:p>
            <w:pPr>
              <w:pStyle w:val="Compact"/>
            </w:pPr>
            <w:r>
              <w:t xml:space="preserve">metastable</w:t>
            </w:r>
          </w:p>
        </w:tc>
        <w:tc>
          <w:tcPr/>
          <w:p>
            <w:pPr>
              <w:pStyle w:val="Compact"/>
            </w:pPr>
            <w:r>
              <w:t xml:space="preserve">0.52</w:t>
            </w:r>
          </w:p>
        </w:tc>
        <w:tc>
          <w:tcPr/>
          <w:p>
            <w:pPr>
              <w:pStyle w:val="Compact"/>
            </w:pPr>
            <w:r>
              <w:t xml:space="preserve">800</w:t>
            </w:r>
          </w:p>
        </w:tc>
        <w:tc>
          <w:tcPr/>
          <w:p>
            <w:pPr>
              <w:pStyle w:val="Compact"/>
            </w:pPr>
            <w:r>
              <w:t xml:space="preserve">100</w:t>
            </w:r>
          </w:p>
        </w:tc>
        <w:tc>
          <w:tcPr/>
          <w:p>
            <w:pPr>
              <w:pStyle w:val="Compact"/>
            </w:pPr>
            <w:r>
              <w:t xml:space="preserve">1.8 × 10</w:t>
            </w:r>
            <w:r>
              <w:rPr>
                <w:vertAlign w:val="superscript"/>
              </w:rPr>
              <w:t xml:space="preserve">4</w:t>
            </w:r>
          </w:p>
        </w:tc>
        <w:tc>
          <w:tcPr/>
          <w:p>
            <w:pPr>
              <w:pStyle w:val="Compact"/>
            </w:pPr>
            <w:r>
              <w:t xml:space="preserve">0.69</w:t>
            </w:r>
          </w:p>
        </w:tc>
        <w:tc>
          <w:tcPr/>
          <w:p>
            <w:pPr>
              <w:pStyle w:val="Compact"/>
            </w:pPr>
            <w:r>
              <w:t xml:space="preserve">0.61</w:t>
            </w:r>
          </w:p>
        </w:tc>
        <w:tc>
          <w:tcPr/>
          <w:p>
            <w:pPr>
              <w:pStyle w:val="Compact"/>
            </w:pPr>
            <w:r>
              <w:t xml:space="preserve">yes</w:t>
            </w:r>
          </w:p>
        </w:tc>
      </w:tr>
      <w:tr>
        <w:tc>
          <w:tcPr/>
          <w:p>
            <w:pPr>
              <w:pStyle w:val="Compact"/>
            </w:pPr>
            <w:r>
              <w:t xml:space="preserve">unseen</w:t>
            </w:r>
          </w:p>
        </w:tc>
        <w:tc>
          <w:tcPr/>
          <w:p>
            <w:pPr>
              <w:pStyle w:val="Compact"/>
            </w:pPr>
            <w:r>
              <w:t xml:space="preserve">2</w:t>
            </w:r>
          </w:p>
        </w:tc>
        <w:tc>
          <w:tcPr/>
          <w:p>
            <w:pPr>
              <w:pStyle w:val="Compact"/>
            </w:pPr>
            <w:r>
              <w:t xml:space="preserve">CsSnBr</w:t>
            </w:r>
            <w:r>
              <w:rPr>
                <w:vertAlign w:val="subscript"/>
              </w:rPr>
              <w:t xml:space="preserve">3</w:t>
            </w:r>
            <w:r>
              <w:t xml:space="preserve"> </w:t>
            </w:r>
            <w:r>
              <w:t xml:space="preserve">(mp-27214)</w:t>
            </w:r>
          </w:p>
        </w:tc>
        <w:tc>
          <w:tcPr/>
          <w:p>
            <w:pPr>
              <w:pStyle w:val="Compact"/>
            </w:pPr>
            <w:r>
              <w:t xml:space="preserve">0.011</w:t>
            </w:r>
          </w:p>
        </w:tc>
        <w:tc>
          <w:tcPr/>
          <w:p>
            <w:pPr>
              <w:pStyle w:val="Compact"/>
            </w:pPr>
            <w:r>
              <w:t xml:space="preserve">metastable</w:t>
            </w:r>
          </w:p>
        </w:tc>
        <w:tc>
          <w:tcPr/>
          <w:p>
            <w:pPr>
              <w:pStyle w:val="Compact"/>
            </w:pPr>
            <w:r>
              <w:t xml:space="preserve">0.60</w:t>
            </w:r>
          </w:p>
        </w:tc>
        <w:tc>
          <w:tcPr/>
          <w:p>
            <w:pPr>
              <w:pStyle w:val="Compact"/>
            </w:pPr>
            <w:r>
              <w:t xml:space="preserve">800</w:t>
            </w:r>
          </w:p>
        </w:tc>
        <w:tc>
          <w:tcPr/>
          <w:p>
            <w:pPr>
              <w:pStyle w:val="Compact"/>
            </w:pPr>
            <w:r>
              <w:t xml:space="preserve">38</w:t>
            </w:r>
          </w:p>
        </w:tc>
        <w:tc>
          <w:tcPr/>
          <w:p>
            <w:pPr>
              <w:pStyle w:val="Compact"/>
            </w:pPr>
            <w:r>
              <w:t xml:space="preserve">1.4 × 10</w:t>
            </w:r>
            <w:r>
              <w:rPr>
                <w:vertAlign w:val="superscript"/>
              </w:rPr>
              <w:t xml:space="preserve">4</w:t>
            </w:r>
          </w:p>
        </w:tc>
        <w:tc>
          <w:tcPr/>
          <w:p>
            <w:pPr>
              <w:pStyle w:val="Compact"/>
            </w:pPr>
            <w:r>
              <w:t xml:space="preserve">0.67</w:t>
            </w:r>
          </w:p>
        </w:tc>
        <w:tc>
          <w:tcPr/>
          <w:p>
            <w:pPr>
              <w:pStyle w:val="Compact"/>
            </w:pPr>
            <w:r>
              <w:t xml:space="preserve">0.57</w:t>
            </w:r>
          </w:p>
        </w:tc>
        <w:tc>
          <w:tcPr/>
          <w:p>
            <w:pPr>
              <w:pStyle w:val="Compact"/>
            </w:pPr>
            <w:r>
              <w:t xml:space="preserve">yes</w:t>
            </w:r>
          </w:p>
        </w:tc>
      </w:tr>
      <w:tr>
        <w:tc>
          <w:tcPr/>
          <w:p>
            <w:pPr>
              <w:pStyle w:val="Compact"/>
            </w:pPr>
            <w:r>
              <w:t xml:space="preserve">unseen</w:t>
            </w:r>
          </w:p>
        </w:tc>
        <w:tc>
          <w:tcPr/>
          <w:p>
            <w:pPr>
              <w:pStyle w:val="Compact"/>
            </w:pPr>
            <w:r>
              <w:t xml:space="preserve">3</w:t>
            </w:r>
          </w:p>
        </w:tc>
        <w:tc>
          <w:tcPr/>
          <w:p>
            <w:pPr>
              <w:pStyle w:val="Compact"/>
            </w:pPr>
            <w:r>
              <w:t xml:space="preserve">AlSiP</w:t>
            </w:r>
            <w:r>
              <w:rPr>
                <w:vertAlign w:val="subscript"/>
              </w:rPr>
              <w:t xml:space="preserve">3</w:t>
            </w:r>
            <w:r>
              <w:t xml:space="preserve"> </w:t>
            </w:r>
            <w:r>
              <w:t xml:space="preserve">(mp-5168)</w:t>
            </w:r>
          </w:p>
        </w:tc>
        <w:tc>
          <w:tcPr/>
          <w:p>
            <w:pPr>
              <w:pStyle w:val="Compact"/>
            </w:pPr>
            <w:r>
              <w:t xml:space="preserve">0.007</w:t>
            </w:r>
          </w:p>
        </w:tc>
        <w:tc>
          <w:tcPr/>
          <w:p>
            <w:pPr>
              <w:pStyle w:val="Compact"/>
            </w:pPr>
            <w:r>
              <w:t xml:space="preserve">metastable</w:t>
            </w:r>
          </w:p>
        </w:tc>
        <w:tc>
          <w:tcPr/>
          <w:p>
            <w:pPr>
              <w:pStyle w:val="Compact"/>
            </w:pPr>
            <w:r>
              <w:t xml:space="preserve">0.29</w:t>
            </w:r>
          </w:p>
        </w:tc>
        <w:tc>
          <w:tcPr/>
          <w:p>
            <w:pPr>
              <w:pStyle w:val="Compact"/>
            </w:pPr>
            <w:r>
              <w:t xml:space="preserve">800</w:t>
            </w:r>
          </w:p>
        </w:tc>
        <w:tc>
          <w:tcPr/>
          <w:p>
            <w:pPr>
              <w:pStyle w:val="Compact"/>
            </w:pPr>
            <w:r>
              <w:t xml:space="preserve">165</w:t>
            </w:r>
          </w:p>
        </w:tc>
        <w:tc>
          <w:tcPr/>
          <w:p>
            <w:pPr>
              <w:pStyle w:val="Compact"/>
            </w:pPr>
            <w:r>
              <w:t xml:space="preserve">1.3 × 10</w:t>
            </w:r>
            <w:r>
              <w:rPr>
                <w:vertAlign w:val="superscript"/>
              </w:rPr>
              <w:t xml:space="preserve">4</w:t>
            </w:r>
          </w:p>
        </w:tc>
        <w:tc>
          <w:tcPr/>
          <w:p>
            <w:pPr>
              <w:pStyle w:val="Compact"/>
            </w:pPr>
            <w:r>
              <w:t xml:space="preserve">4.64</w:t>
            </w:r>
          </w:p>
        </w:tc>
        <w:tc>
          <w:tcPr/>
          <w:p>
            <w:pPr>
              <w:pStyle w:val="Compact"/>
            </w:pPr>
            <w:r>
              <w:t xml:space="preserve">0.37</w:t>
            </w:r>
          </w:p>
        </w:tc>
        <w:tc>
          <w:tcPr/>
          <w:p>
            <w:pPr>
              <w:pStyle w:val="Compact"/>
            </w:pPr>
            <w:r>
              <w:t xml:space="preserve">no evidence</w:t>
            </w:r>
          </w:p>
        </w:tc>
      </w:tr>
      <w:tr>
        <w:tc>
          <w:tcPr/>
          <w:p>
            <w:pPr>
              <w:pStyle w:val="Compact"/>
            </w:pPr>
            <w:r>
              <w:t xml:space="preserve">unseen</w:t>
            </w:r>
          </w:p>
        </w:tc>
        <w:tc>
          <w:tcPr/>
          <w:p>
            <w:pPr>
              <w:pStyle w:val="Compact"/>
            </w:pPr>
            <w:r>
              <w:t xml:space="preserve">4</w:t>
            </w:r>
          </w:p>
        </w:tc>
        <w:tc>
          <w:tcPr/>
          <w:p>
            <w:pPr>
              <w:pStyle w:val="Compact"/>
            </w:pPr>
            <w:r>
              <w:t xml:space="preserve">RbEuCl</w:t>
            </w:r>
            <w:r>
              <w:rPr>
                <w:vertAlign w:val="subscript"/>
              </w:rPr>
              <w:t xml:space="preserve">3</w:t>
            </w:r>
            <w:r>
              <w:t xml:space="preserve"> </w:t>
            </w:r>
            <w:r>
              <w:t xml:space="preserve">(mp-1206801)</w:t>
            </w:r>
          </w:p>
        </w:tc>
        <w:tc>
          <w:tcPr/>
          <w:p>
            <w:pPr>
              <w:pStyle w:val="Compact"/>
            </w:pPr>
            <w:r>
              <w:t xml:space="preserve">0.038</w:t>
            </w:r>
          </w:p>
        </w:tc>
        <w:tc>
          <w:tcPr/>
          <w:p>
            <w:pPr>
              <w:pStyle w:val="Compact"/>
            </w:pPr>
            <w:r>
              <w:t xml:space="preserve">metastable</w:t>
            </w:r>
          </w:p>
        </w:tc>
        <w:tc>
          <w:tcPr/>
          <w:p>
            <w:pPr>
              <w:pStyle w:val="Compact"/>
            </w:pPr>
            <w:r>
              <w:t xml:space="preserve">0.45</w:t>
            </w:r>
          </w:p>
        </w:tc>
        <w:tc>
          <w:tcPr/>
          <w:p>
            <w:pPr>
              <w:pStyle w:val="Compact"/>
            </w:pPr>
            <w:r>
              <w:t xml:space="preserve">800</w:t>
            </w:r>
          </w:p>
        </w:tc>
        <w:tc>
          <w:tcPr/>
          <w:p>
            <w:pPr>
              <w:pStyle w:val="Compact"/>
            </w:pPr>
            <w:r>
              <w:t xml:space="preserve">17</w:t>
            </w:r>
          </w:p>
        </w:tc>
        <w:tc>
          <w:tcPr/>
          <w:p>
            <w:pPr>
              <w:pStyle w:val="Compact"/>
            </w:pPr>
            <w:r>
              <w:t xml:space="preserve">3.6 × 10</w:t>
            </w:r>
            <w:r>
              <w:rPr>
                <w:vertAlign w:val="superscript"/>
              </w:rPr>
              <w:t xml:space="preserve">4</w:t>
            </w:r>
          </w:p>
        </w:tc>
        <w:tc>
          <w:tcPr/>
          <w:p>
            <w:pPr>
              <w:pStyle w:val="Compact"/>
            </w:pPr>
            <w:r>
              <w:t xml:space="preserve">1.33</w:t>
            </w:r>
          </w:p>
        </w:tc>
        <w:tc>
          <w:tcPr/>
          <w:p>
            <w:pPr>
              <w:pStyle w:val="Compact"/>
            </w:pPr>
            <w:r>
              <w:t xml:space="preserve">0.35</w:t>
            </w:r>
          </w:p>
        </w:tc>
        <w:tc>
          <w:tcPr/>
          <w:p>
            <w:pPr>
              <w:pStyle w:val="Compact"/>
            </w:pPr>
            <w:r>
              <w:t xml:space="preserve">no evidence</w:t>
            </w:r>
          </w:p>
        </w:tc>
      </w:tr>
      <w:tr>
        <w:tc>
          <w:tcPr/>
          <w:p>
            <w:pPr>
              <w:pStyle w:val="Compact"/>
            </w:pPr>
            <w:r>
              <w:t xml:space="preserve">unseen</w:t>
            </w:r>
          </w:p>
        </w:tc>
        <w:tc>
          <w:tcPr/>
          <w:p>
            <w:pPr>
              <w:pStyle w:val="Compact"/>
            </w:pPr>
            <w:r>
              <w:t xml:space="preserve">5</w:t>
            </w:r>
          </w:p>
        </w:tc>
        <w:tc>
          <w:tcPr/>
          <w:p>
            <w:pPr>
              <w:pStyle w:val="Compact"/>
            </w:pPr>
            <w:r>
              <w:t xml:space="preserve">SrBiO</w:t>
            </w:r>
            <w:r>
              <w:rPr>
                <w:vertAlign w:val="subscript"/>
              </w:rPr>
              <w:t xml:space="preserve">3</w:t>
            </w:r>
            <w:r>
              <w:t xml:space="preserve"> </w:t>
            </w:r>
            <w:r>
              <w:t xml:space="preserve">(mp-29164)</w:t>
            </w:r>
          </w:p>
        </w:tc>
        <w:tc>
          <w:tcPr/>
          <w:p>
            <w:pPr>
              <w:pStyle w:val="Compact"/>
            </w:pPr>
            <w:r>
              <w:t xml:space="preserve">0.000</w:t>
            </w:r>
          </w:p>
        </w:tc>
        <w:tc>
          <w:tcPr/>
          <w:p>
            <w:pPr>
              <w:pStyle w:val="Compact"/>
            </w:pPr>
            <w:r>
              <w:t xml:space="preserve">on hull</w:t>
            </w:r>
          </w:p>
        </w:tc>
        <w:tc>
          <w:tcPr/>
          <w:p>
            <w:pPr>
              <w:pStyle w:val="Compact"/>
            </w:pPr>
            <w:r>
              <w:t xml:space="preserve">0.31</w:t>
            </w:r>
          </w:p>
        </w:tc>
        <w:tc>
          <w:tcPr/>
          <w:p>
            <w:pPr>
              <w:pStyle w:val="Compact"/>
            </w:pPr>
            <w:r>
              <w:t xml:space="preserve">800</w:t>
            </w:r>
          </w:p>
        </w:tc>
        <w:tc>
          <w:tcPr/>
          <w:p>
            <w:pPr>
              <w:pStyle w:val="Compact"/>
            </w:pPr>
            <w:r>
              <w:t xml:space="preserve">−134</w:t>
            </w:r>
          </w:p>
        </w:tc>
        <w:tc>
          <w:tcPr/>
          <w:p>
            <w:pPr>
              <w:pStyle w:val="Compact"/>
            </w:pPr>
            <w:r>
              <w:t xml:space="preserve">6.0 × 10</w:t>
            </w:r>
            <w:r>
              <w:rPr>
                <w:vertAlign w:val="superscript"/>
              </w:rPr>
              <w:t xml:space="preserve">3</w:t>
            </w:r>
          </w:p>
        </w:tc>
        <w:tc>
          <w:tcPr/>
          <w:p>
            <w:pPr>
              <w:pStyle w:val="Compact"/>
            </w:pPr>
            <w:r>
              <w:t xml:space="preserve">2.19</w:t>
            </w:r>
          </w:p>
        </w:tc>
        <w:tc>
          <w:tcPr/>
          <w:p>
            <w:pPr>
              <w:pStyle w:val="Compact"/>
            </w:pPr>
            <w:r>
              <w:t xml:space="preserve">0.21</w:t>
            </w:r>
          </w:p>
        </w:tc>
        <w:tc>
          <w:tcPr/>
          <w:p>
            <w:pPr>
              <w:pStyle w:val="Compact"/>
            </w:pPr>
            <w:r>
              <w:t xml:space="preserve">no evidence</w:t>
            </w:r>
          </w:p>
        </w:tc>
      </w:tr>
      <w:tr>
        <w:tc>
          <w:tcPr/>
          <w:p>
            <w:pPr>
              <w:pStyle w:val="Compact"/>
            </w:pPr>
            <w:r>
              <w:t xml:space="preserve">unseen</w:t>
            </w:r>
          </w:p>
        </w:tc>
        <w:tc>
          <w:tcPr/>
          <w:p>
            <w:pPr>
              <w:pStyle w:val="Compact"/>
            </w:pPr>
            <w:r>
              <w:t xml:space="preserve">6</w:t>
            </w:r>
          </w:p>
        </w:tc>
        <w:tc>
          <w:tcPr/>
          <w:p>
            <w:pPr>
              <w:pStyle w:val="Compact"/>
            </w:pPr>
            <w:r>
              <w:t xml:space="preserve">KCrF</w:t>
            </w:r>
            <w:r>
              <w:rPr>
                <w:vertAlign w:val="subscript"/>
              </w:rPr>
              <w:t xml:space="preserve">3</w:t>
            </w:r>
            <w:r>
              <w:t xml:space="preserve"> </w:t>
            </w:r>
            <w:r>
              <w:t xml:space="preserve">(mp-1180782)</w:t>
            </w:r>
          </w:p>
        </w:tc>
        <w:tc>
          <w:tcPr/>
          <w:p>
            <w:pPr>
              <w:pStyle w:val="Compact"/>
            </w:pPr>
            <w:r>
              <w:t xml:space="preserve">0.002</w:t>
            </w:r>
          </w:p>
        </w:tc>
        <w:tc>
          <w:tcPr/>
          <w:p>
            <w:pPr>
              <w:pStyle w:val="Compact"/>
            </w:pPr>
            <w:r>
              <w:t xml:space="preserve">metastable</w:t>
            </w:r>
          </w:p>
        </w:tc>
        <w:tc>
          <w:tcPr/>
          <w:p>
            <w:pPr>
              <w:pStyle w:val="Compact"/>
            </w:pPr>
            <w:r>
              <w:t xml:space="preserve">0.16</w:t>
            </w:r>
          </w:p>
        </w:tc>
        <w:tc>
          <w:tcPr/>
          <w:p>
            <w:pPr>
              <w:pStyle w:val="Compact"/>
            </w:pPr>
            <w:r>
              <w:t xml:space="preserve">800</w:t>
            </w:r>
          </w:p>
        </w:tc>
        <w:tc>
          <w:tcPr/>
          <w:p>
            <w:pPr>
              <w:pStyle w:val="Compact"/>
            </w:pPr>
            <w:r>
              <w:t xml:space="preserve">29</w:t>
            </w:r>
          </w:p>
        </w:tc>
        <w:tc>
          <w:tcPr/>
          <w:p>
            <w:pPr>
              <w:pStyle w:val="Compact"/>
            </w:pPr>
            <w:r>
              <w:t xml:space="preserve">2.4 × 10</w:t>
            </w:r>
            <w:r>
              <w:rPr>
                <w:vertAlign w:val="superscript"/>
              </w:rPr>
              <w:t xml:space="preserve">4</w:t>
            </w:r>
          </w:p>
        </w:tc>
        <w:tc>
          <w:tcPr/>
          <w:p>
            <w:pPr>
              <w:pStyle w:val="Compact"/>
            </w:pPr>
            <w:r>
              <w:t xml:space="preserve">2.19</w:t>
            </w:r>
          </w:p>
        </w:tc>
        <w:tc>
          <w:tcPr/>
          <w:p>
            <w:pPr>
              <w:pStyle w:val="Compact"/>
            </w:pPr>
            <w:r>
              <w:t xml:space="preserve">0.21</w:t>
            </w:r>
          </w:p>
        </w:tc>
        <w:tc>
          <w:tcPr/>
          <w:p>
            <w:pPr>
              <w:pStyle w:val="Compact"/>
            </w:pPr>
            <w:r>
              <w:t xml:space="preserve">no evidence</w:t>
            </w:r>
          </w:p>
        </w:tc>
      </w:tr>
      <w:tr>
        <w:tc>
          <w:tcPr/>
          <w:p>
            <w:pPr>
              <w:pStyle w:val="Compact"/>
            </w:pPr>
            <w:r>
              <w:t xml:space="preserve">unseen</w:t>
            </w:r>
          </w:p>
        </w:tc>
        <w:tc>
          <w:tcPr/>
          <w:p>
            <w:pPr>
              <w:pStyle w:val="Compact"/>
            </w:pPr>
            <w:r>
              <w:t xml:space="preserve">7</w:t>
            </w:r>
          </w:p>
        </w:tc>
        <w:tc>
          <w:tcPr/>
          <w:p>
            <w:pPr>
              <w:pStyle w:val="Compact"/>
            </w:pPr>
            <w:r>
              <w:t xml:space="preserve">EuHfS</w:t>
            </w:r>
            <w:r>
              <w:rPr>
                <w:vertAlign w:val="subscript"/>
              </w:rPr>
              <w:t xml:space="preserve">3</w:t>
            </w:r>
            <w:r>
              <w:t xml:space="preserve"> </w:t>
            </w:r>
            <w:r>
              <w:t xml:space="preserve">(mp-1190059)</w:t>
            </w:r>
          </w:p>
        </w:tc>
        <w:tc>
          <w:tcPr/>
          <w:p>
            <w:pPr>
              <w:pStyle w:val="Compact"/>
            </w:pPr>
            <w:r>
              <w:t xml:space="preserve">0.000</w:t>
            </w:r>
          </w:p>
        </w:tc>
        <w:tc>
          <w:tcPr/>
          <w:p>
            <w:pPr>
              <w:pStyle w:val="Compact"/>
            </w:pPr>
            <w:r>
              <w:t xml:space="preserve">on hull</w:t>
            </w:r>
          </w:p>
        </w:tc>
        <w:tc>
          <w:tcPr/>
          <w:p>
            <w:pPr>
              <w:pStyle w:val="Compact"/>
            </w:pPr>
            <w:r>
              <w:t xml:space="preserve">0.13</w:t>
            </w:r>
          </w:p>
        </w:tc>
        <w:tc>
          <w:tcPr/>
          <w:p>
            <w:pPr>
              <w:pStyle w:val="Compact"/>
            </w:pPr>
            <w:r>
              <w:t xml:space="preserve">800</w:t>
            </w:r>
          </w:p>
        </w:tc>
        <w:tc>
          <w:tcPr/>
          <w:p>
            <w:pPr>
              <w:pStyle w:val="Compact"/>
            </w:pPr>
            <w:r>
              <w:t xml:space="preserve">−68</w:t>
            </w:r>
          </w:p>
        </w:tc>
        <w:tc>
          <w:tcPr/>
          <w:p>
            <w:pPr>
              <w:pStyle w:val="Compact"/>
            </w:pPr>
            <w:r>
              <w:t xml:space="preserve">3.1 × 10</w:t>
            </w:r>
            <w:r>
              <w:rPr>
                <w:vertAlign w:val="superscript"/>
              </w:rPr>
              <w:t xml:space="preserve">4</w:t>
            </w:r>
          </w:p>
        </w:tc>
        <w:tc>
          <w:tcPr/>
          <w:p>
            <w:pPr>
              <w:pStyle w:val="Compact"/>
            </w:pPr>
            <w:r>
              <w:t xml:space="preserve">1.52</w:t>
            </w:r>
          </w:p>
        </w:tc>
        <w:tc>
          <w:tcPr/>
          <w:p>
            <w:pPr>
              <w:pStyle w:val="Compact"/>
            </w:pPr>
            <w:r>
              <w:t xml:space="preserve">0.20</w:t>
            </w:r>
          </w:p>
        </w:tc>
        <w:tc>
          <w:tcPr/>
          <w:p>
            <w:pPr>
              <w:pStyle w:val="Compact"/>
            </w:pPr>
            <w:r>
              <w:t xml:space="preserve">no evidence</w:t>
            </w:r>
          </w:p>
        </w:tc>
      </w:tr>
      <w:tr>
        <w:tc>
          <w:tcPr/>
          <w:p>
            <w:pPr>
              <w:pStyle w:val="Compact"/>
            </w:pPr>
            <w:r>
              <w:t xml:space="preserve">unseen</w:t>
            </w:r>
          </w:p>
        </w:tc>
        <w:tc>
          <w:tcPr/>
          <w:p>
            <w:pPr>
              <w:pStyle w:val="Compact"/>
            </w:pPr>
            <w:r>
              <w:t xml:space="preserve">8</w:t>
            </w:r>
          </w:p>
        </w:tc>
        <w:tc>
          <w:tcPr/>
          <w:p>
            <w:pPr>
              <w:pStyle w:val="Compact"/>
            </w:pPr>
            <w:r>
              <w:t xml:space="preserve">KBiO</w:t>
            </w:r>
            <w:r>
              <w:rPr>
                <w:vertAlign w:val="subscript"/>
              </w:rPr>
              <w:t xml:space="preserve">3</w:t>
            </w:r>
            <w:r>
              <w:t xml:space="preserve"> </w:t>
            </w:r>
            <w:r>
              <w:t xml:space="preserve">(mp-29799)</w:t>
            </w:r>
          </w:p>
        </w:tc>
        <w:tc>
          <w:tcPr/>
          <w:p>
            <w:pPr>
              <w:pStyle w:val="Compact"/>
            </w:pPr>
            <w:r>
              <w:t xml:space="preserve">0.000</w:t>
            </w:r>
          </w:p>
        </w:tc>
        <w:tc>
          <w:tcPr/>
          <w:p>
            <w:pPr>
              <w:pStyle w:val="Compact"/>
            </w:pPr>
            <w:r>
              <w:t xml:space="preserve">on hull</w:t>
            </w:r>
          </w:p>
        </w:tc>
        <w:tc>
          <w:tcPr/>
          <w:p>
            <w:pPr>
              <w:pStyle w:val="Compact"/>
            </w:pPr>
            <w:r>
              <w:t xml:space="preserve">0.49</w:t>
            </w:r>
          </w:p>
        </w:tc>
        <w:tc>
          <w:tcPr/>
          <w:p>
            <w:pPr>
              <w:pStyle w:val="Compact"/>
            </w:pPr>
            <w:r>
              <w:t xml:space="preserve">800</w:t>
            </w:r>
          </w:p>
        </w:tc>
        <w:tc>
          <w:tcPr/>
          <w:p>
            <w:pPr>
              <w:pStyle w:val="Compact"/>
            </w:pPr>
            <w:r>
              <w:t xml:space="preserve">−83</w:t>
            </w:r>
          </w:p>
        </w:tc>
        <w:tc>
          <w:tcPr/>
          <w:p>
            <w:pPr>
              <w:pStyle w:val="Compact"/>
            </w:pPr>
            <w:r>
              <w:t xml:space="preserve">1.3 × 10</w:t>
            </w:r>
            <w:r>
              <w:rPr>
                <w:vertAlign w:val="superscript"/>
              </w:rPr>
              <w:t xml:space="preserve">4</w:t>
            </w:r>
          </w:p>
        </w:tc>
        <w:tc>
          <w:tcPr/>
          <w:p>
            <w:pPr>
              <w:pStyle w:val="Compact"/>
            </w:pPr>
            <w:r>
              <w:t xml:space="preserve">2.02</w:t>
            </w:r>
          </w:p>
        </w:tc>
        <w:tc>
          <w:tcPr/>
          <w:p>
            <w:pPr>
              <w:pStyle w:val="Compact"/>
            </w:pPr>
            <w:r>
              <w:t xml:space="preserve">0.17</w:t>
            </w:r>
          </w:p>
        </w:tc>
        <w:tc>
          <w:tcPr/>
          <w:p>
            <w:pPr>
              <w:pStyle w:val="Compact"/>
            </w:pPr>
            <w:r>
              <w:t xml:space="preserve">no evidence</w:t>
            </w:r>
          </w:p>
        </w:tc>
      </w:tr>
      <w:tr>
        <w:tc>
          <w:tcPr/>
          <w:p>
            <w:pPr>
              <w:pStyle w:val="Compact"/>
            </w:pPr>
            <w:r>
              <w:t xml:space="preserve">unseen</w:t>
            </w:r>
          </w:p>
        </w:tc>
        <w:tc>
          <w:tcPr/>
          <w:p>
            <w:pPr>
              <w:pStyle w:val="Compact"/>
            </w:pPr>
            <w:r>
              <w:t xml:space="preserve">9</w:t>
            </w:r>
          </w:p>
        </w:tc>
        <w:tc>
          <w:tcPr/>
          <w:p>
            <w:pPr>
              <w:pStyle w:val="Compact"/>
            </w:pPr>
            <w:r>
              <w:t xml:space="preserve">EuZrS</w:t>
            </w:r>
            <w:r>
              <w:rPr>
                <w:vertAlign w:val="subscript"/>
              </w:rPr>
              <w:t xml:space="preserve">3</w:t>
            </w:r>
            <w:r>
              <w:t xml:space="preserve"> </w:t>
            </w:r>
            <w:r>
              <w:t xml:space="preserve">(mp-1189927)</w:t>
            </w:r>
          </w:p>
        </w:tc>
        <w:tc>
          <w:tcPr/>
          <w:p>
            <w:pPr>
              <w:pStyle w:val="Compact"/>
            </w:pPr>
            <w:r>
              <w:t xml:space="preserve">0.000</w:t>
            </w:r>
          </w:p>
        </w:tc>
        <w:tc>
          <w:tcPr/>
          <w:p>
            <w:pPr>
              <w:pStyle w:val="Compact"/>
            </w:pPr>
            <w:r>
              <w:t xml:space="preserve">on hull</w:t>
            </w:r>
          </w:p>
        </w:tc>
        <w:tc>
          <w:tcPr/>
          <w:p>
            <w:pPr>
              <w:pStyle w:val="Compact"/>
            </w:pPr>
            <w:r>
              <w:t xml:space="preserve">0.15</w:t>
            </w:r>
          </w:p>
        </w:tc>
        <w:tc>
          <w:tcPr/>
          <w:p>
            <w:pPr>
              <w:pStyle w:val="Compact"/>
            </w:pPr>
            <w:r>
              <w:t xml:space="preserve">800</w:t>
            </w:r>
          </w:p>
        </w:tc>
        <w:tc>
          <w:tcPr/>
          <w:p>
            <w:pPr>
              <w:pStyle w:val="Compact"/>
            </w:pPr>
            <w:r>
              <w:t xml:space="preserve">−136</w:t>
            </w:r>
          </w:p>
        </w:tc>
        <w:tc>
          <w:tcPr/>
          <w:p>
            <w:pPr>
              <w:pStyle w:val="Compact"/>
            </w:pPr>
            <w:r>
              <w:t xml:space="preserve">2.4 × 10</w:t>
            </w:r>
            <w:r>
              <w:rPr>
                <w:vertAlign w:val="superscript"/>
              </w:rPr>
              <w:t xml:space="preserve">4</w:t>
            </w:r>
          </w:p>
        </w:tc>
        <w:tc>
          <w:tcPr/>
          <w:p>
            <w:pPr>
              <w:pStyle w:val="Compact"/>
            </w:pPr>
            <w:r>
              <w:t xml:space="preserve">1.25</w:t>
            </w:r>
          </w:p>
        </w:tc>
        <w:tc>
          <w:tcPr/>
          <w:p>
            <w:pPr>
              <w:pStyle w:val="Compact"/>
            </w:pPr>
            <w:r>
              <w:t xml:space="preserve">0.16</w:t>
            </w:r>
          </w:p>
        </w:tc>
        <w:tc>
          <w:tcPr/>
          <w:p>
            <w:pPr>
              <w:pStyle w:val="Compact"/>
            </w:pPr>
            <w:r>
              <w:t xml:space="preserve">no evidence</w:t>
            </w:r>
          </w:p>
        </w:tc>
      </w:tr>
      <w:tr>
        <w:tc>
          <w:tcPr/>
          <w:p>
            <w:pPr>
              <w:pStyle w:val="Compact"/>
            </w:pPr>
            <w:r>
              <w:t xml:space="preserve">unseen</w:t>
            </w:r>
          </w:p>
        </w:tc>
        <w:tc>
          <w:tcPr/>
          <w:p>
            <w:pPr>
              <w:pStyle w:val="Compact"/>
            </w:pPr>
            <w:r>
              <w:t xml:space="preserve">10</w:t>
            </w:r>
          </w:p>
        </w:tc>
        <w:tc>
          <w:tcPr/>
          <w:p>
            <w:pPr>
              <w:pStyle w:val="Compact"/>
            </w:pPr>
            <w:r>
              <w:t xml:space="preserve">MnBO</w:t>
            </w:r>
            <w:r>
              <w:rPr>
                <w:vertAlign w:val="subscript"/>
              </w:rPr>
              <w:t xml:space="preserve">3</w:t>
            </w:r>
            <w:r>
              <w:t xml:space="preserve"> </w:t>
            </w:r>
            <w:r>
              <w:t xml:space="preserve">(mp-1278986)</w:t>
            </w:r>
          </w:p>
        </w:tc>
        <w:tc>
          <w:tcPr/>
          <w:p>
            <w:pPr>
              <w:pStyle w:val="Compact"/>
            </w:pPr>
            <w:r>
              <w:t xml:space="preserve">0.032</w:t>
            </w:r>
          </w:p>
        </w:tc>
        <w:tc>
          <w:tcPr/>
          <w:p>
            <w:pPr>
              <w:pStyle w:val="Compact"/>
            </w:pPr>
            <w:r>
              <w:t xml:space="preserve">metastable</w:t>
            </w:r>
          </w:p>
        </w:tc>
        <w:tc>
          <w:tcPr/>
          <w:p>
            <w:pPr>
              <w:pStyle w:val="Compact"/>
            </w:pPr>
            <w:r>
              <w:t xml:space="preserve">0.60</w:t>
            </w:r>
          </w:p>
        </w:tc>
        <w:tc>
          <w:tcPr/>
          <w:p>
            <w:pPr>
              <w:pStyle w:val="Compact"/>
            </w:pPr>
            <w:r>
              <w:t xml:space="preserve">800</w:t>
            </w:r>
          </w:p>
        </w:tc>
        <w:tc>
          <w:tcPr/>
          <w:p>
            <w:pPr>
              <w:pStyle w:val="Compact"/>
            </w:pPr>
            <w:r>
              <w:t xml:space="preserve">−55</w:t>
            </w:r>
          </w:p>
        </w:tc>
        <w:tc>
          <w:tcPr/>
          <w:p>
            <w:pPr>
              <w:pStyle w:val="Compact"/>
            </w:pPr>
            <w:r>
              <w:t xml:space="preserve">9.5 × 10</w:t>
            </w:r>
            <w:r>
              <w:rPr>
                <w:vertAlign w:val="superscript"/>
              </w:rPr>
              <w:t xml:space="preserve">3</w:t>
            </w:r>
          </w:p>
        </w:tc>
        <w:tc>
          <w:tcPr/>
          <w:p>
            <w:pPr>
              <w:pStyle w:val="Compact"/>
            </w:pPr>
            <w:r>
              <w:t xml:space="preserve">2.31</w:t>
            </w:r>
          </w:p>
        </w:tc>
        <w:tc>
          <w:tcPr/>
          <w:p>
            <w:pPr>
              <w:pStyle w:val="Compact"/>
            </w:pPr>
            <w:r>
              <w:t xml:space="preserve">0.14</w:t>
            </w:r>
          </w:p>
        </w:tc>
        <w:tc>
          <w:tcPr/>
          <w:p>
            <w:pPr>
              <w:pStyle w:val="Compact"/>
            </w:pPr>
            <w:r>
              <w:t xml:space="preserve">no evidence</w:t>
            </w:r>
          </w:p>
        </w:tc>
      </w:tr>
      <w:tr>
        <w:tc>
          <w:tcPr/>
          <w:p>
            <w:pPr>
              <w:pStyle w:val="Compact"/>
            </w:pPr>
            <w:r>
              <w:t xml:space="preserve">unseen</w:t>
            </w:r>
          </w:p>
        </w:tc>
        <w:tc>
          <w:tcPr/>
          <w:p>
            <w:pPr>
              <w:pStyle w:val="Compact"/>
            </w:pPr>
            <w:r>
              <w:t xml:space="preserve">11</w:t>
            </w:r>
          </w:p>
        </w:tc>
        <w:tc>
          <w:tcPr/>
          <w:p>
            <w:pPr>
              <w:pStyle w:val="Compact"/>
            </w:pPr>
            <w:r>
              <w:t xml:space="preserve">MnBO</w:t>
            </w:r>
            <w:r>
              <w:rPr>
                <w:vertAlign w:val="subscript"/>
              </w:rPr>
              <w:t xml:space="preserve">3</w:t>
            </w:r>
            <w:r>
              <w:t xml:space="preserve"> </w:t>
            </w:r>
            <w:r>
              <w:t xml:space="preserve">(mp-1289597)</w:t>
            </w:r>
          </w:p>
        </w:tc>
        <w:tc>
          <w:tcPr/>
          <w:p>
            <w:pPr>
              <w:pStyle w:val="Compact"/>
            </w:pPr>
            <w:r>
              <w:t xml:space="preserve">0.020</w:t>
            </w:r>
          </w:p>
        </w:tc>
        <w:tc>
          <w:tcPr/>
          <w:p>
            <w:pPr>
              <w:pStyle w:val="Compact"/>
            </w:pPr>
            <w:r>
              <w:t xml:space="preserve">metastable</w:t>
            </w:r>
          </w:p>
        </w:tc>
        <w:tc>
          <w:tcPr/>
          <w:p>
            <w:pPr>
              <w:pStyle w:val="Compact"/>
            </w:pPr>
            <w:r>
              <w:t xml:space="preserve">0.15</w:t>
            </w:r>
          </w:p>
        </w:tc>
        <w:tc>
          <w:tcPr/>
          <w:p>
            <w:pPr>
              <w:pStyle w:val="Compact"/>
            </w:pPr>
            <w:r>
              <w:t xml:space="preserve">800</w:t>
            </w:r>
          </w:p>
        </w:tc>
        <w:tc>
          <w:tcPr/>
          <w:p>
            <w:pPr>
              <w:pStyle w:val="Compact"/>
            </w:pPr>
            <w:r>
              <w:t xml:space="preserve">−55</w:t>
            </w:r>
          </w:p>
        </w:tc>
        <w:tc>
          <w:tcPr/>
          <w:p>
            <w:pPr>
              <w:pStyle w:val="Compact"/>
            </w:pPr>
            <w:r>
              <w:t xml:space="preserve">9.5 × 10</w:t>
            </w:r>
            <w:r>
              <w:rPr>
                <w:vertAlign w:val="superscript"/>
              </w:rPr>
              <w:t xml:space="preserve">3</w:t>
            </w:r>
          </w:p>
        </w:tc>
        <w:tc>
          <w:tcPr/>
          <w:p>
            <w:pPr>
              <w:pStyle w:val="Compact"/>
            </w:pPr>
            <w:r>
              <w:t xml:space="preserve">2.31</w:t>
            </w:r>
          </w:p>
        </w:tc>
        <w:tc>
          <w:tcPr/>
          <w:p>
            <w:pPr>
              <w:pStyle w:val="Compact"/>
            </w:pPr>
            <w:r>
              <w:t xml:space="preserve">0.14</w:t>
            </w:r>
          </w:p>
        </w:tc>
        <w:tc>
          <w:tcPr/>
          <w:p>
            <w:pPr>
              <w:pStyle w:val="Compact"/>
            </w:pPr>
            <w:r>
              <w:t xml:space="preserve">no evidence</w:t>
            </w:r>
          </w:p>
        </w:tc>
      </w:tr>
      <w:tr>
        <w:tc>
          <w:tcPr/>
          <w:p>
            <w:pPr>
              <w:pStyle w:val="Compact"/>
            </w:pPr>
            <w:r>
              <w:t xml:space="preserve">unseen</w:t>
            </w:r>
          </w:p>
        </w:tc>
        <w:tc>
          <w:tcPr/>
          <w:p>
            <w:pPr>
              <w:pStyle w:val="Compact"/>
            </w:pPr>
            <w:r>
              <w:t xml:space="preserve">12</w:t>
            </w:r>
          </w:p>
        </w:tc>
        <w:tc>
          <w:tcPr/>
          <w:p>
            <w:pPr>
              <w:pStyle w:val="Compact"/>
            </w:pPr>
            <w:r>
              <w:t xml:space="preserve">EuHfO</w:t>
            </w:r>
            <w:r>
              <w:rPr>
                <w:vertAlign w:val="subscript"/>
              </w:rPr>
              <w:t xml:space="preserve">3</w:t>
            </w:r>
            <w:r>
              <w:t xml:space="preserve"> </w:t>
            </w:r>
            <w:r>
              <w:t xml:space="preserve">(mp-753781)</w:t>
            </w:r>
          </w:p>
        </w:tc>
        <w:tc>
          <w:tcPr/>
          <w:p>
            <w:pPr>
              <w:pStyle w:val="Compact"/>
            </w:pPr>
            <w:r>
              <w:t xml:space="preserve">0.000</w:t>
            </w:r>
          </w:p>
        </w:tc>
        <w:tc>
          <w:tcPr/>
          <w:p>
            <w:pPr>
              <w:pStyle w:val="Compact"/>
            </w:pPr>
            <w:r>
              <w:t xml:space="preserve">on hull</w:t>
            </w:r>
          </w:p>
        </w:tc>
        <w:tc>
          <w:tcPr/>
          <w:p>
            <w:pPr>
              <w:pStyle w:val="Compact"/>
            </w:pPr>
            <w:r>
              <w:t xml:space="preserve">0.60</w:t>
            </w:r>
          </w:p>
        </w:tc>
        <w:tc>
          <w:tcPr/>
          <w:p>
            <w:pPr>
              <w:pStyle w:val="Compact"/>
            </w:pPr>
            <w:r>
              <w:t xml:space="preserve">800</w:t>
            </w:r>
          </w:p>
        </w:tc>
        <w:tc>
          <w:tcPr/>
          <w:p>
            <w:pPr>
              <w:pStyle w:val="Compact"/>
            </w:pPr>
            <w:r>
              <w:t xml:space="preserve">−131</w:t>
            </w:r>
          </w:p>
        </w:tc>
        <w:tc>
          <w:tcPr/>
          <w:p>
            <w:pPr>
              <w:pStyle w:val="Compact"/>
            </w:pPr>
            <w:r>
              <w:t xml:space="preserve">5.1 × 10</w:t>
            </w:r>
            <w:r>
              <w:rPr>
                <w:vertAlign w:val="superscript"/>
              </w:rPr>
              <w:t xml:space="preserve">4</w:t>
            </w:r>
          </w:p>
        </w:tc>
        <w:tc>
          <w:tcPr/>
          <w:p>
            <w:pPr>
              <w:pStyle w:val="Compact"/>
            </w:pPr>
            <w:r>
              <w:t xml:space="preserve">1.23</w:t>
            </w:r>
          </w:p>
        </w:tc>
        <w:tc>
          <w:tcPr/>
          <w:p>
            <w:pPr>
              <w:pStyle w:val="Compact"/>
            </w:pPr>
            <w:r>
              <w:t xml:space="preserve">0.12</w:t>
            </w:r>
          </w:p>
        </w:tc>
        <w:tc>
          <w:tcPr/>
          <w:p>
            <w:pPr>
              <w:pStyle w:val="Compact"/>
            </w:pPr>
            <w:r>
              <w:t xml:space="preserve">no evidence</w:t>
            </w:r>
          </w:p>
        </w:tc>
      </w:tr>
      <w:tr>
        <w:tc>
          <w:tcPr/>
          <w:p>
            <w:pPr>
              <w:pStyle w:val="Compact"/>
            </w:pPr>
            <w:r>
              <w:t xml:space="preserve">unseen</w:t>
            </w:r>
          </w:p>
        </w:tc>
        <w:tc>
          <w:tcPr/>
          <w:p>
            <w:pPr>
              <w:pStyle w:val="Compact"/>
            </w:pPr>
            <w:r>
              <w:t xml:space="preserve">13</w:t>
            </w:r>
          </w:p>
        </w:tc>
        <w:tc>
          <w:tcPr/>
          <w:p>
            <w:pPr>
              <w:pStyle w:val="Compact"/>
            </w:pPr>
            <w:r>
              <w:t xml:space="preserve">CaVO</w:t>
            </w:r>
            <w:r>
              <w:rPr>
                <w:vertAlign w:val="subscript"/>
              </w:rPr>
              <w:t xml:space="preserve">3</w:t>
            </w:r>
            <w:r>
              <w:t xml:space="preserve"> </w:t>
            </w:r>
            <w:r>
              <w:t xml:space="preserve">(mp-22608)</w:t>
            </w:r>
          </w:p>
        </w:tc>
        <w:tc>
          <w:tcPr/>
          <w:p>
            <w:pPr>
              <w:pStyle w:val="Compact"/>
            </w:pPr>
            <w:r>
              <w:t xml:space="preserve">0.001</w:t>
            </w:r>
          </w:p>
        </w:tc>
        <w:tc>
          <w:tcPr/>
          <w:p>
            <w:pPr>
              <w:pStyle w:val="Compact"/>
            </w:pPr>
            <w:r>
              <w:t xml:space="preserve">metastable</w:t>
            </w:r>
          </w:p>
        </w:tc>
        <w:tc>
          <w:tcPr/>
          <w:p>
            <w:pPr>
              <w:pStyle w:val="Compact"/>
            </w:pPr>
            <w:r>
              <w:t xml:space="preserve">0.43</w:t>
            </w:r>
          </w:p>
        </w:tc>
        <w:tc>
          <w:tcPr/>
          <w:p>
            <w:pPr>
              <w:pStyle w:val="Compact"/>
            </w:pPr>
            <w:r>
              <w:t xml:space="preserve">800</w:t>
            </w:r>
          </w:p>
        </w:tc>
        <w:tc>
          <w:tcPr/>
          <w:p>
            <w:pPr>
              <w:pStyle w:val="Compact"/>
            </w:pPr>
            <w:r>
              <w:t xml:space="preserve">−82</w:t>
            </w:r>
          </w:p>
        </w:tc>
        <w:tc>
          <w:tcPr/>
          <w:p>
            <w:pPr>
              <w:pStyle w:val="Compact"/>
            </w:pPr>
            <w:r>
              <w:t xml:space="preserve">8.1 × 10</w:t>
            </w:r>
            <w:r>
              <w:rPr>
                <w:vertAlign w:val="superscript"/>
              </w:rPr>
              <w:t xml:space="preserve">4</w:t>
            </w:r>
          </w:p>
        </w:tc>
        <w:tc>
          <w:tcPr/>
          <w:p>
            <w:pPr>
              <w:pStyle w:val="Compact"/>
            </w:pPr>
            <w:r>
              <w:t xml:space="preserve">3.11</w:t>
            </w:r>
          </w:p>
        </w:tc>
        <w:tc>
          <w:tcPr/>
          <w:p>
            <w:pPr>
              <w:pStyle w:val="Compact"/>
            </w:pPr>
            <w:r>
              <w:t xml:space="preserve">0.11</w:t>
            </w:r>
          </w:p>
        </w:tc>
        <w:tc>
          <w:tcPr/>
          <w:p>
            <w:pPr>
              <w:pStyle w:val="Compact"/>
            </w:pPr>
            <w:r>
              <w:t xml:space="preserve">no evidence</w:t>
            </w:r>
          </w:p>
        </w:tc>
      </w:tr>
      <w:tr>
        <w:tc>
          <w:tcPr/>
          <w:p>
            <w:pPr>
              <w:pStyle w:val="Compact"/>
            </w:pPr>
            <w:r>
              <w:t xml:space="preserve">unseen</w:t>
            </w:r>
          </w:p>
        </w:tc>
        <w:tc>
          <w:tcPr/>
          <w:p>
            <w:pPr>
              <w:pStyle w:val="Compact"/>
            </w:pPr>
            <w:r>
              <w:t xml:space="preserve">14</w:t>
            </w:r>
          </w:p>
        </w:tc>
        <w:tc>
          <w:tcPr/>
          <w:p>
            <w:pPr>
              <w:pStyle w:val="Compact"/>
            </w:pPr>
            <w:r>
              <w:t xml:space="preserve">CaVO</w:t>
            </w:r>
            <w:r>
              <w:rPr>
                <w:vertAlign w:val="subscript"/>
              </w:rPr>
              <w:t xml:space="preserve">3</w:t>
            </w:r>
            <w:r>
              <w:t xml:space="preserve"> </w:t>
            </w:r>
            <w:r>
              <w:t xml:space="preserve">(mp-1435359)</w:t>
            </w:r>
          </w:p>
        </w:tc>
        <w:tc>
          <w:tcPr/>
          <w:p>
            <w:pPr>
              <w:pStyle w:val="Compact"/>
            </w:pPr>
            <w:r>
              <w:t xml:space="preserve">0.009</w:t>
            </w:r>
          </w:p>
        </w:tc>
        <w:tc>
          <w:tcPr/>
          <w:p>
            <w:pPr>
              <w:pStyle w:val="Compact"/>
            </w:pPr>
            <w:r>
              <w:t xml:space="preserve">metastable</w:t>
            </w:r>
          </w:p>
        </w:tc>
        <w:tc>
          <w:tcPr/>
          <w:p>
            <w:pPr>
              <w:pStyle w:val="Compact"/>
            </w:pPr>
            <w:r>
              <w:t xml:space="preserve">0.26</w:t>
            </w:r>
          </w:p>
        </w:tc>
        <w:tc>
          <w:tcPr/>
          <w:p>
            <w:pPr>
              <w:pStyle w:val="Compact"/>
            </w:pPr>
            <w:r>
              <w:t xml:space="preserve">800</w:t>
            </w:r>
          </w:p>
        </w:tc>
        <w:tc>
          <w:tcPr/>
          <w:p>
            <w:pPr>
              <w:pStyle w:val="Compact"/>
            </w:pPr>
            <w:r>
              <w:t xml:space="preserve">−82</w:t>
            </w:r>
          </w:p>
        </w:tc>
        <w:tc>
          <w:tcPr/>
          <w:p>
            <w:pPr>
              <w:pStyle w:val="Compact"/>
            </w:pPr>
            <w:r>
              <w:t xml:space="preserve">8.1 × 10</w:t>
            </w:r>
            <w:r>
              <w:rPr>
                <w:vertAlign w:val="superscript"/>
              </w:rPr>
              <w:t xml:space="preserve">4</w:t>
            </w:r>
          </w:p>
        </w:tc>
        <w:tc>
          <w:tcPr/>
          <w:p>
            <w:pPr>
              <w:pStyle w:val="Compact"/>
            </w:pPr>
            <w:r>
              <w:t xml:space="preserve">3.11</w:t>
            </w:r>
          </w:p>
        </w:tc>
        <w:tc>
          <w:tcPr/>
          <w:p>
            <w:pPr>
              <w:pStyle w:val="Compact"/>
            </w:pPr>
            <w:r>
              <w:t xml:space="preserve">0.11</w:t>
            </w:r>
          </w:p>
        </w:tc>
        <w:tc>
          <w:tcPr/>
          <w:p>
            <w:pPr>
              <w:pStyle w:val="Compact"/>
            </w:pPr>
            <w:r>
              <w:t xml:space="preserve">no evidence</w:t>
            </w:r>
          </w:p>
        </w:tc>
      </w:tr>
      <w:tr>
        <w:tc>
          <w:tcPr/>
          <w:p>
            <w:pPr>
              <w:pStyle w:val="Compact"/>
            </w:pPr>
            <w:r>
              <w:t xml:space="preserve">unseen</w:t>
            </w:r>
          </w:p>
        </w:tc>
        <w:tc>
          <w:tcPr/>
          <w:p>
            <w:pPr>
              <w:pStyle w:val="Compact"/>
            </w:pPr>
            <w:r>
              <w:t xml:space="preserve">15</w:t>
            </w:r>
          </w:p>
        </w:tc>
        <w:tc>
          <w:tcPr/>
          <w:p>
            <w:pPr>
              <w:pStyle w:val="Compact"/>
            </w:pPr>
            <w:r>
              <w:t xml:space="preserve">LuVO</w:t>
            </w:r>
            <w:r>
              <w:rPr>
                <w:vertAlign w:val="subscript"/>
              </w:rPr>
              <w:t xml:space="preserve">3</w:t>
            </w:r>
            <w:r>
              <w:t xml:space="preserve"> </w:t>
            </w:r>
            <w:r>
              <w:t xml:space="preserve">(mp-2767717)</w:t>
            </w:r>
          </w:p>
        </w:tc>
        <w:tc>
          <w:tcPr/>
          <w:p>
            <w:pPr>
              <w:pStyle w:val="Compact"/>
            </w:pPr>
            <w:r>
              <w:t xml:space="preserve">0.000</w:t>
            </w:r>
          </w:p>
        </w:tc>
        <w:tc>
          <w:tcPr/>
          <w:p>
            <w:pPr>
              <w:pStyle w:val="Compact"/>
            </w:pPr>
            <w:r>
              <w:t xml:space="preserve">on hull</w:t>
            </w:r>
          </w:p>
        </w:tc>
        <w:tc>
          <w:tcPr/>
          <w:p>
            <w:pPr>
              <w:pStyle w:val="Compact"/>
            </w:pPr>
            <w:r>
              <w:t xml:space="preserve">0.26</w:t>
            </w:r>
          </w:p>
        </w:tc>
        <w:tc>
          <w:tcPr/>
          <w:p>
            <w:pPr>
              <w:pStyle w:val="Compact"/>
            </w:pPr>
            <w:r>
              <w:t xml:space="preserve">800</w:t>
            </w:r>
          </w:p>
        </w:tc>
        <w:tc>
          <w:tcPr/>
          <w:p>
            <w:pPr>
              <w:pStyle w:val="Compact"/>
            </w:pPr>
            <w:r>
              <w:t xml:space="preserve">27</w:t>
            </w:r>
          </w:p>
        </w:tc>
        <w:tc>
          <w:tcPr/>
          <w:p>
            <w:pPr>
              <w:pStyle w:val="Compact"/>
            </w:pPr>
            <w:r>
              <w:t xml:space="preserve">2.2 × 10</w:t>
            </w:r>
            <w:r>
              <w:rPr>
                <w:vertAlign w:val="superscript"/>
              </w:rPr>
              <w:t xml:space="preserve">4</w:t>
            </w:r>
          </w:p>
        </w:tc>
        <w:tc>
          <w:tcPr/>
          <w:p>
            <w:pPr>
              <w:pStyle w:val="Compact"/>
            </w:pPr>
            <w:r>
              <w:t xml:space="preserve">1.23</w:t>
            </w:r>
          </w:p>
        </w:tc>
        <w:tc>
          <w:tcPr/>
          <w:p>
            <w:pPr>
              <w:pStyle w:val="Compact"/>
            </w:pPr>
            <w:r>
              <w:t xml:space="preserve">0.08</w:t>
            </w:r>
          </w:p>
        </w:tc>
        <w:tc>
          <w:tcPr/>
          <w:p>
            <w:pPr>
              <w:pStyle w:val="Compact"/>
            </w:pPr>
            <w:r>
              <w:t xml:space="preserve">no evidence</w:t>
            </w:r>
          </w:p>
        </w:tc>
      </w:tr>
      <w:tr>
        <w:tc>
          <w:tcPr/>
          <w:p>
            <w:pPr>
              <w:pStyle w:val="Compact"/>
            </w:pPr>
            <w:r>
              <w:t xml:space="preserve">unseen</w:t>
            </w:r>
          </w:p>
        </w:tc>
        <w:tc>
          <w:tcPr/>
          <w:p>
            <w:pPr>
              <w:pStyle w:val="Compact"/>
            </w:pPr>
            <w:r>
              <w:t xml:space="preserve">16</w:t>
            </w:r>
          </w:p>
        </w:tc>
        <w:tc>
          <w:tcPr/>
          <w:p>
            <w:pPr>
              <w:pStyle w:val="Compact"/>
            </w:pPr>
            <w:r>
              <w:t xml:space="preserve">EuZrO</w:t>
            </w:r>
            <w:r>
              <w:rPr>
                <w:vertAlign w:val="subscript"/>
              </w:rPr>
              <w:t xml:space="preserve">3</w:t>
            </w:r>
            <w:r>
              <w:t xml:space="preserve"> </w:t>
            </w:r>
            <w:r>
              <w:t xml:space="preserve">(mp-1106293)</w:t>
            </w:r>
          </w:p>
        </w:tc>
        <w:tc>
          <w:tcPr/>
          <w:p>
            <w:pPr>
              <w:pStyle w:val="Compact"/>
            </w:pPr>
            <w:r>
              <w:t xml:space="preserve">0.000</w:t>
            </w:r>
          </w:p>
        </w:tc>
        <w:tc>
          <w:tcPr/>
          <w:p>
            <w:pPr>
              <w:pStyle w:val="Compact"/>
            </w:pPr>
            <w:r>
              <w:t xml:space="preserve">on hull</w:t>
            </w:r>
          </w:p>
        </w:tc>
        <w:tc>
          <w:tcPr/>
          <w:p>
            <w:pPr>
              <w:pStyle w:val="Compact"/>
            </w:pPr>
            <w:r>
              <w:t xml:space="preserve">0.51</w:t>
            </w:r>
          </w:p>
        </w:tc>
        <w:tc>
          <w:tcPr/>
          <w:p>
            <w:pPr>
              <w:pStyle w:val="Compact"/>
            </w:pPr>
            <w:r>
              <w:t xml:space="preserve">800</w:t>
            </w:r>
          </w:p>
        </w:tc>
        <w:tc>
          <w:tcPr/>
          <w:p>
            <w:pPr>
              <w:pStyle w:val="Compact"/>
            </w:pPr>
            <w:r>
              <w:t xml:space="preserve">−169</w:t>
            </w:r>
          </w:p>
        </w:tc>
        <w:tc>
          <w:tcPr/>
          <w:p>
            <w:pPr>
              <w:pStyle w:val="Compact"/>
            </w:pPr>
            <w:r>
              <w:t xml:space="preserve">4.6 × 10</w:t>
            </w:r>
            <w:r>
              <w:rPr>
                <w:vertAlign w:val="superscript"/>
              </w:rPr>
              <w:t xml:space="preserve">4</w:t>
            </w:r>
          </w:p>
        </w:tc>
        <w:tc>
          <w:tcPr/>
          <w:p>
            <w:pPr>
              <w:pStyle w:val="Compact"/>
            </w:pPr>
            <w:r>
              <w:t xml:space="preserve">0.90</w:t>
            </w:r>
          </w:p>
        </w:tc>
        <w:tc>
          <w:tcPr/>
          <w:p>
            <w:pPr>
              <w:pStyle w:val="Compact"/>
            </w:pPr>
            <w:r>
              <w:t xml:space="preserve">0.07</w:t>
            </w:r>
          </w:p>
        </w:tc>
        <w:tc>
          <w:tcPr/>
          <w:p>
            <w:pPr>
              <w:pStyle w:val="Compact"/>
            </w:pPr>
            <w:r>
              <w:t xml:space="preserve">no evidence</w:t>
            </w:r>
          </w:p>
        </w:tc>
      </w:tr>
      <w:tr>
        <w:tc>
          <w:tcPr/>
          <w:p>
            <w:pPr>
              <w:pStyle w:val="Compact"/>
            </w:pPr>
            <w:r>
              <w:t xml:space="preserve">unseen</w:t>
            </w:r>
          </w:p>
        </w:tc>
        <w:tc>
          <w:tcPr/>
          <w:p>
            <w:pPr>
              <w:pStyle w:val="Compact"/>
            </w:pPr>
            <w:r>
              <w:t xml:space="preserve">17</w:t>
            </w:r>
          </w:p>
        </w:tc>
        <w:tc>
          <w:tcPr/>
          <w:p>
            <w:pPr>
              <w:pStyle w:val="Compact"/>
            </w:pPr>
            <w:r>
              <w:t xml:space="preserve">ErNiO</w:t>
            </w:r>
            <w:r>
              <w:rPr>
                <w:vertAlign w:val="subscript"/>
              </w:rPr>
              <w:t xml:space="preserve">3</w:t>
            </w:r>
            <w:r>
              <w:t xml:space="preserve"> </w:t>
            </w:r>
            <w:r>
              <w:t xml:space="preserve">(mp-1189736)</w:t>
            </w:r>
          </w:p>
        </w:tc>
        <w:tc>
          <w:tcPr/>
          <w:p>
            <w:pPr>
              <w:pStyle w:val="Compact"/>
            </w:pPr>
            <w:r>
              <w:t xml:space="preserve">0.002</w:t>
            </w:r>
          </w:p>
        </w:tc>
        <w:tc>
          <w:tcPr/>
          <w:p>
            <w:pPr>
              <w:pStyle w:val="Compact"/>
            </w:pPr>
            <w:r>
              <w:t xml:space="preserve">metastable</w:t>
            </w:r>
          </w:p>
        </w:tc>
        <w:tc>
          <w:tcPr/>
          <w:p>
            <w:pPr>
              <w:pStyle w:val="Compact"/>
            </w:pPr>
            <w:r>
              <w:t xml:space="preserve">0.37</w:t>
            </w:r>
          </w:p>
        </w:tc>
        <w:tc>
          <w:tcPr/>
          <w:p>
            <w:pPr>
              <w:pStyle w:val="Compact"/>
            </w:pPr>
            <w:r>
              <w:t xml:space="preserve">800</w:t>
            </w:r>
          </w:p>
        </w:tc>
        <w:tc>
          <w:tcPr/>
          <w:p>
            <w:pPr>
              <w:pStyle w:val="Compact"/>
            </w:pPr>
            <w:r>
              <w:t xml:space="preserve">−15</w:t>
            </w:r>
          </w:p>
        </w:tc>
        <w:tc>
          <w:tcPr/>
          <w:p>
            <w:pPr>
              <w:pStyle w:val="Compact"/>
            </w:pPr>
            <w:r>
              <w:t xml:space="preserve">1.4 × 10</w:t>
            </w:r>
            <w:r>
              <w:rPr>
                <w:vertAlign w:val="superscript"/>
              </w:rPr>
              <w:t xml:space="preserve">4</w:t>
            </w:r>
          </w:p>
        </w:tc>
        <w:tc>
          <w:tcPr/>
          <w:p>
            <w:pPr>
              <w:pStyle w:val="Compact"/>
            </w:pPr>
            <w:r>
              <w:t xml:space="preserve">1.12</w:t>
            </w:r>
          </w:p>
        </w:tc>
        <w:tc>
          <w:tcPr/>
          <w:p>
            <w:pPr>
              <w:pStyle w:val="Compact"/>
            </w:pPr>
            <w:r>
              <w:t xml:space="preserve">0.07</w:t>
            </w:r>
          </w:p>
        </w:tc>
        <w:tc>
          <w:tcPr/>
          <w:p>
            <w:pPr>
              <w:pStyle w:val="Compact"/>
            </w:pPr>
            <w:r>
              <w:t xml:space="preserve">no evidence</w:t>
            </w:r>
          </w:p>
        </w:tc>
      </w:tr>
      <w:tr>
        <w:tc>
          <w:tcPr/>
          <w:p>
            <w:pPr>
              <w:pStyle w:val="Compact"/>
            </w:pPr>
            <w:r>
              <w:t xml:space="preserve">unseen</w:t>
            </w:r>
          </w:p>
        </w:tc>
        <w:tc>
          <w:tcPr/>
          <w:p>
            <w:pPr>
              <w:pStyle w:val="Compact"/>
            </w:pPr>
            <w:r>
              <w:t xml:space="preserve">18</w:t>
            </w:r>
          </w:p>
        </w:tc>
        <w:tc>
          <w:tcPr/>
          <w:p>
            <w:pPr>
              <w:pStyle w:val="Compact"/>
            </w:pPr>
            <w:r>
              <w:t xml:space="preserve">NiBiO</w:t>
            </w:r>
            <w:r>
              <w:rPr>
                <w:vertAlign w:val="subscript"/>
              </w:rPr>
              <w:t xml:space="preserve">3</w:t>
            </w:r>
            <w:r>
              <w:t xml:space="preserve"> </w:t>
            </w:r>
            <w:r>
              <w:t xml:space="preserve">(mp-25096)</w:t>
            </w:r>
          </w:p>
        </w:tc>
        <w:tc>
          <w:tcPr/>
          <w:p>
            <w:pPr>
              <w:pStyle w:val="Compact"/>
            </w:pPr>
            <w:r>
              <w:t xml:space="preserve">0.032</w:t>
            </w:r>
          </w:p>
        </w:tc>
        <w:tc>
          <w:tcPr/>
          <w:p>
            <w:pPr>
              <w:pStyle w:val="Compact"/>
            </w:pPr>
            <w:r>
              <w:t xml:space="preserve">metastable</w:t>
            </w:r>
          </w:p>
        </w:tc>
        <w:tc>
          <w:tcPr/>
          <w:p>
            <w:pPr>
              <w:pStyle w:val="Compact"/>
            </w:pPr>
            <w:r>
              <w:t xml:space="preserve">0.35</w:t>
            </w:r>
          </w:p>
        </w:tc>
        <w:tc>
          <w:tcPr/>
          <w:p>
            <w:pPr>
              <w:pStyle w:val="Compact"/>
            </w:pPr>
            <w:r>
              <w:t xml:space="preserve">800</w:t>
            </w:r>
          </w:p>
        </w:tc>
        <w:tc>
          <w:tcPr/>
          <w:p>
            <w:pPr>
              <w:pStyle w:val="Compact"/>
            </w:pPr>
            <w:r>
              <w:t xml:space="preserve">7</w:t>
            </w:r>
          </w:p>
        </w:tc>
        <w:tc>
          <w:tcPr/>
          <w:p>
            <w:pPr>
              <w:pStyle w:val="Compact"/>
            </w:pPr>
            <w:r>
              <w:t xml:space="preserve">1.2 × 10</w:t>
            </w:r>
            <w:r>
              <w:rPr>
                <w:vertAlign w:val="superscript"/>
              </w:rPr>
              <w:t xml:space="preserve">4</w:t>
            </w:r>
          </w:p>
        </w:tc>
        <w:tc>
          <w:tcPr/>
          <w:p>
            <w:pPr>
              <w:pStyle w:val="Compact"/>
            </w:pPr>
            <w:r>
              <w:t xml:space="preserve">1.95</w:t>
            </w:r>
          </w:p>
        </w:tc>
        <w:tc>
          <w:tcPr/>
          <w:p>
            <w:pPr>
              <w:pStyle w:val="Compact"/>
            </w:pPr>
            <w:r>
              <w:t xml:space="preserve">0.06</w:t>
            </w:r>
          </w:p>
        </w:tc>
        <w:tc>
          <w:tcPr/>
          <w:p>
            <w:pPr>
              <w:pStyle w:val="Compact"/>
            </w:pPr>
            <w:r>
              <w:t xml:space="preserve">no evidence</w:t>
            </w:r>
          </w:p>
        </w:tc>
      </w:tr>
      <w:tr>
        <w:tc>
          <w:tcPr/>
          <w:p>
            <w:pPr>
              <w:pStyle w:val="Compact"/>
            </w:pPr>
            <w:r>
              <w:t xml:space="preserve">unseen</w:t>
            </w:r>
          </w:p>
        </w:tc>
        <w:tc>
          <w:tcPr/>
          <w:p>
            <w:pPr>
              <w:pStyle w:val="Compact"/>
            </w:pPr>
            <w:r>
              <w:t xml:space="preserve">19</w:t>
            </w:r>
          </w:p>
        </w:tc>
        <w:tc>
          <w:tcPr/>
          <w:p>
            <w:pPr>
              <w:pStyle w:val="Compact"/>
            </w:pPr>
            <w:r>
              <w:t xml:space="preserve">MnVO</w:t>
            </w:r>
            <w:r>
              <w:rPr>
                <w:vertAlign w:val="subscript"/>
              </w:rPr>
              <w:t xml:space="preserve">3</w:t>
            </w:r>
            <w:r>
              <w:t xml:space="preserve"> </w:t>
            </w:r>
            <w:r>
              <w:t xml:space="preserve">(mp-1106224)</w:t>
            </w:r>
          </w:p>
        </w:tc>
        <w:tc>
          <w:tcPr/>
          <w:p>
            <w:pPr>
              <w:pStyle w:val="Compact"/>
            </w:pPr>
            <w:r>
              <w:t xml:space="preserve">0.042</w:t>
            </w:r>
          </w:p>
        </w:tc>
        <w:tc>
          <w:tcPr/>
          <w:p>
            <w:pPr>
              <w:pStyle w:val="Compact"/>
            </w:pPr>
            <w:r>
              <w:t xml:space="preserve">metastable</w:t>
            </w:r>
          </w:p>
        </w:tc>
        <w:tc>
          <w:tcPr/>
          <w:p>
            <w:pPr>
              <w:pStyle w:val="Compact"/>
            </w:pPr>
            <w:r>
              <w:t xml:space="preserve">0.32</w:t>
            </w:r>
          </w:p>
        </w:tc>
        <w:tc>
          <w:tcPr/>
          <w:p>
            <w:pPr>
              <w:pStyle w:val="Compact"/>
            </w:pPr>
            <w:r>
              <w:t xml:space="preserve">800</w:t>
            </w:r>
          </w:p>
        </w:tc>
        <w:tc>
          <w:tcPr/>
          <w:p>
            <w:pPr>
              <w:pStyle w:val="Compact"/>
            </w:pPr>
            <w:r>
              <w:t xml:space="preserve">−60</w:t>
            </w:r>
          </w:p>
        </w:tc>
        <w:tc>
          <w:tcPr/>
          <w:p>
            <w:pPr>
              <w:pStyle w:val="Compact"/>
            </w:pPr>
            <w:r>
              <w:t xml:space="preserve">6.9 × 10</w:t>
            </w:r>
            <w:r>
              <w:rPr>
                <w:vertAlign w:val="superscript"/>
              </w:rPr>
              <w:t xml:space="preserve">3</w:t>
            </w:r>
          </w:p>
        </w:tc>
        <w:tc>
          <w:tcPr/>
          <w:p>
            <w:pPr>
              <w:pStyle w:val="Compact"/>
            </w:pPr>
            <w:r>
              <w:t xml:space="preserve">3.63</w:t>
            </w:r>
          </w:p>
        </w:tc>
        <w:tc>
          <w:tcPr/>
          <w:p>
            <w:pPr>
              <w:pStyle w:val="Compact"/>
            </w:pPr>
            <w:r>
              <w:t xml:space="preserve">0.06</w:t>
            </w:r>
          </w:p>
        </w:tc>
        <w:tc>
          <w:tcPr/>
          <w:p>
            <w:pPr>
              <w:pStyle w:val="Compact"/>
            </w:pPr>
            <w:r>
              <w:t xml:space="preserve">no evidence</w:t>
            </w:r>
          </w:p>
        </w:tc>
      </w:tr>
      <w:tr>
        <w:tc>
          <w:tcPr/>
          <w:p>
            <w:pPr>
              <w:pStyle w:val="Compact"/>
            </w:pPr>
            <w:r>
              <w:t xml:space="preserve">unseen</w:t>
            </w:r>
          </w:p>
        </w:tc>
        <w:tc>
          <w:tcPr/>
          <w:p>
            <w:pPr>
              <w:pStyle w:val="Compact"/>
            </w:pPr>
            <w:r>
              <w:t xml:space="preserve">20</w:t>
            </w:r>
          </w:p>
        </w:tc>
        <w:tc>
          <w:tcPr/>
          <w:p>
            <w:pPr>
              <w:pStyle w:val="Compact"/>
            </w:pPr>
            <w:r>
              <w:t xml:space="preserve">ErCrO</w:t>
            </w:r>
            <w:r>
              <w:rPr>
                <w:vertAlign w:val="subscript"/>
              </w:rPr>
              <w:t xml:space="preserve">3</w:t>
            </w:r>
            <w:r>
              <w:t xml:space="preserve"> </w:t>
            </w:r>
            <w:r>
              <w:t xml:space="preserve">(mp-19063)</w:t>
            </w:r>
          </w:p>
        </w:tc>
        <w:tc>
          <w:tcPr/>
          <w:p>
            <w:pPr>
              <w:pStyle w:val="Compact"/>
            </w:pPr>
            <w:r>
              <w:t xml:space="preserve">0.000</w:t>
            </w:r>
          </w:p>
        </w:tc>
        <w:tc>
          <w:tcPr/>
          <w:p>
            <w:pPr>
              <w:pStyle w:val="Compact"/>
            </w:pPr>
            <w:r>
              <w:t xml:space="preserve">on hull</w:t>
            </w:r>
          </w:p>
        </w:tc>
        <w:tc>
          <w:tcPr/>
          <w:p>
            <w:pPr>
              <w:pStyle w:val="Compact"/>
            </w:pPr>
            <w:r>
              <w:t xml:space="preserve">0.25</w:t>
            </w:r>
          </w:p>
        </w:tc>
        <w:tc>
          <w:tcPr/>
          <w:p>
            <w:pPr>
              <w:pStyle w:val="Compact"/>
            </w:pPr>
            <w:r>
              <w:t xml:space="preserve">800</w:t>
            </w:r>
          </w:p>
        </w:tc>
        <w:tc>
          <w:tcPr/>
          <w:p>
            <w:pPr>
              <w:pStyle w:val="Compact"/>
            </w:pPr>
            <w:r>
              <w:t xml:space="preserve">88</w:t>
            </w:r>
          </w:p>
        </w:tc>
        <w:tc>
          <w:tcPr/>
          <w:p>
            <w:pPr>
              <w:pStyle w:val="Compact"/>
            </w:pPr>
            <w:r>
              <w:t xml:space="preserve">1.1 × 10</w:t>
            </w:r>
            <w:r>
              <w:rPr>
                <w:vertAlign w:val="superscript"/>
              </w:rPr>
              <w:t xml:space="preserve">4</w:t>
            </w:r>
          </w:p>
        </w:tc>
        <w:tc>
          <w:tcPr/>
          <w:p>
            <w:pPr>
              <w:pStyle w:val="Compact"/>
            </w:pPr>
            <w:r>
              <w:t xml:space="preserve">2.10</w:t>
            </w:r>
          </w:p>
        </w:tc>
        <w:tc>
          <w:tcPr/>
          <w:p>
            <w:pPr>
              <w:pStyle w:val="Compact"/>
            </w:pPr>
            <w:r>
              <w:t xml:space="preserve">0.06</w:t>
            </w:r>
          </w:p>
        </w:tc>
        <w:tc>
          <w:tcPr/>
          <w:p>
            <w:pPr>
              <w:pStyle w:val="Compact"/>
            </w:pPr>
            <w:r>
              <w:t xml:space="preserve">no evidence</w:t>
            </w:r>
          </w:p>
        </w:tc>
      </w:tr>
      <w:tr>
        <w:tc>
          <w:tcPr/>
          <w:p>
            <w:pPr>
              <w:pStyle w:val="Compact"/>
            </w:pPr>
            <w:r>
              <w:t xml:space="preserve">unseen</w:t>
            </w:r>
          </w:p>
        </w:tc>
        <w:tc>
          <w:tcPr/>
          <w:p>
            <w:pPr>
              <w:pStyle w:val="Compact"/>
            </w:pPr>
            <w:r>
              <w:t xml:space="preserve">21</w:t>
            </w:r>
          </w:p>
        </w:tc>
        <w:tc>
          <w:tcPr/>
          <w:p>
            <w:pPr>
              <w:pStyle w:val="Compact"/>
            </w:pPr>
            <w:r>
              <w:t xml:space="preserve">MnSnO</w:t>
            </w:r>
            <w:r>
              <w:rPr>
                <w:vertAlign w:val="subscript"/>
              </w:rPr>
              <w:t xml:space="preserve">3</w:t>
            </w:r>
            <w:r>
              <w:t xml:space="preserve"> </w:t>
            </w:r>
            <w:r>
              <w:t xml:space="preserve">(mp-691106)</w:t>
            </w:r>
          </w:p>
        </w:tc>
        <w:tc>
          <w:tcPr/>
          <w:p>
            <w:pPr>
              <w:pStyle w:val="Compact"/>
            </w:pPr>
            <w:r>
              <w:t xml:space="preserve">0.022</w:t>
            </w:r>
          </w:p>
        </w:tc>
        <w:tc>
          <w:tcPr/>
          <w:p>
            <w:pPr>
              <w:pStyle w:val="Compact"/>
            </w:pPr>
            <w:r>
              <w:t xml:space="preserve">metastable</w:t>
            </w:r>
          </w:p>
        </w:tc>
        <w:tc>
          <w:tcPr/>
          <w:p>
            <w:pPr>
              <w:pStyle w:val="Compact"/>
            </w:pPr>
            <w:r>
              <w:t xml:space="preserve">0.23</w:t>
            </w:r>
          </w:p>
        </w:tc>
        <w:tc>
          <w:tcPr/>
          <w:p>
            <w:pPr>
              <w:pStyle w:val="Compact"/>
            </w:pPr>
            <w:r>
              <w:t xml:space="preserve">800</w:t>
            </w:r>
          </w:p>
        </w:tc>
        <w:tc>
          <w:tcPr/>
          <w:p>
            <w:pPr>
              <w:pStyle w:val="Compact"/>
            </w:pPr>
            <w:r>
              <w:t xml:space="preserve">−67</w:t>
            </w:r>
          </w:p>
        </w:tc>
        <w:tc>
          <w:tcPr/>
          <w:p>
            <w:pPr>
              <w:pStyle w:val="Compact"/>
            </w:pPr>
            <w:r>
              <w:t xml:space="preserve">1.0 × 10</w:t>
            </w:r>
            <w:r>
              <w:rPr>
                <w:vertAlign w:val="superscript"/>
              </w:rPr>
              <w:t xml:space="preserve">4</w:t>
            </w:r>
          </w:p>
        </w:tc>
        <w:tc>
          <w:tcPr/>
          <w:p>
            <w:pPr>
              <w:pStyle w:val="Compact"/>
            </w:pPr>
            <w:r>
              <w:t xml:space="preserve">3.19</w:t>
            </w:r>
          </w:p>
        </w:tc>
        <w:tc>
          <w:tcPr/>
          <w:p>
            <w:pPr>
              <w:pStyle w:val="Compact"/>
            </w:pPr>
            <w:r>
              <w:t xml:space="preserve">0.04</w:t>
            </w:r>
          </w:p>
        </w:tc>
        <w:tc>
          <w:tcPr/>
          <w:p>
            <w:pPr>
              <w:pStyle w:val="Compact"/>
            </w:pPr>
            <w:r>
              <w:t xml:space="preserve">no evidence</w:t>
            </w:r>
          </w:p>
        </w:tc>
      </w:tr>
    </w:tbl>
    <w:p>
      <w:pPr>
        <w:pStyle w:val="BodyText"/>
      </w:pPr>
      <w:r>
        <w:t xml:space="preserve">Because PBE systematically underestimates band gaps</w:t>
      </w:r>
      <w:r>
        <w:rPr>
          <w:vertAlign w:val="superscript"/>
        </w:rPr>
        <w:t xml:space="preserve">46</w:t>
      </w:r>
      <w:r>
        <w:t xml:space="preserve">, a band-gap criterion applied to PBE values admits compounds whose true gaps may be considerably larger; this should be considered when interpreting the narrow-gap filter. Predicted zT values order the candidates and are model outputs with the uncertainty given below; no predicted zT is presented as a finding of this paper. Perovskites are under-represented in the training data: rows labelled perovskite titanate by the composition-only family rules are</w:t>
      </w:r>
      <w:r>
        <w:t xml:space="preserve"> </w:t>
      </w:r>
      <w:r>
        <w:t xml:space="preserve">2.3</w:t>
      </w:r>
      <w:r>
        <w:t xml:space="preserve">% of the S rows, manganites</w:t>
      </w:r>
      <w:r>
        <w:t xml:space="preserve"> </w:t>
      </w:r>
      <w:r>
        <w:t xml:space="preserve">2.1</w:t>
      </w:r>
      <w:r>
        <w:t xml:space="preserve">% and cobaltites</w:t>
      </w:r>
      <w:r>
        <w:t xml:space="preserve"> </w:t>
      </w:r>
      <w:r>
        <w:t xml:space="preserve">4.6</w:t>
      </w:r>
      <w:r>
        <w:t xml:space="preserve">%. The chemistry-cluster MAE of zT is</w:t>
      </w:r>
      <w:r>
        <w:t xml:space="preserve"> </w:t>
      </w:r>
      <w:r>
        <w:t xml:space="preserve">0.126</w:t>
      </w:r>
      <w:r>
        <w:t xml:space="preserve">, so predicted zT should be read with an uncertainty of that order.</w:t>
      </w:r>
    </w:p>
    <w:bookmarkEnd w:id="47"/>
    <w:bookmarkStart w:id="48" w:name="shortlist-and-physical-limits"/>
    <w:p>
      <w:pPr>
        <w:pStyle w:val="Heading3"/>
      </w:pPr>
      <w:r>
        <w:t xml:space="preserve">3.3.2 Shortlist and physical limits</w:t>
      </w:r>
    </w:p>
    <w:p>
      <w:pPr>
        <w:pStyle w:val="FirstParagraph"/>
      </w:pPr>
      <w:r>
        <w:rPr>
          <w:b/>
          <w:bCs/>
        </w:rPr>
        <w:t xml:space="preserve">Table 10:</w:t>
      </w:r>
      <w:r>
        <w:t xml:space="preserve"> </w:t>
      </w:r>
      <w:r>
        <w:t xml:space="preserve">The 4 shortlist compounds with their thermal limits (sources in the text) and the predictions within them: the highest grid temperature reported, the maximum predicted zT up to it (at the temperature T), and the secondary view, the predicted zT at 600 K with the rank at 600 K next to the primary rank (maximum over the whole grid). Model outputs, not findings.</w:t>
      </w:r>
    </w:p>
    <w:tbl>
      <w:tblPr>
        <w:tblStyle w:val="Table"/>
        <w:tblW w:type="pct" w:w="5000"/>
        <w:tblLayout w:type="fixed"/>
        <w:tblLook w:firstRow="1" w:lastRow="0" w:firstColumn="0" w:lastColumn="0" w:noHBand="0" w:noVBand="0" w:val="0020"/>
      </w:tblPr>
      <w:tblGrid>
        <w:gridCol w:w="1391"/>
        <w:gridCol w:w="2140"/>
        <w:gridCol w:w="1070"/>
        <w:gridCol w:w="963"/>
        <w:gridCol w:w="535"/>
        <w:gridCol w:w="749"/>
        <w:gridCol w:w="535"/>
        <w:gridCol w:w="535"/>
      </w:tblGrid>
      <w:tr>
        <w:trPr>
          <w:tblHeader w:val="on"/>
        </w:trPr>
        <w:tc>
          <w:tcPr/>
          <w:p>
            <w:pPr>
              <w:pStyle w:val="Compact"/>
            </w:pPr>
            <w:r>
              <w:rPr>
                <w:b/>
                <w:bCs/>
              </w:rPr>
              <w:t xml:space="preserve">Compound</w:t>
            </w:r>
          </w:p>
        </w:tc>
        <w:tc>
          <w:tcPr/>
          <w:p>
            <w:pPr>
              <w:pStyle w:val="Compact"/>
            </w:pPr>
            <w:r>
              <w:rPr>
                <w:b/>
                <w:bCs/>
              </w:rPr>
              <w:t xml:space="preserve">Thermal limit</w:t>
            </w:r>
          </w:p>
        </w:tc>
        <w:tc>
          <w:tcPr/>
          <w:p>
            <w:pPr>
              <w:pStyle w:val="Compact"/>
            </w:pPr>
            <w:r>
              <w:rPr>
                <w:b/>
                <w:bCs/>
              </w:rPr>
              <w:t xml:space="preserve">Highest T reported (K)</w:t>
            </w:r>
          </w:p>
        </w:tc>
        <w:tc>
          <w:tcPr/>
          <w:p>
            <w:pPr>
              <w:pStyle w:val="Compact"/>
            </w:pPr>
            <w:r>
              <w:rPr>
                <w:b/>
                <w:bCs/>
              </w:rPr>
              <w:t xml:space="preserve">Maximum zT within the limit</w:t>
            </w:r>
          </w:p>
        </w:tc>
        <w:tc>
          <w:tcPr/>
          <w:p>
            <w:pPr>
              <w:pStyle w:val="Compact"/>
            </w:pPr>
            <w:r>
              <w:rPr>
                <w:b/>
                <w:bCs/>
              </w:rPr>
              <w:t xml:space="preserve">T (K)</w:t>
            </w:r>
          </w:p>
        </w:tc>
        <w:tc>
          <w:tcPr/>
          <w:p>
            <w:pPr>
              <w:pStyle w:val="Compact"/>
            </w:pPr>
            <w:r>
              <w:rPr>
                <w:b/>
                <w:bCs/>
              </w:rPr>
              <w:t xml:space="preserve">zT at 600 K</w:t>
            </w:r>
          </w:p>
        </w:tc>
        <w:tc>
          <w:tcPr/>
          <w:p>
            <w:pPr>
              <w:pStyle w:val="Compact"/>
            </w:pPr>
            <w:r>
              <w:rPr>
                <w:b/>
                <w:bCs/>
              </w:rPr>
              <w:t xml:space="preserve">Rank, primary</w:t>
            </w:r>
          </w:p>
        </w:tc>
        <w:tc>
          <w:tcPr/>
          <w:p>
            <w:pPr>
              <w:pStyle w:val="Compact"/>
            </w:pPr>
            <w:r>
              <w:rPr>
                <w:b/>
                <w:bCs/>
              </w:rPr>
              <w:t xml:space="preserve">Rank, 600 K</w:t>
            </w:r>
          </w:p>
        </w:tc>
      </w:tr>
      <w:tr>
        <w:tc>
          <w:tcPr/>
          <w:p>
            <w:pPr>
              <w:pStyle w:val="Compact"/>
            </w:pPr>
            <w:r>
              <w:t xml:space="preserve">CsSnI</w:t>
            </w:r>
            <w:r>
              <w:rPr>
                <w:vertAlign w:val="subscript"/>
              </w:rPr>
              <w:t xml:space="preserve">3</w:t>
            </w:r>
          </w:p>
        </w:tc>
        <w:tc>
          <w:tcPr/>
          <w:p>
            <w:pPr>
              <w:pStyle w:val="Compact"/>
            </w:pPr>
            <w:r>
              <w:t xml:space="preserve">melts at 724 K</w:t>
            </w:r>
          </w:p>
        </w:tc>
        <w:tc>
          <w:tcPr/>
          <w:p>
            <w:pPr>
              <w:pStyle w:val="Compact"/>
            </w:pPr>
            <w:r>
              <w:t xml:space="preserve">700</w:t>
            </w:r>
          </w:p>
        </w:tc>
        <w:tc>
          <w:tcPr/>
          <w:p>
            <w:pPr>
              <w:pStyle w:val="Compact"/>
            </w:pPr>
            <w:r>
              <w:t xml:space="preserve">0.53</w:t>
            </w:r>
          </w:p>
        </w:tc>
        <w:tc>
          <w:tcPr/>
          <w:p>
            <w:pPr>
              <w:pStyle w:val="Compact"/>
            </w:pPr>
            <w:r>
              <w:t xml:space="preserve">700</w:t>
            </w:r>
          </w:p>
        </w:tc>
        <w:tc>
          <w:tcPr/>
          <w:p>
            <w:pPr>
              <w:pStyle w:val="Compact"/>
            </w:pPr>
            <w:r>
              <w:t xml:space="preserve">0.42</w:t>
            </w:r>
          </w:p>
        </w:tc>
        <w:tc>
          <w:tcPr/>
          <w:p>
            <w:pPr>
              <w:pStyle w:val="Compact"/>
            </w:pPr>
            <w:r>
              <w:t xml:space="preserve">1</w:t>
            </w:r>
          </w:p>
        </w:tc>
        <w:tc>
          <w:tcPr/>
          <w:p>
            <w:pPr>
              <w:pStyle w:val="Compact"/>
            </w:pPr>
            <w:r>
              <w:t xml:space="preserve">1</w:t>
            </w:r>
          </w:p>
        </w:tc>
      </w:tr>
      <w:tr>
        <w:tc>
          <w:tcPr/>
          <w:p>
            <w:pPr>
              <w:pStyle w:val="Compact"/>
            </w:pPr>
            <w:r>
              <w:t xml:space="preserve">BaSnO</w:t>
            </w:r>
            <w:r>
              <w:rPr>
                <w:vertAlign w:val="subscript"/>
              </w:rPr>
              <w:t xml:space="preserve">3</w:t>
            </w:r>
          </w:p>
        </w:tc>
        <w:tc>
          <w:tcPr/>
          <w:p>
            <w:pPr>
              <w:pStyle w:val="Compact"/>
            </w:pPr>
            <w:r>
              <w:t xml:space="preserve">none found at or below 800 K</w:t>
            </w:r>
          </w:p>
        </w:tc>
        <w:tc>
          <w:tcPr/>
          <w:p>
            <w:pPr>
              <w:pStyle w:val="Compact"/>
            </w:pPr>
            <w:r>
              <w:t xml:space="preserve">800</w:t>
            </w:r>
          </w:p>
        </w:tc>
        <w:tc>
          <w:tcPr/>
          <w:p>
            <w:pPr>
              <w:pStyle w:val="Compact"/>
            </w:pPr>
            <w:r>
              <w:t xml:space="preserve">0.10</w:t>
            </w:r>
          </w:p>
        </w:tc>
        <w:tc>
          <w:tcPr/>
          <w:p>
            <w:pPr>
              <w:pStyle w:val="Compact"/>
            </w:pPr>
            <w:r>
              <w:t xml:space="preserve">800</w:t>
            </w:r>
          </w:p>
        </w:tc>
        <w:tc>
          <w:tcPr/>
          <w:p>
            <w:pPr>
              <w:pStyle w:val="Compact"/>
            </w:pPr>
            <w:r>
              <w:t xml:space="preserve">0.07</w:t>
            </w:r>
          </w:p>
        </w:tc>
        <w:tc>
          <w:tcPr/>
          <w:p>
            <w:pPr>
              <w:pStyle w:val="Compact"/>
            </w:pPr>
            <w:r>
              <w:t xml:space="preserve">2</w:t>
            </w:r>
          </w:p>
        </w:tc>
        <w:tc>
          <w:tcPr/>
          <w:p>
            <w:pPr>
              <w:pStyle w:val="Compact"/>
            </w:pPr>
            <w:r>
              <w:t xml:space="preserve">2</w:t>
            </w:r>
          </w:p>
        </w:tc>
      </w:tr>
      <w:tr>
        <w:tc>
          <w:tcPr/>
          <w:p>
            <w:pPr>
              <w:pStyle w:val="Compact"/>
            </w:pPr>
            <w:r>
              <w:t xml:space="preserve">LaRhO</w:t>
            </w:r>
            <w:r>
              <w:rPr>
                <w:vertAlign w:val="subscript"/>
              </w:rPr>
              <w:t xml:space="preserve">3</w:t>
            </w:r>
          </w:p>
        </w:tc>
        <w:tc>
          <w:tcPr/>
          <w:p>
            <w:pPr>
              <w:pStyle w:val="Compact"/>
            </w:pPr>
            <w:r>
              <w:t xml:space="preserve">decomposes at 1728 K in air (none at or below 800 K)</w:t>
            </w:r>
          </w:p>
        </w:tc>
        <w:tc>
          <w:tcPr/>
          <w:p>
            <w:pPr>
              <w:pStyle w:val="Compact"/>
            </w:pPr>
            <w:r>
              <w:t xml:space="preserve">800</w:t>
            </w:r>
          </w:p>
        </w:tc>
        <w:tc>
          <w:tcPr/>
          <w:p>
            <w:pPr>
              <w:pStyle w:val="Compact"/>
            </w:pPr>
            <w:r>
              <w:t xml:space="preserve">0.05</w:t>
            </w:r>
          </w:p>
        </w:tc>
        <w:tc>
          <w:tcPr/>
          <w:p>
            <w:pPr>
              <w:pStyle w:val="Compact"/>
            </w:pPr>
            <w:r>
              <w:t xml:space="preserve">800</w:t>
            </w:r>
          </w:p>
        </w:tc>
        <w:tc>
          <w:tcPr/>
          <w:p>
            <w:pPr>
              <w:pStyle w:val="Compact"/>
            </w:pPr>
            <w:r>
              <w:t xml:space="preserve">0.03</w:t>
            </w:r>
          </w:p>
        </w:tc>
        <w:tc>
          <w:tcPr/>
          <w:p>
            <w:pPr>
              <w:pStyle w:val="Compact"/>
            </w:pPr>
            <w:r>
              <w:t xml:space="preserve">3</w:t>
            </w:r>
          </w:p>
        </w:tc>
        <w:tc>
          <w:tcPr/>
          <w:p>
            <w:pPr>
              <w:pStyle w:val="Compact"/>
            </w:pPr>
            <w:r>
              <w:t xml:space="preserve">3</w:t>
            </w:r>
          </w:p>
        </w:tc>
      </w:tr>
      <w:tr>
        <w:tc>
          <w:tcPr/>
          <w:p>
            <w:pPr>
              <w:pStyle w:val="Compact"/>
            </w:pPr>
            <w:r>
              <w:t xml:space="preserve">LaCoO</w:t>
            </w:r>
            <w:r>
              <w:rPr>
                <w:vertAlign w:val="subscript"/>
              </w:rPr>
              <w:t xml:space="preserve">3</w:t>
            </w:r>
          </w:p>
        </w:tc>
        <w:tc>
          <w:tcPr/>
          <w:p>
            <w:pPr>
              <w:pStyle w:val="Compact"/>
            </w:pPr>
            <w:r>
              <w:t xml:space="preserve">none in air; reduced above 773 K in a reducing atmosphere</w:t>
            </w:r>
          </w:p>
        </w:tc>
        <w:tc>
          <w:tcPr/>
          <w:p>
            <w:pPr>
              <w:pStyle w:val="Compact"/>
            </w:pPr>
            <w:r>
              <w:t xml:space="preserve">800</w:t>
            </w:r>
          </w:p>
        </w:tc>
        <w:tc>
          <w:tcPr/>
          <w:p>
            <w:pPr>
              <w:pStyle w:val="Compact"/>
            </w:pPr>
            <w:r>
              <w:t xml:space="preserve">0.04</w:t>
            </w:r>
          </w:p>
        </w:tc>
        <w:tc>
          <w:tcPr/>
          <w:p>
            <w:pPr>
              <w:pStyle w:val="Compact"/>
            </w:pPr>
            <w:r>
              <w:t xml:space="preserve">800</w:t>
            </w:r>
          </w:p>
        </w:tc>
        <w:tc>
          <w:tcPr/>
          <w:p>
            <w:pPr>
              <w:pStyle w:val="Compact"/>
            </w:pPr>
            <w:r>
              <w:t xml:space="preserve">0.03</w:t>
            </w:r>
          </w:p>
        </w:tc>
        <w:tc>
          <w:tcPr/>
          <w:p>
            <w:pPr>
              <w:pStyle w:val="Compact"/>
            </w:pPr>
            <w:r>
              <w:t xml:space="preserve">4</w:t>
            </w:r>
          </w:p>
        </w:tc>
        <w:tc>
          <w:tcPr/>
          <w:p>
            <w:pPr>
              <w:pStyle w:val="Compact"/>
            </w:pPr>
            <w:r>
              <w:t xml:space="preserve">4</w:t>
            </w:r>
          </w:p>
        </w:tc>
      </w:tr>
    </w:tbl>
    <w:p>
      <w:pPr>
        <w:pStyle w:val="BodyText"/>
      </w:pPr>
      <w:r>
        <w:t xml:space="preserve">Physics check of the shortlist (added after the predictions had been seen; the rule and its order are unchanged). A predicted value means something only at temperatures where the compound exists. CsSnI</w:t>
      </w:r>
      <w:r>
        <w:rPr>
          <w:vertAlign w:val="subscript"/>
        </w:rPr>
        <w:t xml:space="preserve">3</w:t>
      </w:r>
      <w:r>
        <w:t xml:space="preserve"> </w:t>
      </w:r>
      <w:r>
        <w:t xml:space="preserve">melts at</w:t>
      </w:r>
      <w:r>
        <w:t xml:space="preserve"> </w:t>
      </w:r>
      <w:r>
        <w:t xml:space="preserve">451</w:t>
      </w:r>
      <w:r>
        <w:t xml:space="preserve"> </w:t>
      </w:r>
      <w:r>
        <w:t xml:space="preserve">°C (</w:t>
      </w:r>
      <w:r>
        <w:t xml:space="preserve">724</w:t>
      </w:r>
      <w:r>
        <w:t xml:space="preserve"> </w:t>
      </w:r>
      <w:r>
        <w:t xml:space="preserve">K)</w:t>
      </w:r>
      <w:r>
        <w:rPr>
          <w:vertAlign w:val="superscript"/>
        </w:rPr>
        <w:t xml:space="preserve">54,55</w:t>
      </w:r>
      <w:r>
        <w:t xml:space="preserve">, so its predictions are reported only up to</w:t>
      </w:r>
      <w:r>
        <w:t xml:space="preserve"> </w:t>
      </w:r>
      <w:r>
        <w:t xml:space="preserve">700</w:t>
      </w:r>
      <w:r>
        <w:t xml:space="preserve"> </w:t>
      </w:r>
      <w:r>
        <w:t xml:space="preserve">K, where the maximum is</w:t>
      </w:r>
      <w:r>
        <w:t xml:space="preserve"> </w:t>
      </w:r>
      <w:r>
        <w:t xml:space="preserve">0.53</w:t>
      </w:r>
      <w:r>
        <w:t xml:space="preserve"> </w:t>
      </w:r>
      <w:r>
        <w:t xml:space="preserve">and not the</w:t>
      </w:r>
      <w:r>
        <w:t xml:space="preserve"> </w:t>
      </w:r>
      <w:r>
        <w:t xml:space="preserve">0.58</w:t>
      </w:r>
      <w:r>
        <w:t xml:space="preserve"> </w:t>
      </w:r>
      <w:r>
        <w:t xml:space="preserve">at</w:t>
      </w:r>
      <w:r>
        <w:t xml:space="preserve"> </w:t>
      </w:r>
      <w:r>
        <w:t xml:space="preserve">800</w:t>
      </w:r>
      <w:r>
        <w:t xml:space="preserve"> </w:t>
      </w:r>
      <w:r>
        <w:t xml:space="preserve">K, which lies above the melting point (Tables 9 and 10). The cubic structure of its Materials Project entry is, moreover, the high-temperature phase: the black phase is orthorhombic below</w:t>
      </w:r>
      <w:r>
        <w:t xml:space="preserve"> </w:t>
      </w:r>
      <w:r>
        <w:t xml:space="preserve">362</w:t>
      </w:r>
      <w:r>
        <w:t xml:space="preserve"> </w:t>
      </w:r>
      <w:r>
        <w:t xml:space="preserve">K, tetragonal up to</w:t>
      </w:r>
      <w:r>
        <w:t xml:space="preserve"> </w:t>
      </w:r>
      <w:r>
        <w:t xml:space="preserve">440</w:t>
      </w:r>
      <w:r>
        <w:t xml:space="preserve"> </w:t>
      </w:r>
      <w:r>
        <w:t xml:space="preserve">K and cubic above</w:t>
      </w:r>
      <w:r>
        <w:rPr>
          <w:vertAlign w:val="superscript"/>
        </w:rPr>
        <w:t xml:space="preserve">56</w:t>
      </w:r>
      <w:r>
        <w:t xml:space="preserve">. For the other three compounds no melting or decomposition temperature at or below</w:t>
      </w:r>
      <w:r>
        <w:t xml:space="preserve"> </w:t>
      </w:r>
      <w:r>
        <w:t xml:space="preserve">800</w:t>
      </w:r>
      <w:r>
        <w:t xml:space="preserve"> </w:t>
      </w:r>
      <w:r>
        <w:t xml:space="preserve">K was found: doped BaSnO</w:t>
      </w:r>
      <w:r>
        <w:rPr>
          <w:vertAlign w:val="subscript"/>
        </w:rPr>
        <w:t xml:space="preserve">3</w:t>
      </w:r>
      <w:r>
        <w:t xml:space="preserve"> </w:t>
      </w:r>
      <w:r>
        <w:t xml:space="preserve">films changed their conductivity by less than</w:t>
      </w:r>
      <w:r>
        <w:t xml:space="preserve"> </w:t>
      </w:r>
      <w:r>
        <w:t xml:space="preserve">2</w:t>
      </w:r>
      <w:r>
        <w:t xml:space="preserve">% in air at</w:t>
      </w:r>
      <w:r>
        <w:t xml:space="preserve"> </w:t>
      </w:r>
      <w:r>
        <w:t xml:space="preserve">530</w:t>
      </w:r>
      <w:r>
        <w:t xml:space="preserve"> </w:t>
      </w:r>
      <w:r>
        <w:t xml:space="preserve">°C</w:t>
      </w:r>
      <w:r>
        <w:rPr>
          <w:vertAlign w:val="superscript"/>
        </w:rPr>
        <w:t xml:space="preserve">57</w:t>
      </w:r>
      <w:r>
        <w:t xml:space="preserve">; LaRhO</w:t>
      </w:r>
      <w:r>
        <w:rPr>
          <w:vertAlign w:val="subscript"/>
        </w:rPr>
        <w:t xml:space="preserve">3</w:t>
      </w:r>
      <w:r>
        <w:t xml:space="preserve"> </w:t>
      </w:r>
      <w:r>
        <w:t xml:space="preserve">decomposes at a calculated</w:t>
      </w:r>
      <w:r>
        <w:t xml:space="preserve"> </w:t>
      </w:r>
      <w:r>
        <w:t xml:space="preserve">1728</w:t>
      </w:r>
      <w:r>
        <w:t xml:space="preserve"> </w:t>
      </w:r>
      <w:r>
        <w:t xml:space="preserve">K in air</w:t>
      </w:r>
      <w:r>
        <w:rPr>
          <w:vertAlign w:val="superscript"/>
        </w:rPr>
        <w:t xml:space="preserve">58</w:t>
      </w:r>
      <w:r>
        <w:t xml:space="preserve">; LaCoO</w:t>
      </w:r>
      <w:r>
        <w:rPr>
          <w:vertAlign w:val="subscript"/>
        </w:rPr>
        <w:t xml:space="preserve">3</w:t>
      </w:r>
      <w:r>
        <w:t xml:space="preserve"> </w:t>
      </w:r>
      <w:r>
        <w:t xml:space="preserve">is stable in air but is reduced in a reducing atmosphere from about</w:t>
      </w:r>
      <w:r>
        <w:t xml:space="preserve"> </w:t>
      </w:r>
      <w:r>
        <w:t xml:space="preserve">500</w:t>
      </w:r>
      <w:r>
        <w:t xml:space="preserve"> </w:t>
      </w:r>
      <w:r>
        <w:t xml:space="preserve">°C</w:t>
      </w:r>
      <w:r>
        <w:rPr>
          <w:vertAlign w:val="superscript"/>
        </w:rPr>
        <w:t xml:space="preserve">59</w:t>
      </w:r>
      <w:r>
        <w:t xml:space="preserve">, so its predictions above</w:t>
      </w:r>
      <w:r>
        <w:t xml:space="preserve"> </w:t>
      </w:r>
      <w:r>
        <w:t xml:space="preserve">773</w:t>
      </w:r>
      <w:r>
        <w:t xml:space="preserve"> </w:t>
      </w:r>
      <w:r>
        <w:t xml:space="preserve">K apply to an oxidising atmosphere only. As a secondary view, because the primary maxima lie at the</w:t>
      </w:r>
      <w:r>
        <w:t xml:space="preserve"> </w:t>
      </w:r>
      <w:r>
        <w:t xml:space="preserve">800</w:t>
      </w:r>
      <w:r>
        <w:t xml:space="preserve"> </w:t>
      </w:r>
      <w:r>
        <w:t xml:space="preserve">K edge of the grid (</w:t>
      </w:r>
      <w:r>
        <w:t xml:space="preserve">406</w:t>
      </w:r>
      <w:r>
        <w:t xml:space="preserve"> </w:t>
      </w:r>
      <w:r>
        <w:t xml:space="preserve">of the</w:t>
      </w:r>
      <w:r>
        <w:t xml:space="preserve"> </w:t>
      </w:r>
      <w:r>
        <w:t xml:space="preserve">409</w:t>
      </w:r>
      <w:r>
        <w:t xml:space="preserve"> </w:t>
      </w:r>
      <w:r>
        <w:t xml:space="preserve">compounds), the shortlist ranked by the predicted zT at</w:t>
      </w:r>
      <w:r>
        <w:t xml:space="preserve"> </w:t>
      </w:r>
      <w:r>
        <w:t xml:space="preserve">600</w:t>
      </w:r>
      <w:r>
        <w:t xml:space="preserve"> </w:t>
      </w:r>
      <w:r>
        <w:t xml:space="preserve">K is</w:t>
      </w:r>
      <w:r>
        <w:t xml:space="preserve"> </w:t>
      </w:r>
      <w:r>
        <w:t xml:space="preserve">CsSnI</w:t>
      </w:r>
      <w:r>
        <w:rPr>
          <w:vertAlign w:val="subscript"/>
        </w:rPr>
        <w:t xml:space="preserve">3</w:t>
      </w:r>
      <w:r>
        <w:t xml:space="preserve">, BaSnO</w:t>
      </w:r>
      <w:r>
        <w:rPr>
          <w:vertAlign w:val="subscript"/>
        </w:rPr>
        <w:t xml:space="preserve">3</w:t>
      </w:r>
      <w:r>
        <w:t xml:space="preserve">, LaRhO</w:t>
      </w:r>
      <w:r>
        <w:rPr>
          <w:vertAlign w:val="subscript"/>
        </w:rPr>
        <w:t xml:space="preserve">3</w:t>
      </w:r>
      <w:r>
        <w:t xml:space="preserve">, LaCoO</w:t>
      </w:r>
      <w:r>
        <w:rPr>
          <w:vertAlign w:val="subscript"/>
        </w:rPr>
        <w:t xml:space="preserve">3</w:t>
      </w:r>
      <w:r>
        <w:t xml:space="preserve">, the same order as the primary one (Table 10). The list is a set of hypotheses for experimental or higher-level computational follow-up, not a result of this paper. Two limits decide how far it can be read. First, the</w:t>
      </w:r>
      <w:r>
        <w:t xml:space="preserve"> </w:t>
      </w:r>
      <w:r>
        <w:t xml:space="preserve">21</w:t>
      </w:r>
      <w:r>
        <w:t xml:space="preserve"> </w:t>
      </w:r>
      <w:r>
        <w:t xml:space="preserve">candidates in chemistry clusters absent from the training data are the ones for which the chemistry-cluster and ESTM results of Sections 3.1 and 3.2 apply, and those results show a substantial loss of accuracy; the</w:t>
      </w:r>
      <w:r>
        <w:t xml:space="preserve"> </w:t>
      </w:r>
      <w:r>
        <w:t xml:space="preserve">9</w:t>
      </w:r>
      <w:r>
        <w:t xml:space="preserve"> </w:t>
      </w:r>
      <w:r>
        <w:t xml:space="preserve">in seen clusters are closer to the training data. Second, the only transfer test against computed values available here, the comparison with JARVIS (Section 3.2), shows at most marginal sign transfer and a negative rank correlation of the magnitude for semiconductors (</w:t>
      </w:r>
      <w:r>
        <w:t xml:space="preserve">-0.08</w:t>
      </w:r>
      <w:r>
        <w:t xml:space="preserve">, interval</w:t>
      </w:r>
      <w:r>
        <w:t xml:space="preserve"> </w:t>
      </w:r>
      <w:r>
        <w:t xml:space="preserve">-0.11</w:t>
      </w:r>
      <w:r>
        <w:t xml:space="preserve">–</w:t>
      </w:r>
      <w:r>
        <w:t xml:space="preserve">-0.05</w:t>
      </w:r>
      <w:r>
        <w:t xml:space="preserve">), and the candidates are semiconductors by construction (</w:t>
      </w:r>
      <w:r>
        <w:t xml:space="preserve">0.1</w:t>
      </w:r>
      <w:r>
        <w:t xml:space="preserve"> </w:t>
      </w:r>
      <w:r>
        <w:t xml:space="preserve">eV or more in PBE). The ranking should therefore be read as an ordering produced by a composition-only model, not as an estimate of the performance of any compound. The literature comparison of Section 3.4 does not test the predictions of Table 9 directly, because it compares out-of-fold predictions for compositions of the training data with published measurements; it shows, however, that the cross-validated</w:t>
      </w:r>
      <w:r>
        <w:t xml:space="preserve"> </w:t>
      </w:r>
      <w:r>
        <w:rPr>
          <w:i/>
          <w:iCs/>
        </w:rPr>
        <w:t xml:space="preserve">σ</w:t>
      </w:r>
      <w:r>
        <w:t xml:space="preserve"> </w:t>
      </w:r>
      <w:r>
        <w:t xml:space="preserve">and zT for these perovskite families are far from the measurements (at the exact level</w:t>
      </w:r>
      <w:r>
        <w:t xml:space="preserve"> </w:t>
      </w:r>
      <w:r>
        <w:t xml:space="preserve">0</w:t>
      </w:r>
      <w:r>
        <w:t xml:space="preserve"> </w:t>
      </w:r>
      <w:r>
        <w:t xml:space="preserve">of</w:t>
      </w:r>
      <w:r>
        <w:t xml:space="preserve"> </w:t>
      </w:r>
      <w:r>
        <w:t xml:space="preserve">25</w:t>
      </w:r>
      <w:r>
        <w:t xml:space="preserve"> </w:t>
      </w:r>
      <w:r>
        <w:rPr>
          <w:i/>
          <w:iCs/>
        </w:rPr>
        <w:t xml:space="preserve">σ</w:t>
      </w:r>
      <w:r>
        <w:t xml:space="preserve"> </w:t>
      </w:r>
      <w:r>
        <w:t xml:space="preserve">values and</w:t>
      </w:r>
      <w:r>
        <w:t xml:space="preserve"> </w:t>
      </w:r>
      <w:r>
        <w:t xml:space="preserve">0</w:t>
      </w:r>
      <w:r>
        <w:t xml:space="preserve"> </w:t>
      </w:r>
      <w:r>
        <w:t xml:space="preserve">of</w:t>
      </w:r>
      <w:r>
        <w:t xml:space="preserve"> </w:t>
      </w:r>
      <w:r>
        <w:t xml:space="preserve">6</w:t>
      </w:r>
      <w:r>
        <w:t xml:space="preserve"> </w:t>
      </w:r>
      <w:r>
        <w:t xml:space="preserve">zT values of the independent papers are inside the band, and the median absolute relative error of zT is</w:t>
      </w:r>
      <w:r>
        <w:t xml:space="preserve"> </w:t>
      </w:r>
      <w:r>
        <w:t xml:space="preserve">3.166</w:t>
      </w:r>
      <w:r>
        <w:t xml:space="preserve">), so the zT values of Table 9 should be read with that in mind. The PBE gap used for the narrow-gap criterion underestimates measured gaps, so the gap criterion is itself uncertain.</w:t>
      </w:r>
    </w:p>
    <w:bookmarkEnd w:id="48"/>
    <w:bookmarkStart w:id="52" w:name="view-by-predicted-s-and-κ"/>
    <w:p>
      <w:pPr>
        <w:pStyle w:val="Heading3"/>
      </w:pPr>
      <w:r>
        <w:t xml:space="preserve">3.3.3 View by predicted S and</w:t>
      </w:r>
      <w:r>
        <w:t xml:space="preserve"> </w:t>
      </w:r>
      <w:r>
        <w:rPr>
          <w:i/>
          <w:iCs/>
        </w:rPr>
        <w:t xml:space="preserve">κ</w:t>
      </w:r>
    </w:p>
    <w:p>
      <w:pPr>
        <w:pStyle w:val="FirstParagraph"/>
      </w:pPr>
      <w:r>
        <w:rPr>
          <w:b/>
          <w:bCs/>
        </w:rPr>
        <w:t xml:space="preserve">View by predicted S and</w:t>
      </w:r>
      <w:r>
        <w:rPr>
          <w:b/>
          <w:bCs/>
        </w:rPr>
        <w:t xml:space="preserve"> </w:t>
      </w:r>
      <w:r>
        <w:rPr>
          <w:b/>
          <w:bCs/>
          <w:i/>
          <w:iCs/>
        </w:rPr>
        <w:t xml:space="preserve">κ</w:t>
      </w:r>
      <w:r>
        <w:rPr>
          <w:b/>
          <w:bCs/>
        </w:rPr>
        <w:t xml:space="preserve"> </w:t>
      </w:r>
      <w:r>
        <w:rPr>
          <w:b/>
          <w:bCs/>
        </w:rPr>
        <w:t xml:space="preserve">(added after the literature comparison; not pre-registered).</w:t>
      </w:r>
      <w:r>
        <w:t xml:space="preserve"> </w:t>
      </w:r>
      <w:r>
        <w:t xml:space="preserve">The literature comparison of Section 3.4 found the exact-level error of S and</w:t>
      </w:r>
      <w:r>
        <w:t xml:space="preserve"> </w:t>
      </w:r>
      <w:r>
        <w:rPr>
          <w:i/>
          <w:iCs/>
        </w:rPr>
        <w:t xml:space="preserve">κ</w:t>
      </w:r>
      <w:r>
        <w:t xml:space="preserve"> </w:t>
      </w:r>
      <w:r>
        <w:t xml:space="preserve">to be</w:t>
      </w:r>
      <w:r>
        <w:t xml:space="preserve"> </w:t>
      </w:r>
      <w:r>
        <w:t xml:space="preserve">0.7</w:t>
      </w:r>
      <w:r>
        <w:t xml:space="preserve"> </w:t>
      </w:r>
      <w:r>
        <w:t xml:space="preserve">and</w:t>
      </w:r>
      <w:r>
        <w:t xml:space="preserve"> </w:t>
      </w:r>
      <w:r>
        <w:t xml:space="preserve">1.9</w:t>
      </w:r>
      <w:r>
        <w:t xml:space="preserve"> </w:t>
      </w:r>
      <w:r>
        <w:t xml:space="preserve">times the typical cross-validation error of the rung, and that of</w:t>
      </w:r>
      <w:r>
        <w:t xml:space="preserve"> </w:t>
      </w:r>
      <w:r>
        <w:rPr>
          <w:i/>
          <w:iCs/>
        </w:rPr>
        <w:t xml:space="preserve">σ</w:t>
      </w:r>
      <w:r>
        <w:t xml:space="preserve"> </w:t>
      </w:r>
      <w:r>
        <w:t xml:space="preserve">and zT</w:t>
      </w:r>
      <w:r>
        <w:t xml:space="preserve"> </w:t>
      </w:r>
      <w:r>
        <w:t xml:space="preserve">3.2</w:t>
      </w:r>
      <w:r>
        <w:t xml:space="preserve"> </w:t>
      </w:r>
      <w:r>
        <w:t xml:space="preserve">and</w:t>
      </w:r>
      <w:r>
        <w:t xml:space="preserve"> </w:t>
      </w:r>
      <w:r>
        <w:t xml:space="preserve">11.8</w:t>
      </w:r>
      <w:r>
        <w:t xml:space="preserve"> </w:t>
      </w:r>
      <w:r>
        <w:t xml:space="preserve">times (a rough comparison, see there), so the main list is also shown by the two better-validated properties, at the grid temperature of the maximum predicted zT within each compound’s thermal limit (the limits of Table 10: CsSnI</w:t>
      </w:r>
      <w:r>
        <w:rPr>
          <w:vertAlign w:val="subscript"/>
        </w:rPr>
        <w:t xml:space="preserve">3</w:t>
      </w:r>
      <w:r>
        <w:t xml:space="preserve">,</w:t>
      </w:r>
      <w:r>
        <w:t xml:space="preserve"> </w:t>
      </w:r>
      <w:r>
        <w:t xml:space="preserve">2</w:t>
      </w:r>
      <w:r>
        <w:t xml:space="preserve"> </w:t>
      </w:r>
      <w:r>
        <w:t xml:space="preserve">of the</w:t>
      </w:r>
      <w:r>
        <w:t xml:space="preserve"> </w:t>
      </w:r>
      <w:r>
        <w:t xml:space="preserve">30</w:t>
      </w:r>
      <w:r>
        <w:t xml:space="preserve"> </w:t>
      </w:r>
      <w:r>
        <w:t xml:space="preserve">entries, is limited to</w:t>
      </w:r>
      <w:r>
        <w:t xml:space="preserve"> </w:t>
      </w:r>
      <w:r>
        <w:t xml:space="preserve">700</w:t>
      </w:r>
      <w:r>
        <w:t xml:space="preserve"> </w:t>
      </w:r>
      <w:r>
        <w:t xml:space="preserve">K, the other</w:t>
      </w:r>
      <w:r>
        <w:t xml:space="preserve"> </w:t>
      </w:r>
      <w:r>
        <w:t xml:space="preserve">28</w:t>
      </w:r>
      <w:r>
        <w:t xml:space="preserve"> </w:t>
      </w:r>
      <w:r>
        <w:t xml:space="preserve">use</w:t>
      </w:r>
      <w:r>
        <w:t xml:space="preserve"> </w:t>
      </w:r>
      <w:r>
        <w:t xml:space="preserve">800</w:t>
      </w:r>
      <w:r>
        <w:t xml:space="preserve"> </w:t>
      </w:r>
      <w:r>
        <w:t xml:space="preserve">K, and limits were sought only for the shortlist; Fig. 8 and Table 11). In this view the zT order follows</w:t>
      </w:r>
      <w:r>
        <w:t xml:space="preserve"> </w:t>
      </w:r>
      <w:r>
        <w:rPr>
          <w:i/>
          <w:iCs/>
        </w:rPr>
        <w:t xml:space="preserve">κ</w:t>
      </w:r>
      <w:r>
        <w:t xml:space="preserve"> </w:t>
      </w:r>
      <w:r>
        <w:t xml:space="preserve">more than S: the rank correlation (Spearman) of predicted zT at that temperature with low</w:t>
      </w:r>
      <w:r>
        <w:t xml:space="preserve"> </w:t>
      </w:r>
      <w:r>
        <w:rPr>
          <w:i/>
          <w:iCs/>
        </w:rPr>
        <w:t xml:space="preserve">κ</w:t>
      </w:r>
      <w:r>
        <w:t xml:space="preserve"> </w:t>
      </w:r>
      <w:r>
        <w:t xml:space="preserve">is</w:t>
      </w:r>
      <w:r>
        <w:t xml:space="preserve"> </w:t>
      </w:r>
      <w:r>
        <w:t xml:space="preserve">0.45</w:t>
      </w:r>
      <w:r>
        <w:t xml:space="preserve"> </w:t>
      </w:r>
      <w:r>
        <w:t xml:space="preserve">and with |S|</w:t>
      </w:r>
      <w:r>
        <w:t xml:space="preserve"> </w:t>
      </w:r>
      <w:r>
        <w:t xml:space="preserve">0.06</w:t>
      </w:r>
      <w:r>
        <w:t xml:space="preserve">, and</w:t>
      </w:r>
      <w:r>
        <w:t xml:space="preserve"> </w:t>
      </w:r>
      <w:r>
        <w:t xml:space="preserve">2</w:t>
      </w:r>
      <w:r>
        <w:t xml:space="preserve"> </w:t>
      </w:r>
      <w:r>
        <w:t xml:space="preserve">of the</w:t>
      </w:r>
      <w:r>
        <w:t xml:space="preserve"> </w:t>
      </w:r>
      <w:r>
        <w:t xml:space="preserve">10</w:t>
      </w:r>
      <w:r>
        <w:t xml:space="preserve"> </w:t>
      </w:r>
      <w:r>
        <w:t xml:space="preserve">best by zT are in chemistry clusters present in the training data, against</w:t>
      </w:r>
      <w:r>
        <w:t xml:space="preserve"> </w:t>
      </w:r>
      <w:r>
        <w:t xml:space="preserve">5</w:t>
      </w:r>
      <w:r>
        <w:t xml:space="preserve"> </w:t>
      </w:r>
      <w:r>
        <w:t xml:space="preserve">of the</w:t>
      </w:r>
      <w:r>
        <w:t xml:space="preserve"> </w:t>
      </w:r>
      <w:r>
        <w:t xml:space="preserve">10</w:t>
      </w:r>
      <w:r>
        <w:t xml:space="preserve"> </w:t>
      </w:r>
      <w:r>
        <w:t xml:space="preserve">best by the rank sum of |S| and</w:t>
      </w:r>
      <w:r>
        <w:t xml:space="preserve"> </w:t>
      </w:r>
      <w:r>
        <w:rPr>
          <w:i/>
          <w:iCs/>
        </w:rPr>
        <w:t xml:space="preserve">κ</w:t>
      </w:r>
      <w:r>
        <w:t xml:space="preserve">.</w:t>
      </w:r>
      <w:r>
        <w:t xml:space="preserve"> </w:t>
      </w:r>
      <w:r>
        <w:rPr>
          <w:i/>
          <w:iCs/>
        </w:rPr>
        <w:t xml:space="preserve">σ</w:t>
      </w:r>
      <w:r>
        <w:t xml:space="preserve"> </w:t>
      </w:r>
      <w:r>
        <w:t xml:space="preserve">was not validated (</w:t>
      </w:r>
      <w:r>
        <w:t xml:space="preserve">0</w:t>
      </w:r>
      <w:r>
        <w:t xml:space="preserve"> </w:t>
      </w:r>
      <w:r>
        <w:t xml:space="preserve">of</w:t>
      </w:r>
      <w:r>
        <w:t xml:space="preserve"> </w:t>
      </w:r>
      <w:r>
        <w:t xml:space="preserve">25</w:t>
      </w:r>
      <w:r>
        <w:t xml:space="preserve"> </w:t>
      </w:r>
      <w:r>
        <w:t xml:space="preserve">values of the independent papers inside the band at the exact level), so it is the property least known for these candidates and, as a quantity that doping can change, the one to optimise; this is a suggestion, not a result. Neither view predicts performance: Table 11 is an ordering of two predicted properties, not a score, and the pre-registered zT ranking of Table 9 remains the main result.</w:t>
      </w:r>
    </w:p>
    <w:p>
      <w:pPr>
        <w:pStyle w:val="CaptionedFigure"/>
      </w:pPr>
      <w:r>
        <w:drawing>
          <wp:inline>
            <wp:extent cx="5334000" cy="2665588"/>
            <wp:effectExtent b="0" l="0" r="0" t="0"/>
            <wp:docPr descr="Figure 8" title="" id="50" name="Picture"/>
            <a:graphic>
              <a:graphicData uri="http://schemas.openxmlformats.org/drawingml/2006/picture">
                <pic:pic>
                  <pic:nvPicPr>
                    <pic:cNvPr descr="../figures/fig13_s_kappa.png" id="51" name="Picture"/>
                    <pic:cNvPicPr>
                      <a:picLocks noChangeArrowheads="1" noChangeAspect="1"/>
                    </pic:cNvPicPr>
                  </pic:nvPicPr>
                  <pic:blipFill>
                    <a:blip r:embed="rId49"/>
                    <a:stretch>
                      <a:fillRect/>
                    </a:stretch>
                  </pic:blipFill>
                  <pic:spPr bwMode="auto">
                    <a:xfrm>
                      <a:off x="0" y="0"/>
                      <a:ext cx="5334000" cy="2665588"/>
                    </a:xfrm>
                    <a:prstGeom prst="rect">
                      <a:avLst/>
                    </a:prstGeom>
                    <a:noFill/>
                    <a:ln w="9525">
                      <a:noFill/>
                      <a:headEnd/>
                      <a:tailEnd/>
                    </a:ln>
                  </pic:spPr>
                </pic:pic>
              </a:graphicData>
            </a:graphic>
          </wp:inline>
        </w:drawing>
      </w:r>
    </w:p>
    <w:p>
      <w:pPr>
        <w:pStyle w:val="ImageCaption"/>
      </w:pPr>
      <w:r>
        <w:t xml:space="preserve">Figure 8</w:t>
      </w:r>
    </w:p>
    <w:p>
      <w:pPr>
        <w:pStyle w:val="BodyText"/>
      </w:pPr>
      <w:r>
        <w:rPr>
          <w:b/>
          <w:bCs/>
        </w:rPr>
        <w:t xml:space="preserve">Figure 8:</w:t>
      </w:r>
      <w:r>
        <w:t xml:space="preserve"> </w:t>
      </w:r>
      <w:r>
        <w:t xml:space="preserve">Predicted |S| against predicted</w:t>
      </w:r>
      <w:r>
        <w:t xml:space="preserve"> </w:t>
      </w:r>
      <w:r>
        <w:rPr>
          <w:i/>
          <w:iCs/>
        </w:rPr>
        <w:t xml:space="preserve">κ</w:t>
      </w:r>
      <w:r>
        <w:t xml:space="preserve"> </w:t>
      </w:r>
      <w:r>
        <w:t xml:space="preserve">at the maximum of the predicted zT within each compound’s thermal limit (Table 10) for the</w:t>
      </w:r>
      <w:r>
        <w:t xml:space="preserve"> </w:t>
      </w:r>
      <w:r>
        <w:t xml:space="preserve">30</w:t>
      </w:r>
      <w:r>
        <w:t xml:space="preserve"> </w:t>
      </w:r>
      <w:r>
        <w:t xml:space="preserve">candidates of the main list, whose chemistry cluster is present (circles) or absent (squares) in the training data; the number beside each point is its position # in Table 9 (the rank by predicted zT within its cluster group). Added after the literature comparison (NA12); not pre-registered. Model outputs, not findings; compounds with identical predictions are drawn once.</w:t>
      </w:r>
    </w:p>
    <w:p>
      <w:pPr>
        <w:pStyle w:val="BodyText"/>
      </w:pPr>
      <w:r>
        <w:rPr>
          <w:b/>
          <w:bCs/>
        </w:rPr>
        <w:t xml:space="preserve">Table 11:</w:t>
      </w:r>
      <w:r>
        <w:t xml:space="preserve"> </w:t>
      </w:r>
      <w:r>
        <w:t xml:space="preserve">The 30 candidates of Table 9 ordered by the sum of their rank by predicted |S| (largest first) and their rank by predicted</w:t>
      </w:r>
      <w:r>
        <w:t xml:space="preserve"> </w:t>
      </w:r>
      <w:r>
        <w:rPr>
          <w:i/>
          <w:iCs/>
        </w:rPr>
        <w:t xml:space="preserve">κ</w:t>
      </w:r>
      <w:r>
        <w:t xml:space="preserve"> </w:t>
      </w:r>
      <w:r>
        <w:t xml:space="preserve">(lowest first), both at the grid temperature T of the maximum predicted zT within the compound’s thermal limit (Table 10: only CsSnI</w:t>
      </w:r>
      <w:r>
        <w:rPr>
          <w:vertAlign w:val="subscript"/>
        </w:rPr>
        <w:t xml:space="preserve">3</w:t>
      </w:r>
      <w:r>
        <w:t xml:space="preserve"> </w:t>
      </w:r>
      <w:r>
        <w:t xml:space="preserve">is limited, to 700 K; the other 28 entries have no limit applied and use 800 K; limits were sought only for the shortlist). Added after the literature comparison (NA12); not pre-registered. This is an ordering of two predicted properties only, not a performance score and not a prediction of zT. The best rank is the lowest; compounds with identical predictions (separate Materials Project entries of one composition) share a rank. zT rank: the position # of Table 9 (the rank within the cluster group by the pre-registered ranking, unchanged). † the shortlist of the pre-registered rule.</w:t>
      </w:r>
    </w:p>
    <w:tbl>
      <w:tblPr>
        <w:tblStyle w:val="Table"/>
        <w:tblW w:type="pct" w:w="5000"/>
        <w:tblLayout w:type="fixed"/>
        <w:tblLook w:firstRow="1" w:lastRow="0" w:firstColumn="0" w:lastColumn="0" w:noHBand="0" w:noVBand="0" w:val="0020"/>
      </w:tblPr>
      <w:tblGrid>
        <w:gridCol w:w="678"/>
        <w:gridCol w:w="2489"/>
        <w:gridCol w:w="1357"/>
        <w:gridCol w:w="678"/>
        <w:gridCol w:w="678"/>
        <w:gridCol w:w="678"/>
        <w:gridCol w:w="678"/>
        <w:gridCol w:w="678"/>
      </w:tblGrid>
      <w:tr>
        <w:trPr>
          <w:tblHeader w:val="on"/>
        </w:trPr>
        <w:tc>
          <w:tcPr/>
          <w:p>
            <w:pPr>
              <w:pStyle w:val="Compact"/>
            </w:pPr>
            <w:r>
              <w:rPr>
                <w:b/>
                <w:bCs/>
              </w:rPr>
              <w:t xml:space="preserve">Position</w:t>
            </w:r>
          </w:p>
        </w:tc>
        <w:tc>
          <w:tcPr/>
          <w:p>
            <w:pPr>
              <w:pStyle w:val="Compact"/>
            </w:pPr>
            <w:r>
              <w:rPr>
                <w:b/>
                <w:bCs/>
              </w:rPr>
              <w:t xml:space="preserve">Compound (MP id)</w:t>
            </w:r>
          </w:p>
        </w:tc>
        <w:tc>
          <w:tcPr/>
          <w:p>
            <w:pPr>
              <w:pStyle w:val="Compact"/>
            </w:pPr>
            <w:r>
              <w:rPr>
                <w:b/>
                <w:bCs/>
              </w:rPr>
              <w:t xml:space="preserve">Cluster</w:t>
            </w:r>
          </w:p>
        </w:tc>
        <w:tc>
          <w:tcPr/>
          <w:p>
            <w:pPr>
              <w:pStyle w:val="Compact"/>
            </w:pPr>
            <w:r>
              <w:rPr>
                <w:b/>
                <w:bCs/>
              </w:rPr>
              <w:t xml:space="preserve">zT rank (Table 9)</w:t>
            </w:r>
          </w:p>
        </w:tc>
        <w:tc>
          <w:tcPr/>
          <w:p>
            <w:pPr>
              <w:pStyle w:val="Compact"/>
            </w:pPr>
            <w:r>
              <w:rPr>
                <w:b/>
                <w:bCs/>
              </w:rPr>
              <w:t xml:space="preserve">T (K)</w:t>
            </w:r>
          </w:p>
        </w:tc>
        <w:tc>
          <w:tcPr/>
          <w:p>
            <w:pPr>
              <w:pStyle w:val="Compact"/>
            </w:pPr>
            <w:r>
              <w:rPr>
                <w:b/>
                <w:bCs/>
              </w:rPr>
              <w:t xml:space="preserve">|S| rank</w:t>
            </w:r>
          </w:p>
        </w:tc>
        <w:tc>
          <w:tcPr/>
          <w:p>
            <w:pPr>
              <w:pStyle w:val="Compact"/>
            </w:pPr>
            <w:r>
              <w:rPr>
                <w:b/>
                <w:bCs/>
                <w:i/>
                <w:iCs/>
              </w:rPr>
              <w:t xml:space="preserve">κ</w:t>
            </w:r>
            <w:r>
              <w:t xml:space="preserve"> </w:t>
            </w:r>
            <w:r>
              <w:rPr>
                <w:b/>
                <w:bCs/>
              </w:rPr>
              <w:t xml:space="preserve">rank</w:t>
            </w:r>
          </w:p>
        </w:tc>
        <w:tc>
          <w:tcPr/>
          <w:p>
            <w:pPr>
              <w:pStyle w:val="Compact"/>
            </w:pPr>
            <w:r>
              <w:rPr>
                <w:b/>
                <w:bCs/>
              </w:rPr>
              <w:t xml:space="preserve">Rank sum</w:t>
            </w:r>
          </w:p>
        </w:tc>
      </w:tr>
      <w:tr>
        <w:tc>
          <w:tcPr/>
          <w:p>
            <w:pPr>
              <w:pStyle w:val="Compact"/>
            </w:pPr>
            <w:r>
              <w:t xml:space="preserve">1</w:t>
            </w:r>
          </w:p>
        </w:tc>
        <w:tc>
          <w:tcPr/>
          <w:p>
            <w:pPr>
              <w:pStyle w:val="Compact"/>
            </w:pPr>
            <w:r>
              <w:t xml:space="preserve">CsSnI</w:t>
            </w:r>
            <w:r>
              <w:rPr>
                <w:vertAlign w:val="subscript"/>
              </w:rPr>
              <w:t xml:space="preserve">3</w:t>
            </w:r>
            <w:r>
              <w:t xml:space="preserve"> </w:t>
            </w:r>
            <w:r>
              <w:t xml:space="preserve">† (mp-614013)</w:t>
            </w:r>
          </w:p>
        </w:tc>
        <w:tc>
          <w:tcPr/>
          <w:p>
            <w:pPr>
              <w:pStyle w:val="Compact"/>
            </w:pPr>
            <w:r>
              <w:t xml:space="preserve">seen</w:t>
            </w:r>
          </w:p>
        </w:tc>
        <w:tc>
          <w:tcPr/>
          <w:p>
            <w:pPr>
              <w:pStyle w:val="Compact"/>
            </w:pPr>
            <w:r>
              <w:t xml:space="preserve">1</w:t>
            </w:r>
          </w:p>
        </w:tc>
        <w:tc>
          <w:tcPr/>
          <w:p>
            <w:pPr>
              <w:pStyle w:val="Compact"/>
            </w:pPr>
            <w:r>
              <w:t xml:space="preserve">700</w:t>
            </w:r>
          </w:p>
        </w:tc>
        <w:tc>
          <w:tcPr/>
          <w:p>
            <w:pPr>
              <w:pStyle w:val="Compact"/>
            </w:pPr>
            <w:r>
              <w:t xml:space="preserve">7</w:t>
            </w:r>
          </w:p>
        </w:tc>
        <w:tc>
          <w:tcPr/>
          <w:p>
            <w:pPr>
              <w:pStyle w:val="Compact"/>
            </w:pPr>
            <w:r>
              <w:t xml:space="preserve">1</w:t>
            </w:r>
          </w:p>
        </w:tc>
        <w:tc>
          <w:tcPr/>
          <w:p>
            <w:pPr>
              <w:pStyle w:val="Compact"/>
            </w:pPr>
            <w:r>
              <w:t xml:space="preserve">8</w:t>
            </w:r>
          </w:p>
        </w:tc>
      </w:tr>
      <w:tr>
        <w:tc>
          <w:tcPr/>
          <w:p>
            <w:pPr>
              <w:pStyle w:val="Compact"/>
            </w:pPr>
            <w:r>
              <w:t xml:space="preserve">2</w:t>
            </w:r>
          </w:p>
        </w:tc>
        <w:tc>
          <w:tcPr/>
          <w:p>
            <w:pPr>
              <w:pStyle w:val="Compact"/>
            </w:pPr>
            <w:r>
              <w:t xml:space="preserve">CsSnI</w:t>
            </w:r>
            <w:r>
              <w:rPr>
                <w:vertAlign w:val="subscript"/>
              </w:rPr>
              <w:t xml:space="preserve">3</w:t>
            </w:r>
            <w:r>
              <w:t xml:space="preserve"> </w:t>
            </w:r>
            <w:r>
              <w:t xml:space="preserve">(mp-616378)</w:t>
            </w:r>
          </w:p>
        </w:tc>
        <w:tc>
          <w:tcPr/>
          <w:p>
            <w:pPr>
              <w:pStyle w:val="Compact"/>
            </w:pPr>
            <w:r>
              <w:t xml:space="preserve">seen</w:t>
            </w:r>
          </w:p>
        </w:tc>
        <w:tc>
          <w:tcPr/>
          <w:p>
            <w:pPr>
              <w:pStyle w:val="Compact"/>
            </w:pPr>
            <w:r>
              <w:t xml:space="preserve">2</w:t>
            </w:r>
          </w:p>
        </w:tc>
        <w:tc>
          <w:tcPr/>
          <w:p>
            <w:pPr>
              <w:pStyle w:val="Compact"/>
            </w:pPr>
            <w:r>
              <w:t xml:space="preserve">700</w:t>
            </w:r>
          </w:p>
        </w:tc>
        <w:tc>
          <w:tcPr/>
          <w:p>
            <w:pPr>
              <w:pStyle w:val="Compact"/>
            </w:pPr>
            <w:r>
              <w:t xml:space="preserve">7</w:t>
            </w:r>
          </w:p>
        </w:tc>
        <w:tc>
          <w:tcPr/>
          <w:p>
            <w:pPr>
              <w:pStyle w:val="Compact"/>
            </w:pPr>
            <w:r>
              <w:t xml:space="preserve">1</w:t>
            </w:r>
          </w:p>
        </w:tc>
        <w:tc>
          <w:tcPr/>
          <w:p>
            <w:pPr>
              <w:pStyle w:val="Compact"/>
            </w:pPr>
            <w:r>
              <w:t xml:space="preserve">8</w:t>
            </w:r>
          </w:p>
        </w:tc>
      </w:tr>
      <w:tr>
        <w:tc>
          <w:tcPr/>
          <w:p>
            <w:pPr>
              <w:pStyle w:val="Compact"/>
            </w:pPr>
            <w:r>
              <w:t xml:space="preserve">3</w:t>
            </w:r>
          </w:p>
        </w:tc>
        <w:tc>
          <w:tcPr/>
          <w:p>
            <w:pPr>
              <w:pStyle w:val="Compact"/>
            </w:pPr>
            <w:r>
              <w:t xml:space="preserve">EuZrO</w:t>
            </w:r>
            <w:r>
              <w:rPr>
                <w:vertAlign w:val="subscript"/>
              </w:rPr>
              <w:t xml:space="preserve">3</w:t>
            </w:r>
            <w:r>
              <w:t xml:space="preserve"> </w:t>
            </w:r>
            <w:r>
              <w:t xml:space="preserve">(mp-1106293)</w:t>
            </w:r>
          </w:p>
        </w:tc>
        <w:tc>
          <w:tcPr/>
          <w:p>
            <w:pPr>
              <w:pStyle w:val="Compact"/>
            </w:pPr>
            <w:r>
              <w:t xml:space="preserve">unseen</w:t>
            </w:r>
          </w:p>
        </w:tc>
        <w:tc>
          <w:tcPr/>
          <w:p>
            <w:pPr>
              <w:pStyle w:val="Compact"/>
            </w:pPr>
            <w:r>
              <w:t xml:space="preserve">16</w:t>
            </w:r>
          </w:p>
        </w:tc>
        <w:tc>
          <w:tcPr/>
          <w:p>
            <w:pPr>
              <w:pStyle w:val="Compact"/>
            </w:pPr>
            <w:r>
              <w:t xml:space="preserve">800</w:t>
            </w:r>
          </w:p>
        </w:tc>
        <w:tc>
          <w:tcPr/>
          <w:p>
            <w:pPr>
              <w:pStyle w:val="Compact"/>
            </w:pPr>
            <w:r>
              <w:t xml:space="preserve">5</w:t>
            </w:r>
          </w:p>
        </w:tc>
        <w:tc>
          <w:tcPr/>
          <w:p>
            <w:pPr>
              <w:pStyle w:val="Compact"/>
            </w:pPr>
            <w:r>
              <w:t xml:space="preserve">5</w:t>
            </w:r>
          </w:p>
        </w:tc>
        <w:tc>
          <w:tcPr/>
          <w:p>
            <w:pPr>
              <w:pStyle w:val="Compact"/>
            </w:pPr>
            <w:r>
              <w:t xml:space="preserve">10</w:t>
            </w:r>
          </w:p>
        </w:tc>
      </w:tr>
      <w:tr>
        <w:tc>
          <w:tcPr/>
          <w:p>
            <w:pPr>
              <w:pStyle w:val="Compact"/>
            </w:pPr>
            <w:r>
              <w:t xml:space="preserve">4</w:t>
            </w:r>
          </w:p>
        </w:tc>
        <w:tc>
          <w:tcPr/>
          <w:p>
            <w:pPr>
              <w:pStyle w:val="Compact"/>
            </w:pPr>
            <w:r>
              <w:t xml:space="preserve">LaRhO</w:t>
            </w:r>
            <w:r>
              <w:rPr>
                <w:vertAlign w:val="subscript"/>
              </w:rPr>
              <w:t xml:space="preserve">3</w:t>
            </w:r>
            <w:r>
              <w:t xml:space="preserve"> </w:t>
            </w:r>
            <w:r>
              <w:t xml:space="preserve">† (mp-5163)</w:t>
            </w:r>
          </w:p>
        </w:tc>
        <w:tc>
          <w:tcPr/>
          <w:p>
            <w:pPr>
              <w:pStyle w:val="Compact"/>
            </w:pPr>
            <w:r>
              <w:t xml:space="preserve">seen</w:t>
            </w:r>
          </w:p>
        </w:tc>
        <w:tc>
          <w:tcPr/>
          <w:p>
            <w:pPr>
              <w:pStyle w:val="Compact"/>
            </w:pPr>
            <w:r>
              <w:t xml:space="preserve">7</w:t>
            </w:r>
          </w:p>
        </w:tc>
        <w:tc>
          <w:tcPr/>
          <w:p>
            <w:pPr>
              <w:pStyle w:val="Compact"/>
            </w:pPr>
            <w:r>
              <w:t xml:space="preserve">800</w:t>
            </w:r>
          </w:p>
        </w:tc>
        <w:tc>
          <w:tcPr/>
          <w:p>
            <w:pPr>
              <w:pStyle w:val="Compact"/>
            </w:pPr>
            <w:r>
              <w:t xml:space="preserve">1</w:t>
            </w:r>
          </w:p>
        </w:tc>
        <w:tc>
          <w:tcPr/>
          <w:p>
            <w:pPr>
              <w:pStyle w:val="Compact"/>
            </w:pPr>
            <w:r>
              <w:t xml:space="preserve">12</w:t>
            </w:r>
          </w:p>
        </w:tc>
        <w:tc>
          <w:tcPr/>
          <w:p>
            <w:pPr>
              <w:pStyle w:val="Compact"/>
            </w:pPr>
            <w:r>
              <w:t xml:space="preserve">13</w:t>
            </w:r>
          </w:p>
        </w:tc>
      </w:tr>
      <w:tr>
        <w:tc>
          <w:tcPr/>
          <w:p>
            <w:pPr>
              <w:pStyle w:val="Compact"/>
            </w:pPr>
            <w:r>
              <w:t xml:space="preserve">5</w:t>
            </w:r>
          </w:p>
        </w:tc>
        <w:tc>
          <w:tcPr/>
          <w:p>
            <w:pPr>
              <w:pStyle w:val="Compact"/>
            </w:pPr>
            <w:r>
              <w:t xml:space="preserve">RbGeI</w:t>
            </w:r>
            <w:r>
              <w:rPr>
                <w:vertAlign w:val="subscript"/>
              </w:rPr>
              <w:t xml:space="preserve">3</w:t>
            </w:r>
            <w:r>
              <w:t xml:space="preserve"> </w:t>
            </w:r>
            <w:r>
              <w:t xml:space="preserve">(mp-571458)</w:t>
            </w:r>
          </w:p>
        </w:tc>
        <w:tc>
          <w:tcPr/>
          <w:p>
            <w:pPr>
              <w:pStyle w:val="Compact"/>
            </w:pPr>
            <w:r>
              <w:t xml:space="preserve">unseen</w:t>
            </w:r>
          </w:p>
        </w:tc>
        <w:tc>
          <w:tcPr/>
          <w:p>
            <w:pPr>
              <w:pStyle w:val="Compact"/>
            </w:pPr>
            <w:r>
              <w:t xml:space="preserve">1</w:t>
            </w:r>
          </w:p>
        </w:tc>
        <w:tc>
          <w:tcPr/>
          <w:p>
            <w:pPr>
              <w:pStyle w:val="Compact"/>
            </w:pPr>
            <w:r>
              <w:t xml:space="preserve">800</w:t>
            </w:r>
          </w:p>
        </w:tc>
        <w:tc>
          <w:tcPr/>
          <w:p>
            <w:pPr>
              <w:pStyle w:val="Compact"/>
            </w:pPr>
            <w:r>
              <w:t xml:space="preserve">12</w:t>
            </w:r>
          </w:p>
        </w:tc>
        <w:tc>
          <w:tcPr/>
          <w:p>
            <w:pPr>
              <w:pStyle w:val="Compact"/>
            </w:pPr>
            <w:r>
              <w:t xml:space="preserve">4</w:t>
            </w:r>
          </w:p>
        </w:tc>
        <w:tc>
          <w:tcPr/>
          <w:p>
            <w:pPr>
              <w:pStyle w:val="Compact"/>
            </w:pPr>
            <w:r>
              <w:t xml:space="preserve">16</w:t>
            </w:r>
          </w:p>
        </w:tc>
      </w:tr>
      <w:tr>
        <w:tc>
          <w:tcPr/>
          <w:p>
            <w:pPr>
              <w:pStyle w:val="Compact"/>
            </w:pPr>
            <w:r>
              <w:t xml:space="preserve">6</w:t>
            </w:r>
          </w:p>
        </w:tc>
        <w:tc>
          <w:tcPr/>
          <w:p>
            <w:pPr>
              <w:pStyle w:val="Compact"/>
            </w:pPr>
            <w:r>
              <w:t xml:space="preserve">EuZrS</w:t>
            </w:r>
            <w:r>
              <w:rPr>
                <w:vertAlign w:val="subscript"/>
              </w:rPr>
              <w:t xml:space="preserve">3</w:t>
            </w:r>
            <w:r>
              <w:t xml:space="preserve"> </w:t>
            </w:r>
            <w:r>
              <w:t xml:space="preserve">(mp-1189927)</w:t>
            </w:r>
          </w:p>
        </w:tc>
        <w:tc>
          <w:tcPr/>
          <w:p>
            <w:pPr>
              <w:pStyle w:val="Compact"/>
            </w:pPr>
            <w:r>
              <w:t xml:space="preserve">unseen</w:t>
            </w:r>
          </w:p>
        </w:tc>
        <w:tc>
          <w:tcPr/>
          <w:p>
            <w:pPr>
              <w:pStyle w:val="Compact"/>
            </w:pPr>
            <w:r>
              <w:t xml:space="preserve">9</w:t>
            </w:r>
          </w:p>
        </w:tc>
        <w:tc>
          <w:tcPr/>
          <w:p>
            <w:pPr>
              <w:pStyle w:val="Compact"/>
            </w:pPr>
            <w:r>
              <w:t xml:space="preserve">800</w:t>
            </w:r>
          </w:p>
        </w:tc>
        <w:tc>
          <w:tcPr/>
          <w:p>
            <w:pPr>
              <w:pStyle w:val="Compact"/>
            </w:pPr>
            <w:r>
              <w:t xml:space="preserve">9</w:t>
            </w:r>
          </w:p>
        </w:tc>
        <w:tc>
          <w:tcPr/>
          <w:p>
            <w:pPr>
              <w:pStyle w:val="Compact"/>
            </w:pPr>
            <w:r>
              <w:t xml:space="preserve">9</w:t>
            </w:r>
          </w:p>
        </w:tc>
        <w:tc>
          <w:tcPr/>
          <w:p>
            <w:pPr>
              <w:pStyle w:val="Compact"/>
            </w:pPr>
            <w:r>
              <w:t xml:space="preserve">18</w:t>
            </w:r>
          </w:p>
        </w:tc>
      </w:tr>
      <w:tr>
        <w:tc>
          <w:tcPr/>
          <w:p>
            <w:pPr>
              <w:pStyle w:val="Compact"/>
            </w:pPr>
            <w:r>
              <w:t xml:space="preserve">7</w:t>
            </w:r>
          </w:p>
        </w:tc>
        <w:tc>
          <w:tcPr/>
          <w:p>
            <w:pPr>
              <w:pStyle w:val="Compact"/>
            </w:pPr>
            <w:r>
              <w:t xml:space="preserve">EuHfO</w:t>
            </w:r>
            <w:r>
              <w:rPr>
                <w:vertAlign w:val="subscript"/>
              </w:rPr>
              <w:t xml:space="preserve">3</w:t>
            </w:r>
            <w:r>
              <w:t xml:space="preserve"> </w:t>
            </w:r>
            <w:r>
              <w:t xml:space="preserve">(mp-753781)</w:t>
            </w:r>
          </w:p>
        </w:tc>
        <w:tc>
          <w:tcPr/>
          <w:p>
            <w:pPr>
              <w:pStyle w:val="Compact"/>
            </w:pPr>
            <w:r>
              <w:t xml:space="preserve">unseen</w:t>
            </w:r>
          </w:p>
        </w:tc>
        <w:tc>
          <w:tcPr/>
          <w:p>
            <w:pPr>
              <w:pStyle w:val="Compact"/>
            </w:pPr>
            <w:r>
              <w:t xml:space="preserve">12</w:t>
            </w:r>
          </w:p>
        </w:tc>
        <w:tc>
          <w:tcPr/>
          <w:p>
            <w:pPr>
              <w:pStyle w:val="Compact"/>
            </w:pPr>
            <w:r>
              <w:t xml:space="preserve">800</w:t>
            </w:r>
          </w:p>
        </w:tc>
        <w:tc>
          <w:tcPr/>
          <w:p>
            <w:pPr>
              <w:pStyle w:val="Compact"/>
            </w:pPr>
            <w:r>
              <w:t xml:space="preserve">11</w:t>
            </w:r>
          </w:p>
        </w:tc>
        <w:tc>
          <w:tcPr/>
          <w:p>
            <w:pPr>
              <w:pStyle w:val="Compact"/>
            </w:pPr>
            <w:r>
              <w:t xml:space="preserve">8</w:t>
            </w:r>
          </w:p>
        </w:tc>
        <w:tc>
          <w:tcPr/>
          <w:p>
            <w:pPr>
              <w:pStyle w:val="Compact"/>
            </w:pPr>
            <w:r>
              <w:t xml:space="preserve">19</w:t>
            </w:r>
          </w:p>
        </w:tc>
      </w:tr>
      <w:tr>
        <w:tc>
          <w:tcPr/>
          <w:p>
            <w:pPr>
              <w:pStyle w:val="Compact"/>
            </w:pPr>
            <w:r>
              <w:t xml:space="preserve">8</w:t>
            </w:r>
          </w:p>
        </w:tc>
        <w:tc>
          <w:tcPr/>
          <w:p>
            <w:pPr>
              <w:pStyle w:val="Compact"/>
            </w:pPr>
            <w:r>
              <w:t xml:space="preserve">YCoO</w:t>
            </w:r>
            <w:r>
              <w:rPr>
                <w:vertAlign w:val="subscript"/>
              </w:rPr>
              <w:t xml:space="preserve">3</w:t>
            </w:r>
            <w:r>
              <w:t xml:space="preserve"> </w:t>
            </w:r>
            <w:r>
              <w:t xml:space="preserve">(mp-1273178)</w:t>
            </w:r>
          </w:p>
        </w:tc>
        <w:tc>
          <w:tcPr/>
          <w:p>
            <w:pPr>
              <w:pStyle w:val="Compact"/>
            </w:pPr>
            <w:r>
              <w:t xml:space="preserve">seen</w:t>
            </w:r>
          </w:p>
        </w:tc>
        <w:tc>
          <w:tcPr/>
          <w:p>
            <w:pPr>
              <w:pStyle w:val="Compact"/>
            </w:pPr>
            <w:r>
              <w:t xml:space="preserve">5</w:t>
            </w:r>
          </w:p>
        </w:tc>
        <w:tc>
          <w:tcPr/>
          <w:p>
            <w:pPr>
              <w:pStyle w:val="Compact"/>
            </w:pPr>
            <w:r>
              <w:t xml:space="preserve">800</w:t>
            </w:r>
          </w:p>
        </w:tc>
        <w:tc>
          <w:tcPr/>
          <w:p>
            <w:pPr>
              <w:pStyle w:val="Compact"/>
            </w:pPr>
            <w:r>
              <w:t xml:space="preserve">3</w:t>
            </w:r>
          </w:p>
        </w:tc>
        <w:tc>
          <w:tcPr/>
          <w:p>
            <w:pPr>
              <w:pStyle w:val="Compact"/>
            </w:pPr>
            <w:r>
              <w:t xml:space="preserve">22</w:t>
            </w:r>
          </w:p>
        </w:tc>
        <w:tc>
          <w:tcPr/>
          <w:p>
            <w:pPr>
              <w:pStyle w:val="Compact"/>
            </w:pPr>
            <w:r>
              <w:t xml:space="preserve">25</w:t>
            </w:r>
          </w:p>
        </w:tc>
      </w:tr>
      <w:tr>
        <w:tc>
          <w:tcPr/>
          <w:p>
            <w:pPr>
              <w:pStyle w:val="Compact"/>
            </w:pPr>
            <w:r>
              <w:t xml:space="preserve">9</w:t>
            </w:r>
          </w:p>
        </w:tc>
        <w:tc>
          <w:tcPr/>
          <w:p>
            <w:pPr>
              <w:pStyle w:val="Compact"/>
            </w:pPr>
            <w:r>
              <w:t xml:space="preserve">YCoO</w:t>
            </w:r>
            <w:r>
              <w:rPr>
                <w:vertAlign w:val="subscript"/>
              </w:rPr>
              <w:t xml:space="preserve">3</w:t>
            </w:r>
            <w:r>
              <w:t xml:space="preserve"> </w:t>
            </w:r>
            <w:r>
              <w:t xml:space="preserve">(mp-1288734)</w:t>
            </w:r>
          </w:p>
        </w:tc>
        <w:tc>
          <w:tcPr/>
          <w:p>
            <w:pPr>
              <w:pStyle w:val="Compact"/>
            </w:pPr>
            <w:r>
              <w:t xml:space="preserve">seen</w:t>
            </w:r>
          </w:p>
        </w:tc>
        <w:tc>
          <w:tcPr/>
          <w:p>
            <w:pPr>
              <w:pStyle w:val="Compact"/>
            </w:pPr>
            <w:r>
              <w:t xml:space="preserve">6</w:t>
            </w:r>
          </w:p>
        </w:tc>
        <w:tc>
          <w:tcPr/>
          <w:p>
            <w:pPr>
              <w:pStyle w:val="Compact"/>
            </w:pPr>
            <w:r>
              <w:t xml:space="preserve">800</w:t>
            </w:r>
          </w:p>
        </w:tc>
        <w:tc>
          <w:tcPr/>
          <w:p>
            <w:pPr>
              <w:pStyle w:val="Compact"/>
            </w:pPr>
            <w:r>
              <w:t xml:space="preserve">3</w:t>
            </w:r>
          </w:p>
        </w:tc>
        <w:tc>
          <w:tcPr/>
          <w:p>
            <w:pPr>
              <w:pStyle w:val="Compact"/>
            </w:pPr>
            <w:r>
              <w:t xml:space="preserve">22</w:t>
            </w:r>
          </w:p>
        </w:tc>
        <w:tc>
          <w:tcPr/>
          <w:p>
            <w:pPr>
              <w:pStyle w:val="Compact"/>
            </w:pPr>
            <w:r>
              <w:t xml:space="preserve">25</w:t>
            </w:r>
          </w:p>
        </w:tc>
      </w:tr>
      <w:tr>
        <w:tc>
          <w:tcPr/>
          <w:p>
            <w:pPr>
              <w:pStyle w:val="Compact"/>
            </w:pPr>
            <w:r>
              <w:t xml:space="preserve">10</w:t>
            </w:r>
          </w:p>
        </w:tc>
        <w:tc>
          <w:tcPr/>
          <w:p>
            <w:pPr>
              <w:pStyle w:val="Compact"/>
            </w:pPr>
            <w:r>
              <w:t xml:space="preserve">CsSnBr</w:t>
            </w:r>
            <w:r>
              <w:rPr>
                <w:vertAlign w:val="subscript"/>
              </w:rPr>
              <w:t xml:space="preserve">3</w:t>
            </w:r>
            <w:r>
              <w:t xml:space="preserve"> </w:t>
            </w:r>
            <w:r>
              <w:t xml:space="preserve">(mp-27214)</w:t>
            </w:r>
          </w:p>
        </w:tc>
        <w:tc>
          <w:tcPr/>
          <w:p>
            <w:pPr>
              <w:pStyle w:val="Compact"/>
            </w:pPr>
            <w:r>
              <w:t xml:space="preserve">unseen</w:t>
            </w:r>
          </w:p>
        </w:tc>
        <w:tc>
          <w:tcPr/>
          <w:p>
            <w:pPr>
              <w:pStyle w:val="Compact"/>
            </w:pPr>
            <w:r>
              <w:t xml:space="preserve">2</w:t>
            </w:r>
          </w:p>
        </w:tc>
        <w:tc>
          <w:tcPr/>
          <w:p>
            <w:pPr>
              <w:pStyle w:val="Compact"/>
            </w:pPr>
            <w:r>
              <w:t xml:space="preserve">800</w:t>
            </w:r>
          </w:p>
        </w:tc>
        <w:tc>
          <w:tcPr/>
          <w:p>
            <w:pPr>
              <w:pStyle w:val="Compact"/>
            </w:pPr>
            <w:r>
              <w:t xml:space="preserve">23</w:t>
            </w:r>
          </w:p>
        </w:tc>
        <w:tc>
          <w:tcPr/>
          <w:p>
            <w:pPr>
              <w:pStyle w:val="Compact"/>
            </w:pPr>
            <w:r>
              <w:t xml:space="preserve">3</w:t>
            </w:r>
          </w:p>
        </w:tc>
        <w:tc>
          <w:tcPr/>
          <w:p>
            <w:pPr>
              <w:pStyle w:val="Compact"/>
            </w:pPr>
            <w:r>
              <w:t xml:space="preserve">26</w:t>
            </w:r>
          </w:p>
        </w:tc>
      </w:tr>
      <w:tr>
        <w:tc>
          <w:tcPr/>
          <w:p>
            <w:pPr>
              <w:pStyle w:val="Compact"/>
            </w:pPr>
            <w:r>
              <w:t xml:space="preserve">11</w:t>
            </w:r>
          </w:p>
        </w:tc>
        <w:tc>
          <w:tcPr/>
          <w:p>
            <w:pPr>
              <w:pStyle w:val="Compact"/>
            </w:pPr>
            <w:r>
              <w:t xml:space="preserve">SrBiO</w:t>
            </w:r>
            <w:r>
              <w:rPr>
                <w:vertAlign w:val="subscript"/>
              </w:rPr>
              <w:t xml:space="preserve">3</w:t>
            </w:r>
            <w:r>
              <w:t xml:space="preserve"> </w:t>
            </w:r>
            <w:r>
              <w:t xml:space="preserve">(mp-29164)</w:t>
            </w:r>
          </w:p>
        </w:tc>
        <w:tc>
          <w:tcPr/>
          <w:p>
            <w:pPr>
              <w:pStyle w:val="Compact"/>
            </w:pPr>
            <w:r>
              <w:t xml:space="preserve">unseen</w:t>
            </w:r>
          </w:p>
        </w:tc>
        <w:tc>
          <w:tcPr/>
          <w:p>
            <w:pPr>
              <w:pStyle w:val="Compact"/>
            </w:pPr>
            <w:r>
              <w:t xml:space="preserve">5</w:t>
            </w:r>
          </w:p>
        </w:tc>
        <w:tc>
          <w:tcPr/>
          <w:p>
            <w:pPr>
              <w:pStyle w:val="Compact"/>
            </w:pPr>
            <w:r>
              <w:t xml:space="preserve">800</w:t>
            </w:r>
          </w:p>
        </w:tc>
        <w:tc>
          <w:tcPr/>
          <w:p>
            <w:pPr>
              <w:pStyle w:val="Compact"/>
            </w:pPr>
            <w:r>
              <w:t xml:space="preserve">10</w:t>
            </w:r>
          </w:p>
        </w:tc>
        <w:tc>
          <w:tcPr/>
          <w:p>
            <w:pPr>
              <w:pStyle w:val="Compact"/>
            </w:pPr>
            <w:r>
              <w:t xml:space="preserve">17</w:t>
            </w:r>
          </w:p>
        </w:tc>
        <w:tc>
          <w:tcPr/>
          <w:p>
            <w:pPr>
              <w:pStyle w:val="Compact"/>
            </w:pPr>
            <w:r>
              <w:t xml:space="preserve">27</w:t>
            </w:r>
          </w:p>
        </w:tc>
      </w:tr>
      <w:tr>
        <w:tc>
          <w:tcPr/>
          <w:p>
            <w:pPr>
              <w:pStyle w:val="Compact"/>
            </w:pPr>
            <w:r>
              <w:t xml:space="preserve">12</w:t>
            </w:r>
          </w:p>
        </w:tc>
        <w:tc>
          <w:tcPr/>
          <w:p>
            <w:pPr>
              <w:pStyle w:val="Compact"/>
            </w:pPr>
            <w:r>
              <w:t xml:space="preserve">KBiO</w:t>
            </w:r>
            <w:r>
              <w:rPr>
                <w:vertAlign w:val="subscript"/>
              </w:rPr>
              <w:t xml:space="preserve">3</w:t>
            </w:r>
            <w:r>
              <w:t xml:space="preserve"> </w:t>
            </w:r>
            <w:r>
              <w:t xml:space="preserve">(mp-29799)</w:t>
            </w:r>
          </w:p>
        </w:tc>
        <w:tc>
          <w:tcPr/>
          <w:p>
            <w:pPr>
              <w:pStyle w:val="Compact"/>
            </w:pPr>
            <w:r>
              <w:t xml:space="preserve">unseen</w:t>
            </w:r>
          </w:p>
        </w:tc>
        <w:tc>
          <w:tcPr/>
          <w:p>
            <w:pPr>
              <w:pStyle w:val="Compact"/>
            </w:pPr>
            <w:r>
              <w:t xml:space="preserve">8</w:t>
            </w:r>
          </w:p>
        </w:tc>
        <w:tc>
          <w:tcPr/>
          <w:p>
            <w:pPr>
              <w:pStyle w:val="Compact"/>
            </w:pPr>
            <w:r>
              <w:t xml:space="preserve">800</w:t>
            </w:r>
          </w:p>
        </w:tc>
        <w:tc>
          <w:tcPr/>
          <w:p>
            <w:pPr>
              <w:pStyle w:val="Compact"/>
            </w:pPr>
            <w:r>
              <w:t xml:space="preserve">14</w:t>
            </w:r>
          </w:p>
        </w:tc>
        <w:tc>
          <w:tcPr/>
          <w:p>
            <w:pPr>
              <w:pStyle w:val="Compact"/>
            </w:pPr>
            <w:r>
              <w:t xml:space="preserve">14</w:t>
            </w:r>
          </w:p>
        </w:tc>
        <w:tc>
          <w:tcPr/>
          <w:p>
            <w:pPr>
              <w:pStyle w:val="Compact"/>
            </w:pPr>
            <w:r>
              <w:t xml:space="preserve">28</w:t>
            </w:r>
          </w:p>
        </w:tc>
      </w:tr>
      <w:tr>
        <w:tc>
          <w:tcPr/>
          <w:p>
            <w:pPr>
              <w:pStyle w:val="Compact"/>
            </w:pPr>
            <w:r>
              <w:t xml:space="preserve">13</w:t>
            </w:r>
          </w:p>
        </w:tc>
        <w:tc>
          <w:tcPr/>
          <w:p>
            <w:pPr>
              <w:pStyle w:val="Compact"/>
            </w:pPr>
            <w:r>
              <w:t xml:space="preserve">ErCrO</w:t>
            </w:r>
            <w:r>
              <w:rPr>
                <w:vertAlign w:val="subscript"/>
              </w:rPr>
              <w:t xml:space="preserve">3</w:t>
            </w:r>
            <w:r>
              <w:t xml:space="preserve"> </w:t>
            </w:r>
            <w:r>
              <w:t xml:space="preserve">(mp-19063)</w:t>
            </w:r>
          </w:p>
        </w:tc>
        <w:tc>
          <w:tcPr/>
          <w:p>
            <w:pPr>
              <w:pStyle w:val="Compact"/>
            </w:pPr>
            <w:r>
              <w:t xml:space="preserve">unseen</w:t>
            </w:r>
          </w:p>
        </w:tc>
        <w:tc>
          <w:tcPr/>
          <w:p>
            <w:pPr>
              <w:pStyle w:val="Compact"/>
            </w:pPr>
            <w:r>
              <w:t xml:space="preserve">20</w:t>
            </w:r>
          </w:p>
        </w:tc>
        <w:tc>
          <w:tcPr/>
          <w:p>
            <w:pPr>
              <w:pStyle w:val="Compact"/>
            </w:pPr>
            <w:r>
              <w:t xml:space="preserve">800</w:t>
            </w:r>
          </w:p>
        </w:tc>
        <w:tc>
          <w:tcPr/>
          <w:p>
            <w:pPr>
              <w:pStyle w:val="Compact"/>
            </w:pPr>
            <w:r>
              <w:t xml:space="preserve">13</w:t>
            </w:r>
          </w:p>
        </w:tc>
        <w:tc>
          <w:tcPr/>
          <w:p>
            <w:pPr>
              <w:pStyle w:val="Compact"/>
            </w:pPr>
            <w:r>
              <w:t xml:space="preserve">15</w:t>
            </w:r>
          </w:p>
        </w:tc>
        <w:tc>
          <w:tcPr/>
          <w:p>
            <w:pPr>
              <w:pStyle w:val="Compact"/>
            </w:pPr>
            <w:r>
              <w:t xml:space="preserve">28</w:t>
            </w:r>
          </w:p>
        </w:tc>
      </w:tr>
      <w:tr>
        <w:tc>
          <w:tcPr/>
          <w:p>
            <w:pPr>
              <w:pStyle w:val="Compact"/>
            </w:pPr>
            <w:r>
              <w:t xml:space="preserve">14</w:t>
            </w:r>
          </w:p>
        </w:tc>
        <w:tc>
          <w:tcPr/>
          <w:p>
            <w:pPr>
              <w:pStyle w:val="Compact"/>
            </w:pPr>
            <w:r>
              <w:t xml:space="preserve">EuHfS</w:t>
            </w:r>
            <w:r>
              <w:rPr>
                <w:vertAlign w:val="subscript"/>
              </w:rPr>
              <w:t xml:space="preserve">3</w:t>
            </w:r>
            <w:r>
              <w:t xml:space="preserve"> </w:t>
            </w:r>
            <w:r>
              <w:t xml:space="preserve">(mp-1190059)</w:t>
            </w:r>
          </w:p>
        </w:tc>
        <w:tc>
          <w:tcPr/>
          <w:p>
            <w:pPr>
              <w:pStyle w:val="Compact"/>
            </w:pPr>
            <w:r>
              <w:t xml:space="preserve">unseen</w:t>
            </w:r>
          </w:p>
        </w:tc>
        <w:tc>
          <w:tcPr/>
          <w:p>
            <w:pPr>
              <w:pStyle w:val="Compact"/>
            </w:pPr>
            <w:r>
              <w:t xml:space="preserve">7</w:t>
            </w:r>
          </w:p>
        </w:tc>
        <w:tc>
          <w:tcPr/>
          <w:p>
            <w:pPr>
              <w:pStyle w:val="Compact"/>
            </w:pPr>
            <w:r>
              <w:t xml:space="preserve">800</w:t>
            </w:r>
          </w:p>
        </w:tc>
        <w:tc>
          <w:tcPr/>
          <w:p>
            <w:pPr>
              <w:pStyle w:val="Compact"/>
            </w:pPr>
            <w:r>
              <w:t xml:space="preserve">18</w:t>
            </w:r>
          </w:p>
        </w:tc>
        <w:tc>
          <w:tcPr/>
          <w:p>
            <w:pPr>
              <w:pStyle w:val="Compact"/>
            </w:pPr>
            <w:r>
              <w:t xml:space="preserve">11</w:t>
            </w:r>
          </w:p>
        </w:tc>
        <w:tc>
          <w:tcPr/>
          <w:p>
            <w:pPr>
              <w:pStyle w:val="Compact"/>
            </w:pPr>
            <w:r>
              <w:t xml:space="preserve">29</w:t>
            </w:r>
          </w:p>
        </w:tc>
      </w:tr>
      <w:tr>
        <w:tc>
          <w:tcPr/>
          <w:p>
            <w:pPr>
              <w:pStyle w:val="Compact"/>
            </w:pPr>
            <w:r>
              <w:t xml:space="preserve">15</w:t>
            </w:r>
          </w:p>
        </w:tc>
        <w:tc>
          <w:tcPr/>
          <w:p>
            <w:pPr>
              <w:pStyle w:val="Compact"/>
            </w:pPr>
            <w:r>
              <w:t xml:space="preserve">CaMnO</w:t>
            </w:r>
            <w:r>
              <w:rPr>
                <w:vertAlign w:val="subscript"/>
              </w:rPr>
              <w:t xml:space="preserve">3</w:t>
            </w:r>
            <w:r>
              <w:t xml:space="preserve"> </w:t>
            </w:r>
            <w:r>
              <w:t xml:space="preserve">(mp-19201)</w:t>
            </w:r>
          </w:p>
        </w:tc>
        <w:tc>
          <w:tcPr/>
          <w:p>
            <w:pPr>
              <w:pStyle w:val="Compact"/>
            </w:pPr>
            <w:r>
              <w:t xml:space="preserve">seen</w:t>
            </w:r>
          </w:p>
        </w:tc>
        <w:tc>
          <w:tcPr/>
          <w:p>
            <w:pPr>
              <w:pStyle w:val="Compact"/>
            </w:pPr>
            <w:r>
              <w:t xml:space="preserve">4</w:t>
            </w:r>
          </w:p>
        </w:tc>
        <w:tc>
          <w:tcPr/>
          <w:p>
            <w:pPr>
              <w:pStyle w:val="Compact"/>
            </w:pPr>
            <w:r>
              <w:t xml:space="preserve">800</w:t>
            </w:r>
          </w:p>
        </w:tc>
        <w:tc>
          <w:tcPr/>
          <w:p>
            <w:pPr>
              <w:pStyle w:val="Compact"/>
            </w:pPr>
            <w:r>
              <w:t xml:space="preserve">2</w:t>
            </w:r>
          </w:p>
        </w:tc>
        <w:tc>
          <w:tcPr/>
          <w:p>
            <w:pPr>
              <w:pStyle w:val="Compact"/>
            </w:pPr>
            <w:r>
              <w:t xml:space="preserve">28</w:t>
            </w:r>
          </w:p>
        </w:tc>
        <w:tc>
          <w:tcPr/>
          <w:p>
            <w:pPr>
              <w:pStyle w:val="Compact"/>
            </w:pPr>
            <w:r>
              <w:t xml:space="preserve">30</w:t>
            </w:r>
          </w:p>
        </w:tc>
      </w:tr>
      <w:tr>
        <w:tc>
          <w:tcPr/>
          <w:p>
            <w:pPr>
              <w:pStyle w:val="Compact"/>
            </w:pPr>
            <w:r>
              <w:t xml:space="preserve">16</w:t>
            </w:r>
          </w:p>
        </w:tc>
        <w:tc>
          <w:tcPr/>
          <w:p>
            <w:pPr>
              <w:pStyle w:val="Compact"/>
            </w:pPr>
            <w:r>
              <w:t xml:space="preserve">LuVO</w:t>
            </w:r>
            <w:r>
              <w:rPr>
                <w:vertAlign w:val="subscript"/>
              </w:rPr>
              <w:t xml:space="preserve">3</w:t>
            </w:r>
            <w:r>
              <w:t xml:space="preserve"> </w:t>
            </w:r>
            <w:r>
              <w:t xml:space="preserve">(mp-2767717)</w:t>
            </w:r>
          </w:p>
        </w:tc>
        <w:tc>
          <w:tcPr/>
          <w:p>
            <w:pPr>
              <w:pStyle w:val="Compact"/>
            </w:pPr>
            <w:r>
              <w:t xml:space="preserve">unseen</w:t>
            </w:r>
          </w:p>
        </w:tc>
        <w:tc>
          <w:tcPr/>
          <w:p>
            <w:pPr>
              <w:pStyle w:val="Compact"/>
            </w:pPr>
            <w:r>
              <w:t xml:space="preserve">15</w:t>
            </w:r>
          </w:p>
        </w:tc>
        <w:tc>
          <w:tcPr/>
          <w:p>
            <w:pPr>
              <w:pStyle w:val="Compact"/>
            </w:pPr>
            <w:r>
              <w:t xml:space="preserve">800</w:t>
            </w:r>
          </w:p>
        </w:tc>
        <w:tc>
          <w:tcPr/>
          <w:p>
            <w:pPr>
              <w:pStyle w:val="Compact"/>
            </w:pPr>
            <w:r>
              <w:t xml:space="preserve">26</w:t>
            </w:r>
          </w:p>
        </w:tc>
        <w:tc>
          <w:tcPr/>
          <w:p>
            <w:pPr>
              <w:pStyle w:val="Compact"/>
            </w:pPr>
            <w:r>
              <w:t xml:space="preserve">7</w:t>
            </w:r>
          </w:p>
        </w:tc>
        <w:tc>
          <w:tcPr/>
          <w:p>
            <w:pPr>
              <w:pStyle w:val="Compact"/>
            </w:pPr>
            <w:r>
              <w:t xml:space="preserve">33</w:t>
            </w:r>
          </w:p>
        </w:tc>
      </w:tr>
      <w:tr>
        <w:tc>
          <w:tcPr/>
          <w:p>
            <w:pPr>
              <w:pStyle w:val="Compact"/>
            </w:pPr>
            <w:r>
              <w:t xml:space="preserve">17</w:t>
            </w:r>
          </w:p>
        </w:tc>
        <w:tc>
          <w:tcPr/>
          <w:p>
            <w:pPr>
              <w:pStyle w:val="Compact"/>
            </w:pPr>
            <w:r>
              <w:t xml:space="preserve">ErNiO</w:t>
            </w:r>
            <w:r>
              <w:rPr>
                <w:vertAlign w:val="subscript"/>
              </w:rPr>
              <w:t xml:space="preserve">3</w:t>
            </w:r>
            <w:r>
              <w:t xml:space="preserve"> </w:t>
            </w:r>
            <w:r>
              <w:t xml:space="preserve">(mp-1189736)</w:t>
            </w:r>
          </w:p>
        </w:tc>
        <w:tc>
          <w:tcPr/>
          <w:p>
            <w:pPr>
              <w:pStyle w:val="Compact"/>
            </w:pPr>
            <w:r>
              <w:t xml:space="preserve">unseen</w:t>
            </w:r>
          </w:p>
        </w:tc>
        <w:tc>
          <w:tcPr/>
          <w:p>
            <w:pPr>
              <w:pStyle w:val="Compact"/>
            </w:pPr>
            <w:r>
              <w:t xml:space="preserve">17</w:t>
            </w:r>
          </w:p>
        </w:tc>
        <w:tc>
          <w:tcPr/>
          <w:p>
            <w:pPr>
              <w:pStyle w:val="Compact"/>
            </w:pPr>
            <w:r>
              <w:t xml:space="preserve">800</w:t>
            </w:r>
          </w:p>
        </w:tc>
        <w:tc>
          <w:tcPr/>
          <w:p>
            <w:pPr>
              <w:pStyle w:val="Compact"/>
            </w:pPr>
            <w:r>
              <w:t xml:space="preserve">28</w:t>
            </w:r>
          </w:p>
        </w:tc>
        <w:tc>
          <w:tcPr/>
          <w:p>
            <w:pPr>
              <w:pStyle w:val="Compact"/>
            </w:pPr>
            <w:r>
              <w:t xml:space="preserve">6</w:t>
            </w:r>
          </w:p>
        </w:tc>
        <w:tc>
          <w:tcPr/>
          <w:p>
            <w:pPr>
              <w:pStyle w:val="Compact"/>
            </w:pPr>
            <w:r>
              <w:t xml:space="preserve">34</w:t>
            </w:r>
          </w:p>
        </w:tc>
      </w:tr>
      <w:tr>
        <w:tc>
          <w:tcPr/>
          <w:p>
            <w:pPr>
              <w:pStyle w:val="Compact"/>
            </w:pPr>
            <w:r>
              <w:t xml:space="preserve">18</w:t>
            </w:r>
          </w:p>
        </w:tc>
        <w:tc>
          <w:tcPr/>
          <w:p>
            <w:pPr>
              <w:pStyle w:val="Compact"/>
            </w:pPr>
            <w:r>
              <w:t xml:space="preserve">AlSiP</w:t>
            </w:r>
            <w:r>
              <w:rPr>
                <w:vertAlign w:val="subscript"/>
              </w:rPr>
              <w:t xml:space="preserve">3</w:t>
            </w:r>
            <w:r>
              <w:t xml:space="preserve"> </w:t>
            </w:r>
            <w:r>
              <w:t xml:space="preserve">(mp-5168)</w:t>
            </w:r>
          </w:p>
        </w:tc>
        <w:tc>
          <w:tcPr/>
          <w:p>
            <w:pPr>
              <w:pStyle w:val="Compact"/>
            </w:pPr>
            <w:r>
              <w:t xml:space="preserve">unseen</w:t>
            </w:r>
          </w:p>
        </w:tc>
        <w:tc>
          <w:tcPr/>
          <w:p>
            <w:pPr>
              <w:pStyle w:val="Compact"/>
            </w:pPr>
            <w:r>
              <w:t xml:space="preserve">3</w:t>
            </w:r>
          </w:p>
        </w:tc>
        <w:tc>
          <w:tcPr/>
          <w:p>
            <w:pPr>
              <w:pStyle w:val="Compact"/>
            </w:pPr>
            <w:r>
              <w:t xml:space="preserve">800</w:t>
            </w:r>
          </w:p>
        </w:tc>
        <w:tc>
          <w:tcPr/>
          <w:p>
            <w:pPr>
              <w:pStyle w:val="Compact"/>
            </w:pPr>
            <w:r>
              <w:t xml:space="preserve">6</w:t>
            </w:r>
          </w:p>
        </w:tc>
        <w:tc>
          <w:tcPr/>
          <w:p>
            <w:pPr>
              <w:pStyle w:val="Compact"/>
            </w:pPr>
            <w:r>
              <w:t xml:space="preserve">29</w:t>
            </w:r>
          </w:p>
        </w:tc>
        <w:tc>
          <w:tcPr/>
          <w:p>
            <w:pPr>
              <w:pStyle w:val="Compact"/>
            </w:pPr>
            <w:r>
              <w:t xml:space="preserve">35</w:t>
            </w:r>
          </w:p>
        </w:tc>
      </w:tr>
      <w:tr>
        <w:tc>
          <w:tcPr/>
          <w:p>
            <w:pPr>
              <w:pStyle w:val="Compact"/>
            </w:pPr>
            <w:r>
              <w:t xml:space="preserve">19</w:t>
            </w:r>
          </w:p>
        </w:tc>
        <w:tc>
          <w:tcPr/>
          <w:p>
            <w:pPr>
              <w:pStyle w:val="Compact"/>
            </w:pPr>
            <w:r>
              <w:t xml:space="preserve">RbEuCl</w:t>
            </w:r>
            <w:r>
              <w:rPr>
                <w:vertAlign w:val="subscript"/>
              </w:rPr>
              <w:t xml:space="preserve">3</w:t>
            </w:r>
            <w:r>
              <w:t xml:space="preserve"> </w:t>
            </w:r>
            <w:r>
              <w:t xml:space="preserve">(mp-1206801)</w:t>
            </w:r>
          </w:p>
        </w:tc>
        <w:tc>
          <w:tcPr/>
          <w:p>
            <w:pPr>
              <w:pStyle w:val="Compact"/>
            </w:pPr>
            <w:r>
              <w:t xml:space="preserve">unseen</w:t>
            </w:r>
          </w:p>
        </w:tc>
        <w:tc>
          <w:tcPr/>
          <w:p>
            <w:pPr>
              <w:pStyle w:val="Compact"/>
            </w:pPr>
            <w:r>
              <w:t xml:space="preserve">4</w:t>
            </w:r>
          </w:p>
        </w:tc>
        <w:tc>
          <w:tcPr/>
          <w:p>
            <w:pPr>
              <w:pStyle w:val="Compact"/>
            </w:pPr>
            <w:r>
              <w:t xml:space="preserve">800</w:t>
            </w:r>
          </w:p>
        </w:tc>
        <w:tc>
          <w:tcPr/>
          <w:p>
            <w:pPr>
              <w:pStyle w:val="Compact"/>
            </w:pPr>
            <w:r>
              <w:t xml:space="preserve">27</w:t>
            </w:r>
          </w:p>
        </w:tc>
        <w:tc>
          <w:tcPr/>
          <w:p>
            <w:pPr>
              <w:pStyle w:val="Compact"/>
            </w:pPr>
            <w:r>
              <w:t xml:space="preserve">10</w:t>
            </w:r>
          </w:p>
        </w:tc>
        <w:tc>
          <w:tcPr/>
          <w:p>
            <w:pPr>
              <w:pStyle w:val="Compact"/>
            </w:pPr>
            <w:r>
              <w:t xml:space="preserve">37</w:t>
            </w:r>
          </w:p>
        </w:tc>
      </w:tr>
      <w:tr>
        <w:tc>
          <w:tcPr/>
          <w:p>
            <w:pPr>
              <w:pStyle w:val="Compact"/>
            </w:pPr>
            <w:r>
              <w:t xml:space="preserve">20</w:t>
            </w:r>
          </w:p>
        </w:tc>
        <w:tc>
          <w:tcPr/>
          <w:p>
            <w:pPr>
              <w:pStyle w:val="Compact"/>
            </w:pPr>
            <w:r>
              <w:t xml:space="preserve">MnBO</w:t>
            </w:r>
            <w:r>
              <w:rPr>
                <w:vertAlign w:val="subscript"/>
              </w:rPr>
              <w:t xml:space="preserve">3</w:t>
            </w:r>
            <w:r>
              <w:t xml:space="preserve"> </w:t>
            </w:r>
            <w:r>
              <w:t xml:space="preserve">(mp-1278986)</w:t>
            </w:r>
          </w:p>
        </w:tc>
        <w:tc>
          <w:tcPr/>
          <w:p>
            <w:pPr>
              <w:pStyle w:val="Compact"/>
            </w:pPr>
            <w:r>
              <w:t xml:space="preserve">unseen</w:t>
            </w:r>
          </w:p>
        </w:tc>
        <w:tc>
          <w:tcPr/>
          <w:p>
            <w:pPr>
              <w:pStyle w:val="Compact"/>
            </w:pPr>
            <w:r>
              <w:t xml:space="preserve">10</w:t>
            </w:r>
          </w:p>
        </w:tc>
        <w:tc>
          <w:tcPr/>
          <w:p>
            <w:pPr>
              <w:pStyle w:val="Compact"/>
            </w:pPr>
            <w:r>
              <w:t xml:space="preserve">800</w:t>
            </w:r>
          </w:p>
        </w:tc>
        <w:tc>
          <w:tcPr/>
          <w:p>
            <w:pPr>
              <w:pStyle w:val="Compact"/>
            </w:pPr>
            <w:r>
              <w:t xml:space="preserve">21</w:t>
            </w:r>
          </w:p>
        </w:tc>
        <w:tc>
          <w:tcPr/>
          <w:p>
            <w:pPr>
              <w:pStyle w:val="Compact"/>
            </w:pPr>
            <w:r>
              <w:t xml:space="preserve">18</w:t>
            </w:r>
          </w:p>
        </w:tc>
        <w:tc>
          <w:tcPr/>
          <w:p>
            <w:pPr>
              <w:pStyle w:val="Compact"/>
            </w:pPr>
            <w:r>
              <w:t xml:space="preserve">39</w:t>
            </w:r>
          </w:p>
        </w:tc>
      </w:tr>
      <w:tr>
        <w:tc>
          <w:tcPr/>
          <w:p>
            <w:pPr>
              <w:pStyle w:val="Compact"/>
            </w:pPr>
            <w:r>
              <w:t xml:space="preserve">21</w:t>
            </w:r>
          </w:p>
        </w:tc>
        <w:tc>
          <w:tcPr/>
          <w:p>
            <w:pPr>
              <w:pStyle w:val="Compact"/>
            </w:pPr>
            <w:r>
              <w:t xml:space="preserve">MnBO</w:t>
            </w:r>
            <w:r>
              <w:rPr>
                <w:vertAlign w:val="subscript"/>
              </w:rPr>
              <w:t xml:space="preserve">3</w:t>
            </w:r>
            <w:r>
              <w:t xml:space="preserve"> </w:t>
            </w:r>
            <w:r>
              <w:t xml:space="preserve">(mp-1289597)</w:t>
            </w:r>
          </w:p>
        </w:tc>
        <w:tc>
          <w:tcPr/>
          <w:p>
            <w:pPr>
              <w:pStyle w:val="Compact"/>
            </w:pPr>
            <w:r>
              <w:t xml:space="preserve">unseen</w:t>
            </w:r>
          </w:p>
        </w:tc>
        <w:tc>
          <w:tcPr/>
          <w:p>
            <w:pPr>
              <w:pStyle w:val="Compact"/>
            </w:pPr>
            <w:r>
              <w:t xml:space="preserve">11</w:t>
            </w:r>
          </w:p>
        </w:tc>
        <w:tc>
          <w:tcPr/>
          <w:p>
            <w:pPr>
              <w:pStyle w:val="Compact"/>
            </w:pPr>
            <w:r>
              <w:t xml:space="preserve">800</w:t>
            </w:r>
          </w:p>
        </w:tc>
        <w:tc>
          <w:tcPr/>
          <w:p>
            <w:pPr>
              <w:pStyle w:val="Compact"/>
            </w:pPr>
            <w:r>
              <w:t xml:space="preserve">21</w:t>
            </w:r>
          </w:p>
        </w:tc>
        <w:tc>
          <w:tcPr/>
          <w:p>
            <w:pPr>
              <w:pStyle w:val="Compact"/>
            </w:pPr>
            <w:r>
              <w:t xml:space="preserve">18</w:t>
            </w:r>
          </w:p>
        </w:tc>
        <w:tc>
          <w:tcPr/>
          <w:p>
            <w:pPr>
              <w:pStyle w:val="Compact"/>
            </w:pPr>
            <w:r>
              <w:t xml:space="preserve">39</w:t>
            </w:r>
          </w:p>
        </w:tc>
      </w:tr>
      <w:tr>
        <w:tc>
          <w:tcPr/>
          <w:p>
            <w:pPr>
              <w:pStyle w:val="Compact"/>
            </w:pPr>
            <w:r>
              <w:t xml:space="preserve">22</w:t>
            </w:r>
          </w:p>
        </w:tc>
        <w:tc>
          <w:tcPr/>
          <w:p>
            <w:pPr>
              <w:pStyle w:val="Compact"/>
            </w:pPr>
            <w:r>
              <w:t xml:space="preserve">CaVO</w:t>
            </w:r>
            <w:r>
              <w:rPr>
                <w:vertAlign w:val="subscript"/>
              </w:rPr>
              <w:t xml:space="preserve">3</w:t>
            </w:r>
            <w:r>
              <w:t xml:space="preserve"> </w:t>
            </w:r>
            <w:r>
              <w:t xml:space="preserve">(mp-22608)</w:t>
            </w:r>
          </w:p>
        </w:tc>
        <w:tc>
          <w:tcPr/>
          <w:p>
            <w:pPr>
              <w:pStyle w:val="Compact"/>
            </w:pPr>
            <w:r>
              <w:t xml:space="preserve">unseen</w:t>
            </w:r>
          </w:p>
        </w:tc>
        <w:tc>
          <w:tcPr/>
          <w:p>
            <w:pPr>
              <w:pStyle w:val="Compact"/>
            </w:pPr>
            <w:r>
              <w:t xml:space="preserve">13</w:t>
            </w:r>
          </w:p>
        </w:tc>
        <w:tc>
          <w:tcPr/>
          <w:p>
            <w:pPr>
              <w:pStyle w:val="Compact"/>
            </w:pPr>
            <w:r>
              <w:t xml:space="preserve">800</w:t>
            </w:r>
          </w:p>
        </w:tc>
        <w:tc>
          <w:tcPr/>
          <w:p>
            <w:pPr>
              <w:pStyle w:val="Compact"/>
            </w:pPr>
            <w:r>
              <w:t xml:space="preserve">15</w:t>
            </w:r>
          </w:p>
        </w:tc>
        <w:tc>
          <w:tcPr/>
          <w:p>
            <w:pPr>
              <w:pStyle w:val="Compact"/>
            </w:pPr>
            <w:r>
              <w:t xml:space="preserve">24</w:t>
            </w:r>
          </w:p>
        </w:tc>
        <w:tc>
          <w:tcPr/>
          <w:p>
            <w:pPr>
              <w:pStyle w:val="Compact"/>
            </w:pPr>
            <w:r>
              <w:t xml:space="preserve">39</w:t>
            </w:r>
          </w:p>
        </w:tc>
      </w:tr>
      <w:tr>
        <w:tc>
          <w:tcPr/>
          <w:p>
            <w:pPr>
              <w:pStyle w:val="Compact"/>
            </w:pPr>
            <w:r>
              <w:t xml:space="preserve">23</w:t>
            </w:r>
          </w:p>
        </w:tc>
        <w:tc>
          <w:tcPr/>
          <w:p>
            <w:pPr>
              <w:pStyle w:val="Compact"/>
            </w:pPr>
            <w:r>
              <w:t xml:space="preserve">CaVO</w:t>
            </w:r>
            <w:r>
              <w:rPr>
                <w:vertAlign w:val="subscript"/>
              </w:rPr>
              <w:t xml:space="preserve">3</w:t>
            </w:r>
            <w:r>
              <w:t xml:space="preserve"> </w:t>
            </w:r>
            <w:r>
              <w:t xml:space="preserve">(mp-1435359)</w:t>
            </w:r>
          </w:p>
        </w:tc>
        <w:tc>
          <w:tcPr/>
          <w:p>
            <w:pPr>
              <w:pStyle w:val="Compact"/>
            </w:pPr>
            <w:r>
              <w:t xml:space="preserve">unseen</w:t>
            </w:r>
          </w:p>
        </w:tc>
        <w:tc>
          <w:tcPr/>
          <w:p>
            <w:pPr>
              <w:pStyle w:val="Compact"/>
            </w:pPr>
            <w:r>
              <w:t xml:space="preserve">14</w:t>
            </w:r>
          </w:p>
        </w:tc>
        <w:tc>
          <w:tcPr/>
          <w:p>
            <w:pPr>
              <w:pStyle w:val="Compact"/>
            </w:pPr>
            <w:r>
              <w:t xml:space="preserve">800</w:t>
            </w:r>
          </w:p>
        </w:tc>
        <w:tc>
          <w:tcPr/>
          <w:p>
            <w:pPr>
              <w:pStyle w:val="Compact"/>
            </w:pPr>
            <w:r>
              <w:t xml:space="preserve">15</w:t>
            </w:r>
          </w:p>
        </w:tc>
        <w:tc>
          <w:tcPr/>
          <w:p>
            <w:pPr>
              <w:pStyle w:val="Compact"/>
            </w:pPr>
            <w:r>
              <w:t xml:space="preserve">24</w:t>
            </w:r>
          </w:p>
        </w:tc>
        <w:tc>
          <w:tcPr/>
          <w:p>
            <w:pPr>
              <w:pStyle w:val="Compact"/>
            </w:pPr>
            <w:r>
              <w:t xml:space="preserve">39</w:t>
            </w:r>
          </w:p>
        </w:tc>
      </w:tr>
      <w:tr>
        <w:tc>
          <w:tcPr/>
          <w:p>
            <w:pPr>
              <w:pStyle w:val="Compact"/>
            </w:pPr>
            <w:r>
              <w:t xml:space="preserve">24</w:t>
            </w:r>
          </w:p>
        </w:tc>
        <w:tc>
          <w:tcPr/>
          <w:p>
            <w:pPr>
              <w:pStyle w:val="Compact"/>
            </w:pPr>
            <w:r>
              <w:t xml:space="preserve">KCrF</w:t>
            </w:r>
            <w:r>
              <w:rPr>
                <w:vertAlign w:val="subscript"/>
              </w:rPr>
              <w:t xml:space="preserve">3</w:t>
            </w:r>
            <w:r>
              <w:t xml:space="preserve"> </w:t>
            </w:r>
            <w:r>
              <w:t xml:space="preserve">(mp-1180782)</w:t>
            </w:r>
          </w:p>
        </w:tc>
        <w:tc>
          <w:tcPr/>
          <w:p>
            <w:pPr>
              <w:pStyle w:val="Compact"/>
            </w:pPr>
            <w:r>
              <w:t xml:space="preserve">unseen</w:t>
            </w:r>
          </w:p>
        </w:tc>
        <w:tc>
          <w:tcPr/>
          <w:p>
            <w:pPr>
              <w:pStyle w:val="Compact"/>
            </w:pPr>
            <w:r>
              <w:t xml:space="preserve">6</w:t>
            </w:r>
          </w:p>
        </w:tc>
        <w:tc>
          <w:tcPr/>
          <w:p>
            <w:pPr>
              <w:pStyle w:val="Compact"/>
            </w:pPr>
            <w:r>
              <w:t xml:space="preserve">800</w:t>
            </w:r>
          </w:p>
        </w:tc>
        <w:tc>
          <w:tcPr/>
          <w:p>
            <w:pPr>
              <w:pStyle w:val="Compact"/>
            </w:pPr>
            <w:r>
              <w:t xml:space="preserve">25</w:t>
            </w:r>
          </w:p>
        </w:tc>
        <w:tc>
          <w:tcPr/>
          <w:p>
            <w:pPr>
              <w:pStyle w:val="Compact"/>
            </w:pPr>
            <w:r>
              <w:t xml:space="preserve">16</w:t>
            </w:r>
          </w:p>
        </w:tc>
        <w:tc>
          <w:tcPr/>
          <w:p>
            <w:pPr>
              <w:pStyle w:val="Compact"/>
            </w:pPr>
            <w:r>
              <w:t xml:space="preserve">41</w:t>
            </w:r>
          </w:p>
        </w:tc>
      </w:tr>
      <w:tr>
        <w:tc>
          <w:tcPr/>
          <w:p>
            <w:pPr>
              <w:pStyle w:val="Compact"/>
            </w:pPr>
            <w:r>
              <w:t xml:space="preserve">25</w:t>
            </w:r>
          </w:p>
        </w:tc>
        <w:tc>
          <w:tcPr/>
          <w:p>
            <w:pPr>
              <w:pStyle w:val="Compact"/>
            </w:pPr>
            <w:r>
              <w:t xml:space="preserve">NiBiO</w:t>
            </w:r>
            <w:r>
              <w:rPr>
                <w:vertAlign w:val="subscript"/>
              </w:rPr>
              <w:t xml:space="preserve">3</w:t>
            </w:r>
            <w:r>
              <w:t xml:space="preserve"> </w:t>
            </w:r>
            <w:r>
              <w:t xml:space="preserve">(mp-25096)</w:t>
            </w:r>
          </w:p>
        </w:tc>
        <w:tc>
          <w:tcPr/>
          <w:p>
            <w:pPr>
              <w:pStyle w:val="Compact"/>
            </w:pPr>
            <w:r>
              <w:t xml:space="preserve">unseen</w:t>
            </w:r>
          </w:p>
        </w:tc>
        <w:tc>
          <w:tcPr/>
          <w:p>
            <w:pPr>
              <w:pStyle w:val="Compact"/>
            </w:pPr>
            <w:r>
              <w:t xml:space="preserve">18</w:t>
            </w:r>
          </w:p>
        </w:tc>
        <w:tc>
          <w:tcPr/>
          <w:p>
            <w:pPr>
              <w:pStyle w:val="Compact"/>
            </w:pPr>
            <w:r>
              <w:t xml:space="preserve">800</w:t>
            </w:r>
          </w:p>
        </w:tc>
        <w:tc>
          <w:tcPr/>
          <w:p>
            <w:pPr>
              <w:pStyle w:val="Compact"/>
            </w:pPr>
            <w:r>
              <w:t xml:space="preserve">30</w:t>
            </w:r>
          </w:p>
        </w:tc>
        <w:tc>
          <w:tcPr/>
          <w:p>
            <w:pPr>
              <w:pStyle w:val="Compact"/>
            </w:pPr>
            <w:r>
              <w:t xml:space="preserve">13</w:t>
            </w:r>
          </w:p>
        </w:tc>
        <w:tc>
          <w:tcPr/>
          <w:p>
            <w:pPr>
              <w:pStyle w:val="Compact"/>
            </w:pPr>
            <w:r>
              <w:t xml:space="preserve">43</w:t>
            </w:r>
          </w:p>
        </w:tc>
      </w:tr>
      <w:tr>
        <w:tc>
          <w:tcPr/>
          <w:p>
            <w:pPr>
              <w:pStyle w:val="Compact"/>
            </w:pPr>
            <w:r>
              <w:t xml:space="preserve">26</w:t>
            </w:r>
          </w:p>
        </w:tc>
        <w:tc>
          <w:tcPr/>
          <w:p>
            <w:pPr>
              <w:pStyle w:val="Compact"/>
            </w:pPr>
            <w:r>
              <w:t xml:space="preserve">LaCoO</w:t>
            </w:r>
            <w:r>
              <w:rPr>
                <w:vertAlign w:val="subscript"/>
              </w:rPr>
              <w:t xml:space="preserve">3</w:t>
            </w:r>
            <w:r>
              <w:t xml:space="preserve"> </w:t>
            </w:r>
            <w:r>
              <w:t xml:space="preserve">† (mp-1288145)</w:t>
            </w:r>
          </w:p>
        </w:tc>
        <w:tc>
          <w:tcPr/>
          <w:p>
            <w:pPr>
              <w:pStyle w:val="Compact"/>
            </w:pPr>
            <w:r>
              <w:t xml:space="preserve">seen</w:t>
            </w:r>
          </w:p>
        </w:tc>
        <w:tc>
          <w:tcPr/>
          <w:p>
            <w:pPr>
              <w:pStyle w:val="Compact"/>
            </w:pPr>
            <w:r>
              <w:t xml:space="preserve">9</w:t>
            </w:r>
          </w:p>
        </w:tc>
        <w:tc>
          <w:tcPr/>
          <w:p>
            <w:pPr>
              <w:pStyle w:val="Compact"/>
            </w:pPr>
            <w:r>
              <w:t xml:space="preserve">800</w:t>
            </w:r>
          </w:p>
        </w:tc>
        <w:tc>
          <w:tcPr/>
          <w:p>
            <w:pPr>
              <w:pStyle w:val="Compact"/>
            </w:pPr>
            <w:r>
              <w:t xml:space="preserve">24</w:t>
            </w:r>
          </w:p>
        </w:tc>
        <w:tc>
          <w:tcPr/>
          <w:p>
            <w:pPr>
              <w:pStyle w:val="Compact"/>
            </w:pPr>
            <w:r>
              <w:t xml:space="preserve">20</w:t>
            </w:r>
          </w:p>
        </w:tc>
        <w:tc>
          <w:tcPr/>
          <w:p>
            <w:pPr>
              <w:pStyle w:val="Compact"/>
            </w:pPr>
            <w:r>
              <w:t xml:space="preserve">44</w:t>
            </w:r>
          </w:p>
        </w:tc>
      </w:tr>
      <w:tr>
        <w:tc>
          <w:tcPr/>
          <w:p>
            <w:pPr>
              <w:pStyle w:val="Compact"/>
            </w:pPr>
            <w:r>
              <w:t xml:space="preserve">27</w:t>
            </w:r>
          </w:p>
        </w:tc>
        <w:tc>
          <w:tcPr/>
          <w:p>
            <w:pPr>
              <w:pStyle w:val="Compact"/>
            </w:pPr>
            <w:r>
              <w:t xml:space="preserve">MnSnO</w:t>
            </w:r>
            <w:r>
              <w:rPr>
                <w:vertAlign w:val="subscript"/>
              </w:rPr>
              <w:t xml:space="preserve">3</w:t>
            </w:r>
            <w:r>
              <w:t xml:space="preserve"> </w:t>
            </w:r>
            <w:r>
              <w:t xml:space="preserve">(mp-691106)</w:t>
            </w:r>
          </w:p>
        </w:tc>
        <w:tc>
          <w:tcPr/>
          <w:p>
            <w:pPr>
              <w:pStyle w:val="Compact"/>
            </w:pPr>
            <w:r>
              <w:t xml:space="preserve">unseen</w:t>
            </w:r>
          </w:p>
        </w:tc>
        <w:tc>
          <w:tcPr/>
          <w:p>
            <w:pPr>
              <w:pStyle w:val="Compact"/>
            </w:pPr>
            <w:r>
              <w:t xml:space="preserve">21</w:t>
            </w:r>
          </w:p>
        </w:tc>
        <w:tc>
          <w:tcPr/>
          <w:p>
            <w:pPr>
              <w:pStyle w:val="Compact"/>
            </w:pPr>
            <w:r>
              <w:t xml:space="preserve">800</w:t>
            </w:r>
          </w:p>
        </w:tc>
        <w:tc>
          <w:tcPr/>
          <w:p>
            <w:pPr>
              <w:pStyle w:val="Compact"/>
            </w:pPr>
            <w:r>
              <w:t xml:space="preserve">19</w:t>
            </w:r>
          </w:p>
        </w:tc>
        <w:tc>
          <w:tcPr/>
          <w:p>
            <w:pPr>
              <w:pStyle w:val="Compact"/>
            </w:pPr>
            <w:r>
              <w:t xml:space="preserve">26</w:t>
            </w:r>
          </w:p>
        </w:tc>
        <w:tc>
          <w:tcPr/>
          <w:p>
            <w:pPr>
              <w:pStyle w:val="Compact"/>
            </w:pPr>
            <w:r>
              <w:t xml:space="preserve">45</w:t>
            </w:r>
          </w:p>
        </w:tc>
      </w:tr>
      <w:tr>
        <w:tc>
          <w:tcPr/>
          <w:p>
            <w:pPr>
              <w:pStyle w:val="Compact"/>
            </w:pPr>
            <w:r>
              <w:t xml:space="preserve">28</w:t>
            </w:r>
          </w:p>
        </w:tc>
        <w:tc>
          <w:tcPr/>
          <w:p>
            <w:pPr>
              <w:pStyle w:val="Compact"/>
            </w:pPr>
            <w:r>
              <w:t xml:space="preserve">BaSnO</w:t>
            </w:r>
            <w:r>
              <w:rPr>
                <w:vertAlign w:val="subscript"/>
              </w:rPr>
              <w:t xml:space="preserve">3</w:t>
            </w:r>
            <w:r>
              <w:t xml:space="preserve"> </w:t>
            </w:r>
            <w:r>
              <w:t xml:space="preserve">† (mp-3163)</w:t>
            </w:r>
          </w:p>
        </w:tc>
        <w:tc>
          <w:tcPr/>
          <w:p>
            <w:pPr>
              <w:pStyle w:val="Compact"/>
            </w:pPr>
            <w:r>
              <w:t xml:space="preserve">seen</w:t>
            </w:r>
          </w:p>
        </w:tc>
        <w:tc>
          <w:tcPr/>
          <w:p>
            <w:pPr>
              <w:pStyle w:val="Compact"/>
            </w:pPr>
            <w:r>
              <w:t xml:space="preserve">3</w:t>
            </w:r>
          </w:p>
        </w:tc>
        <w:tc>
          <w:tcPr/>
          <w:p>
            <w:pPr>
              <w:pStyle w:val="Compact"/>
            </w:pPr>
            <w:r>
              <w:t xml:space="preserve">800</w:t>
            </w:r>
          </w:p>
        </w:tc>
        <w:tc>
          <w:tcPr/>
          <w:p>
            <w:pPr>
              <w:pStyle w:val="Compact"/>
            </w:pPr>
            <w:r>
              <w:t xml:space="preserve">17</w:t>
            </w:r>
          </w:p>
        </w:tc>
        <w:tc>
          <w:tcPr/>
          <w:p>
            <w:pPr>
              <w:pStyle w:val="Compact"/>
            </w:pPr>
            <w:r>
              <w:t xml:space="preserve">30</w:t>
            </w:r>
          </w:p>
        </w:tc>
        <w:tc>
          <w:tcPr/>
          <w:p>
            <w:pPr>
              <w:pStyle w:val="Compact"/>
            </w:pPr>
            <w:r>
              <w:t xml:space="preserve">47</w:t>
            </w:r>
          </w:p>
        </w:tc>
      </w:tr>
      <w:tr>
        <w:tc>
          <w:tcPr/>
          <w:p>
            <w:pPr>
              <w:pStyle w:val="Compact"/>
            </w:pPr>
            <w:r>
              <w:t xml:space="preserve">29</w:t>
            </w:r>
          </w:p>
        </w:tc>
        <w:tc>
          <w:tcPr/>
          <w:p>
            <w:pPr>
              <w:pStyle w:val="Compact"/>
            </w:pPr>
            <w:r>
              <w:t xml:space="preserve">MnVO</w:t>
            </w:r>
            <w:r>
              <w:rPr>
                <w:vertAlign w:val="subscript"/>
              </w:rPr>
              <w:t xml:space="preserve">3</w:t>
            </w:r>
            <w:r>
              <w:t xml:space="preserve"> </w:t>
            </w:r>
            <w:r>
              <w:t xml:space="preserve">(mp-1106224)</w:t>
            </w:r>
          </w:p>
        </w:tc>
        <w:tc>
          <w:tcPr/>
          <w:p>
            <w:pPr>
              <w:pStyle w:val="Compact"/>
            </w:pPr>
            <w:r>
              <w:t xml:space="preserve">unseen</w:t>
            </w:r>
          </w:p>
        </w:tc>
        <w:tc>
          <w:tcPr/>
          <w:p>
            <w:pPr>
              <w:pStyle w:val="Compact"/>
            </w:pPr>
            <w:r>
              <w:t xml:space="preserve">19</w:t>
            </w:r>
          </w:p>
        </w:tc>
        <w:tc>
          <w:tcPr/>
          <w:p>
            <w:pPr>
              <w:pStyle w:val="Compact"/>
            </w:pPr>
            <w:r>
              <w:t xml:space="preserve">800</w:t>
            </w:r>
          </w:p>
        </w:tc>
        <w:tc>
          <w:tcPr/>
          <w:p>
            <w:pPr>
              <w:pStyle w:val="Compact"/>
            </w:pPr>
            <w:r>
              <w:t xml:space="preserve">20</w:t>
            </w:r>
          </w:p>
        </w:tc>
        <w:tc>
          <w:tcPr/>
          <w:p>
            <w:pPr>
              <w:pStyle w:val="Compact"/>
            </w:pPr>
            <w:r>
              <w:t xml:space="preserve">27</w:t>
            </w:r>
          </w:p>
        </w:tc>
        <w:tc>
          <w:tcPr/>
          <w:p>
            <w:pPr>
              <w:pStyle w:val="Compact"/>
            </w:pPr>
            <w:r>
              <w:t xml:space="preserve">47</w:t>
            </w:r>
          </w:p>
        </w:tc>
      </w:tr>
      <w:tr>
        <w:tc>
          <w:tcPr/>
          <w:p>
            <w:pPr>
              <w:pStyle w:val="Compact"/>
            </w:pPr>
            <w:r>
              <w:t xml:space="preserve">30</w:t>
            </w:r>
          </w:p>
        </w:tc>
        <w:tc>
          <w:tcPr/>
          <w:p>
            <w:pPr>
              <w:pStyle w:val="Compact"/>
            </w:pPr>
            <w:r>
              <w:t xml:space="preserve">LaNiO</w:t>
            </w:r>
            <w:r>
              <w:rPr>
                <w:vertAlign w:val="subscript"/>
              </w:rPr>
              <w:t xml:space="preserve">3</w:t>
            </w:r>
            <w:r>
              <w:t xml:space="preserve"> </w:t>
            </w:r>
            <w:r>
              <w:t xml:space="preserve">(mp-1284950)</w:t>
            </w:r>
          </w:p>
        </w:tc>
        <w:tc>
          <w:tcPr/>
          <w:p>
            <w:pPr>
              <w:pStyle w:val="Compact"/>
            </w:pPr>
            <w:r>
              <w:t xml:space="preserve">seen</w:t>
            </w:r>
          </w:p>
        </w:tc>
        <w:tc>
          <w:tcPr/>
          <w:p>
            <w:pPr>
              <w:pStyle w:val="Compact"/>
            </w:pPr>
            <w:r>
              <w:t xml:space="preserve">8</w:t>
            </w:r>
          </w:p>
        </w:tc>
        <w:tc>
          <w:tcPr/>
          <w:p>
            <w:pPr>
              <w:pStyle w:val="Compact"/>
            </w:pPr>
            <w:r>
              <w:t xml:space="preserve">800</w:t>
            </w:r>
          </w:p>
        </w:tc>
        <w:tc>
          <w:tcPr/>
          <w:p>
            <w:pPr>
              <w:pStyle w:val="Compact"/>
            </w:pPr>
            <w:r>
              <w:t xml:space="preserve">29</w:t>
            </w:r>
          </w:p>
        </w:tc>
        <w:tc>
          <w:tcPr/>
          <w:p>
            <w:pPr>
              <w:pStyle w:val="Compact"/>
            </w:pPr>
            <w:r>
              <w:t xml:space="preserve">21</w:t>
            </w:r>
          </w:p>
        </w:tc>
        <w:tc>
          <w:tcPr/>
          <w:p>
            <w:pPr>
              <w:pStyle w:val="Compact"/>
            </w:pPr>
            <w:r>
              <w:t xml:space="preserve">50</w:t>
            </w:r>
          </w:p>
        </w:tc>
      </w:tr>
    </w:tbl>
    <w:bookmarkEnd w:id="52"/>
    <w:bookmarkEnd w:id="53"/>
    <w:bookmarkStart w:id="54" w:name="Xd281dce5078af3cefeafe3bdc46f7fa7cadd430"/>
    <w:p>
      <w:pPr>
        <w:pStyle w:val="Heading2"/>
      </w:pPr>
      <w:r>
        <w:t xml:space="preserve">3.4 Literature comparison with published measurements</w:t>
      </w:r>
    </w:p>
    <w:p>
      <w:pPr>
        <w:pStyle w:val="FirstParagraph"/>
      </w:pPr>
      <w:r>
        <w:t xml:space="preserve">The shortlist compounds, and the doped families around them, were compared with published measurements under the pre-registered protocol of Section 2.6, which was amended</w:t>
      </w:r>
      <w:r>
        <w:t xml:space="preserve"> </w:t>
      </w:r>
      <w:r>
        <w:t xml:space="preserve">17</w:t>
      </w:r>
      <w:r>
        <w:t xml:space="preserve"> </w:t>
      </w:r>
      <w:r>
        <w:t xml:space="preserve">times before the comparison (Supplementary Table S1). The predictions compared are the out-of-fold predictions of the chemistry-cluster cross-validation of Section 3.1.1, not those of the final models and not those of Table 9. At the exact level the prediction is the mean held-out prediction for the same composition at the same</w:t>
      </w:r>
      <w:r>
        <w:t xml:space="preserve"> </w:t>
      </w:r>
      <w:r>
        <w:t xml:space="preserve">25</w:t>
      </w:r>
      <w:r>
        <w:t xml:space="preserve"> </w:t>
      </w:r>
      <w:r>
        <w:t xml:space="preserve">K temperature bin; at the cluster level it is the mean, over all training rows of the same chemistry cluster at that bin, of the held-out predictions, so that for a doped sample it is the average of the family the sample belongs to, not a prediction for that compound. The two levels are reported separately. A value is inside the band if its absolute relative error does not exceed the relative standard uncertainty of the round-robin measurements</w:t>
      </w:r>
      <w:r>
        <w:rPr>
          <w:vertAlign w:val="superscript"/>
        </w:rPr>
        <w:t xml:space="preserve">53</w:t>
      </w:r>
      <w:r>
        <w:t xml:space="preserve"> </w:t>
      </w:r>
      <w:r>
        <w:t xml:space="preserve">(S</w:t>
      </w:r>
      <w:r>
        <w:t xml:space="preserve"> </w:t>
      </w:r>
      <w:r>
        <w:t xml:space="preserve">0.06</w:t>
      </w:r>
      <w:r>
        <w:t xml:space="preserve">,</w:t>
      </w:r>
      <w:r>
        <w:t xml:space="preserve"> </w:t>
      </w:r>
      <w:r>
        <w:rPr>
          <w:i/>
          <w:iCs/>
        </w:rPr>
        <w:t xml:space="preserve">σ</w:t>
      </w:r>
      <w:r>
        <w:t xml:space="preserve"> </w:t>
      </w:r>
      <w:r>
        <w:t xml:space="preserve">0.08</w:t>
      </w:r>
      <w:r>
        <w:t xml:space="preserve">,</w:t>
      </w:r>
      <w:r>
        <w:t xml:space="preserve"> </w:t>
      </w:r>
      <w:r>
        <w:rPr>
          <w:i/>
          <w:iCs/>
        </w:rPr>
        <w:t xml:space="preserve">κ</w:t>
      </w:r>
      <w:r>
        <w:t xml:space="preserve"> </w:t>
      </w:r>
      <w:r>
        <w:t xml:space="preserve">0.11</w:t>
      </w:r>
      <w:r>
        <w:t xml:space="preserve">, zT</w:t>
      </w:r>
      <w:r>
        <w:t xml:space="preserve"> </w:t>
      </w:r>
      <w:r>
        <w:t xml:space="preserve">0.19</w:t>
      </w:r>
      <w:r>
        <w:t xml:space="preserve">); for</w:t>
      </w:r>
      <w:r>
        <w:t xml:space="preserve"> </w:t>
      </w:r>
      <w:r>
        <w:rPr>
          <w:i/>
          <w:iCs/>
        </w:rPr>
        <w:t xml:space="preserve">σ</w:t>
      </w:r>
      <w:r>
        <w:t xml:space="preserve"> </w:t>
      </w:r>
      <w:r>
        <w:t xml:space="preserve">and</w:t>
      </w:r>
      <w:r>
        <w:t xml:space="preserve"> </w:t>
      </w:r>
      <w:r>
        <w:rPr>
          <w:i/>
          <w:iCs/>
        </w:rPr>
        <w:t xml:space="preserve">κ</w:t>
      </w:r>
      <w:r>
        <w:t xml:space="preserve">, which the models predict as log</w:t>
      </w:r>
      <w:r>
        <w:rPr>
          <w:vertAlign w:val="subscript"/>
        </w:rPr>
        <w:t xml:space="preserve">10</w:t>
      </w:r>
      <w:r>
        <w:t xml:space="preserve">, the log</w:t>
      </w:r>
      <w:r>
        <w:rPr>
          <w:vertAlign w:val="subscript"/>
        </w:rPr>
        <w:t xml:space="preserve">10</w:t>
      </w:r>
      <w:r>
        <w:t xml:space="preserve"> </w:t>
      </w:r>
      <w:r>
        <w:t xml:space="preserve">ratio is also given. Results are reported per paper, an overall summary weighs the papers equally, and training-source papers are reported separately and never pooled with the independent papers.</w:t>
      </w:r>
    </w:p>
    <w:p>
      <w:pPr>
        <w:pStyle w:val="BodyText"/>
      </w:pPr>
      <w:r>
        <w:rPr>
          <w:b/>
          <w:bCs/>
        </w:rPr>
        <w:t xml:space="preserve">What was compared.</w:t>
      </w:r>
      <w:r>
        <w:t xml:space="preserve"> </w:t>
      </w:r>
      <w:r>
        <w:t xml:space="preserve">485</w:t>
      </w:r>
      <w:r>
        <w:t xml:space="preserve"> </w:t>
      </w:r>
      <w:r>
        <w:t xml:space="preserve">literature values were read from the</w:t>
      </w:r>
      <w:r>
        <w:t xml:space="preserve"> </w:t>
      </w:r>
      <w:r>
        <w:t xml:space="preserve">7</w:t>
      </w:r>
      <w:r>
        <w:t xml:space="preserve"> </w:t>
      </w:r>
      <w:r>
        <w:t xml:space="preserve">papers; after averaging the values of one sample, property and bin,</w:t>
      </w:r>
      <w:r>
        <w:t xml:space="preserve"> </w:t>
      </w:r>
      <w:r>
        <w:t xml:space="preserve">423</w:t>
      </w:r>
      <w:r>
        <w:t xml:space="preserve"> </w:t>
      </w:r>
      <w:r>
        <w:t xml:space="preserve">remained, and</w:t>
      </w:r>
      <w:r>
        <w:t xml:space="preserve"> </w:t>
      </w:r>
      <w:r>
        <w:t xml:space="preserve">324</w:t>
      </w:r>
      <w:r>
        <w:t xml:space="preserve"> </w:t>
      </w:r>
      <w:r>
        <w:t xml:space="preserve">of these lie inside</w:t>
      </w:r>
      <w:r>
        <w:t xml:space="preserve"> </w:t>
      </w:r>
      <w:r>
        <w:t xml:space="preserve">300</w:t>
      </w:r>
      <w:r>
        <w:t xml:space="preserve"> </w:t>
      </w:r>
      <w:r>
        <w:t xml:space="preserve">K to</w:t>
      </w:r>
      <w:r>
        <w:t xml:space="preserve"> </w:t>
      </w:r>
      <w:r>
        <w:t xml:space="preserve">800</w:t>
      </w:r>
      <w:r>
        <w:t xml:space="preserve"> </w:t>
      </w:r>
      <w:r>
        <w:t xml:space="preserve">K and are compared (</w:t>
      </w:r>
      <w:r>
        <w:t xml:space="preserve">159</w:t>
      </w:r>
      <w:r>
        <w:t xml:space="preserve"> </w:t>
      </w:r>
      <w:r>
        <w:t xml:space="preserve">of the</w:t>
      </w:r>
      <w:r>
        <w:t xml:space="preserve"> </w:t>
      </w:r>
      <w:r>
        <w:t xml:space="preserve">423</w:t>
      </w:r>
      <w:r>
        <w:t xml:space="preserve"> </w:t>
      </w:r>
      <w:r>
        <w:t xml:space="preserve">values are compared at the cluster level only: those of Ohta et al. and Rajasekaran et al.). By DOI,</w:t>
      </w:r>
      <w:r>
        <w:t xml:space="preserve"> </w:t>
      </w:r>
      <w:r>
        <w:t xml:space="preserve">4</w:t>
      </w:r>
      <w:r>
        <w:t xml:space="preserve"> </w:t>
      </w:r>
      <w:r>
        <w:t xml:space="preserve">of the</w:t>
      </w:r>
      <w:r>
        <w:t xml:space="preserve"> </w:t>
      </w:r>
      <w:r>
        <w:t xml:space="preserve">7</w:t>
      </w:r>
      <w:r>
        <w:t xml:space="preserve"> </w:t>
      </w:r>
      <w:r>
        <w:t xml:space="preserve">papers are training sources (Flahaut et al., Ohta et al., Rajasekaran et al. and Shibasaki et al.) and</w:t>
      </w:r>
      <w:r>
        <w:t xml:space="preserve"> </w:t>
      </w:r>
      <w:r>
        <w:t xml:space="preserve">3</w:t>
      </w:r>
      <w:r>
        <w:t xml:space="preserve"> </w:t>
      </w:r>
      <w:r>
        <w:t xml:space="preserve">are independent (Ohtaki et al., Sebastia-Luna et al. and Singh and Pandey);</w:t>
      </w:r>
      <w:r>
        <w:t xml:space="preserve"> </w:t>
      </w:r>
      <w:r>
        <w:t xml:space="preserve">141</w:t>
      </w:r>
      <w:r>
        <w:t xml:space="preserve"> </w:t>
      </w:r>
      <w:r>
        <w:t xml:space="preserve">of the compared values are from independent papers and</w:t>
      </w:r>
      <w:r>
        <w:t xml:space="preserve"> </w:t>
      </w:r>
      <w:r>
        <w:t xml:space="preserve">183</w:t>
      </w:r>
      <w:r>
        <w:t xml:space="preserve"> </w:t>
      </w:r>
      <w:r>
        <w:t xml:space="preserve">from training-source papers, which are reported separately.</w:t>
      </w:r>
    </w:p>
    <w:p>
      <w:pPr>
        <w:pStyle w:val="BodyText"/>
      </w:pPr>
      <w:r>
        <w:rPr>
          <w:b/>
          <w:bCs/>
        </w:rPr>
        <w:t xml:space="preserve">Independent papers, exact level (the main test).</w:t>
      </w:r>
      <w:r>
        <w:t xml:space="preserve"> </w:t>
      </w:r>
      <w:r>
        <w:t xml:space="preserve">The exact level compares a literature value with the held-out prediction for the same composition at the same bin; the chemistry cluster of the composition is held out of the model that made it.</w:t>
      </w:r>
    </w:p>
    <w:p>
      <w:pPr>
        <w:pStyle w:val="Compact"/>
        <w:numPr>
          <w:ilvl w:val="0"/>
          <w:numId w:val="1001"/>
        </w:numPr>
      </w:pPr>
      <w:r>
        <w:t xml:space="preserve">S:</w:t>
      </w:r>
      <w:r>
        <w:t xml:space="preserve"> </w:t>
      </w:r>
      <w:r>
        <w:t xml:space="preserve">16</w:t>
      </w:r>
      <w:r>
        <w:t xml:space="preserve"> </w:t>
      </w:r>
      <w:r>
        <w:t xml:space="preserve">values from</w:t>
      </w:r>
      <w:r>
        <w:t xml:space="preserve"> </w:t>
      </w:r>
      <w:r>
        <w:t xml:space="preserve">3</w:t>
      </w:r>
      <w:r>
        <w:t xml:space="preserve"> </w:t>
      </w:r>
      <w:r>
        <w:t xml:space="preserve">papers,</w:t>
      </w:r>
      <w:r>
        <w:t xml:space="preserve"> </w:t>
      </w:r>
      <w:r>
        <w:t xml:space="preserve">4</w:t>
      </w:r>
      <w:r>
        <w:t xml:space="preserve"> </w:t>
      </w:r>
      <w:r>
        <w:t xml:space="preserve">inside the band (Ohtaki</w:t>
      </w:r>
      <w:r>
        <w:t xml:space="preserve"> </w:t>
      </w:r>
      <w:r>
        <w:t xml:space="preserve">3</w:t>
      </w:r>
      <w:r>
        <w:t xml:space="preserve"> </w:t>
      </w:r>
      <w:r>
        <w:t xml:space="preserve">of</w:t>
      </w:r>
      <w:r>
        <w:t xml:space="preserve"> </w:t>
      </w:r>
      <w:r>
        <w:t xml:space="preserve">10</w:t>
      </w:r>
      <w:r>
        <w:t xml:space="preserve">, Sebastia-Luna</w:t>
      </w:r>
      <w:r>
        <w:t xml:space="preserve"> </w:t>
      </w:r>
      <w:r>
        <w:t xml:space="preserve">0</w:t>
      </w:r>
      <w:r>
        <w:t xml:space="preserve"> </w:t>
      </w:r>
      <w:r>
        <w:t xml:space="preserve">of</w:t>
      </w:r>
      <w:r>
        <w:t xml:space="preserve"> </w:t>
      </w:r>
      <w:r>
        <w:t xml:space="preserve">3</w:t>
      </w:r>
      <w:r>
        <w:t xml:space="preserve">, Singh</w:t>
      </w:r>
      <w:r>
        <w:t xml:space="preserve"> </w:t>
      </w:r>
      <w:r>
        <w:t xml:space="preserve">1</w:t>
      </w:r>
      <w:r>
        <w:t xml:space="preserve"> </w:t>
      </w:r>
      <w:r>
        <w:t xml:space="preserve">of</w:t>
      </w:r>
      <w:r>
        <w:t xml:space="preserve"> </w:t>
      </w:r>
      <w:r>
        <w:t xml:space="preserve">3</w:t>
      </w:r>
      <w:r>
        <w:t xml:space="preserve">). Papers weighing equally, the mean fraction inside the band is</w:t>
      </w:r>
      <w:r>
        <w:t xml:space="preserve"> </w:t>
      </w:r>
      <w:r>
        <w:t xml:space="preserve">0.211</w:t>
      </w:r>
      <w:r>
        <w:t xml:space="preserve"> </w:t>
      </w:r>
      <w:r>
        <w:t xml:space="preserve">and the median of the papers’ median absolute relative errors is</w:t>
      </w:r>
      <w:r>
        <w:t xml:space="preserve"> </w:t>
      </w:r>
      <w:r>
        <w:t xml:space="preserve">0.145</w:t>
      </w:r>
      <w:r>
        <w:t xml:space="preserve">.</w:t>
      </w:r>
    </w:p>
    <w:p>
      <w:pPr>
        <w:pStyle w:val="Compact"/>
        <w:numPr>
          <w:ilvl w:val="0"/>
          <w:numId w:val="1001"/>
        </w:numPr>
      </w:pPr>
      <w:r>
        <w:rPr>
          <w:i/>
          <w:iCs/>
        </w:rPr>
        <w:t xml:space="preserve">σ</w:t>
      </w:r>
      <w:r>
        <w:t xml:space="preserve">:</w:t>
      </w:r>
      <w:r>
        <w:t xml:space="preserve"> </w:t>
      </w:r>
      <w:r>
        <w:t xml:space="preserve">25</w:t>
      </w:r>
      <w:r>
        <w:t xml:space="preserve"> </w:t>
      </w:r>
      <w:r>
        <w:t xml:space="preserve">values from</w:t>
      </w:r>
      <w:r>
        <w:t xml:space="preserve"> </w:t>
      </w:r>
      <w:r>
        <w:t xml:space="preserve">2</w:t>
      </w:r>
      <w:r>
        <w:t xml:space="preserve"> </w:t>
      </w:r>
      <w:r>
        <w:t xml:space="preserve">papers,</w:t>
      </w:r>
      <w:r>
        <w:t xml:space="preserve"> </w:t>
      </w:r>
      <w:r>
        <w:t xml:space="preserve">0</w:t>
      </w:r>
      <w:r>
        <w:t xml:space="preserve"> </w:t>
      </w:r>
      <w:r>
        <w:t xml:space="preserve">inside the band (Ohtaki</w:t>
      </w:r>
      <w:r>
        <w:t xml:space="preserve"> </w:t>
      </w:r>
      <w:r>
        <w:t xml:space="preserve">0</w:t>
      </w:r>
      <w:r>
        <w:t xml:space="preserve"> </w:t>
      </w:r>
      <w:r>
        <w:t xml:space="preserve">of</w:t>
      </w:r>
      <w:r>
        <w:t xml:space="preserve"> </w:t>
      </w:r>
      <w:r>
        <w:t xml:space="preserve">22</w:t>
      </w:r>
      <w:r>
        <w:t xml:space="preserve">, Sebastia-Luna</w:t>
      </w:r>
      <w:r>
        <w:t xml:space="preserve"> </w:t>
      </w:r>
      <w:r>
        <w:t xml:space="preserve">0</w:t>
      </w:r>
      <w:r>
        <w:t xml:space="preserve"> </w:t>
      </w:r>
      <w:r>
        <w:t xml:space="preserve">of</w:t>
      </w:r>
      <w:r>
        <w:t xml:space="preserve"> </w:t>
      </w:r>
      <w:r>
        <w:t xml:space="preserve">3</w:t>
      </w:r>
      <w:r>
        <w:t xml:space="preserve">). Papers weighing equally, the mean fraction inside the band is</w:t>
      </w:r>
      <w:r>
        <w:t xml:space="preserve"> </w:t>
      </w:r>
      <w:r>
        <w:t xml:space="preserve">0.000</w:t>
      </w:r>
      <w:r>
        <w:t xml:space="preserve"> </w:t>
      </w:r>
      <w:r>
        <w:t xml:space="preserve">and the median of the papers’ median absolute relative errors is</w:t>
      </w:r>
      <w:r>
        <w:t xml:space="preserve"> </w:t>
      </w:r>
      <w:r>
        <w:t xml:space="preserve">2.656</w:t>
      </w:r>
      <w:r>
        <w:t xml:space="preserve">; in log</w:t>
      </w:r>
      <w:r>
        <w:rPr>
          <w:vertAlign w:val="subscript"/>
        </w:rPr>
        <w:t xml:space="preserve">10</w:t>
      </w:r>
      <w:r>
        <w:t xml:space="preserve">, the median over papers of the median absolute ratio is</w:t>
      </w:r>
      <w:r>
        <w:t xml:space="preserve"> </w:t>
      </w:r>
      <w:r>
        <w:t xml:space="preserve">0.487</w:t>
      </w:r>
      <w:r>
        <w:t xml:space="preserve"> </w:t>
      </w:r>
      <w:r>
        <w:t xml:space="preserve">and of the signed median</w:t>
      </w:r>
      <w:r>
        <w:t xml:space="preserve"> </w:t>
      </w:r>
      <w:r>
        <w:t xml:space="preserve">+0.291</w:t>
      </w:r>
      <w:r>
        <w:t xml:space="preserve"> </w:t>
      </w:r>
      <w:r>
        <w:t xml:space="preserve">(prediction minus literature).</w:t>
      </w:r>
    </w:p>
    <w:p>
      <w:pPr>
        <w:pStyle w:val="Compact"/>
        <w:numPr>
          <w:ilvl w:val="0"/>
          <w:numId w:val="1001"/>
        </w:numPr>
      </w:pPr>
      <w:r>
        <w:rPr>
          <w:i/>
          <w:iCs/>
        </w:rPr>
        <w:t xml:space="preserve">κ</w:t>
      </w:r>
      <w:r>
        <w:t xml:space="preserve">:</w:t>
      </w:r>
      <w:r>
        <w:t xml:space="preserve"> </w:t>
      </w:r>
      <w:r>
        <w:t xml:space="preserve">5</w:t>
      </w:r>
      <w:r>
        <w:t xml:space="preserve"> </w:t>
      </w:r>
      <w:r>
        <w:t xml:space="preserve">values from</w:t>
      </w:r>
      <w:r>
        <w:t xml:space="preserve"> </w:t>
      </w:r>
      <w:r>
        <w:t xml:space="preserve">2</w:t>
      </w:r>
      <w:r>
        <w:t xml:space="preserve"> </w:t>
      </w:r>
      <w:r>
        <w:t xml:space="preserve">papers,</w:t>
      </w:r>
      <w:r>
        <w:t xml:space="preserve"> </w:t>
      </w:r>
      <w:r>
        <w:t xml:space="preserve">0</w:t>
      </w:r>
      <w:r>
        <w:t xml:space="preserve"> </w:t>
      </w:r>
      <w:r>
        <w:t xml:space="preserve">inside the band (Ohtaki</w:t>
      </w:r>
      <w:r>
        <w:t xml:space="preserve"> </w:t>
      </w:r>
      <w:r>
        <w:t xml:space="preserve">0</w:t>
      </w:r>
      <w:r>
        <w:t xml:space="preserve"> </w:t>
      </w:r>
      <w:r>
        <w:t xml:space="preserve">of</w:t>
      </w:r>
      <w:r>
        <w:t xml:space="preserve"> </w:t>
      </w:r>
      <w:r>
        <w:t xml:space="preserve">2</w:t>
      </w:r>
      <w:r>
        <w:t xml:space="preserve">, Sebastia-Luna</w:t>
      </w:r>
      <w:r>
        <w:t xml:space="preserve"> </w:t>
      </w:r>
      <w:r>
        <w:t xml:space="preserve">0</w:t>
      </w:r>
      <w:r>
        <w:t xml:space="preserve"> </w:t>
      </w:r>
      <w:r>
        <w:t xml:space="preserve">of</w:t>
      </w:r>
      <w:r>
        <w:t xml:space="preserve"> </w:t>
      </w:r>
      <w:r>
        <w:t xml:space="preserve">3</w:t>
      </w:r>
      <w:r>
        <w:t xml:space="preserve">). Papers weighing equally, the mean fraction inside the band is</w:t>
      </w:r>
      <w:r>
        <w:t xml:space="preserve"> </w:t>
      </w:r>
      <w:r>
        <w:t xml:space="preserve">0.000</w:t>
      </w:r>
      <w:r>
        <w:t xml:space="preserve"> </w:t>
      </w:r>
      <w:r>
        <w:t xml:space="preserve">and the median of the papers’ median absolute relative errors is</w:t>
      </w:r>
      <w:r>
        <w:t xml:space="preserve"> </w:t>
      </w:r>
      <w:r>
        <w:t xml:space="preserve">0.261</w:t>
      </w:r>
      <w:r>
        <w:t xml:space="preserve">; in log</w:t>
      </w:r>
      <w:r>
        <w:rPr>
          <w:vertAlign w:val="subscript"/>
        </w:rPr>
        <w:t xml:space="preserve">10</w:t>
      </w:r>
      <w:r>
        <w:t xml:space="preserve">, the median over papers of the median absolute ratio is</w:t>
      </w:r>
      <w:r>
        <w:t xml:space="preserve"> </w:t>
      </w:r>
      <w:r>
        <w:t xml:space="preserve">0.128</w:t>
      </w:r>
      <w:r>
        <w:t xml:space="preserve"> </w:t>
      </w:r>
      <w:r>
        <w:t xml:space="preserve">and of the signed median</w:t>
      </w:r>
      <w:r>
        <w:t xml:space="preserve"> </w:t>
      </w:r>
      <w:r>
        <w:t xml:space="preserve">−0.067</w:t>
      </w:r>
      <w:r>
        <w:t xml:space="preserve"> </w:t>
      </w:r>
      <w:r>
        <w:t xml:space="preserve">(prediction minus literature).</w:t>
      </w:r>
    </w:p>
    <w:p>
      <w:pPr>
        <w:pStyle w:val="Compact"/>
        <w:numPr>
          <w:ilvl w:val="0"/>
          <w:numId w:val="1001"/>
        </w:numPr>
      </w:pPr>
      <w:r>
        <w:t xml:space="preserve">zT:</w:t>
      </w:r>
      <w:r>
        <w:t xml:space="preserve"> </w:t>
      </w:r>
      <w:r>
        <w:t xml:space="preserve">6</w:t>
      </w:r>
      <w:r>
        <w:t xml:space="preserve"> </w:t>
      </w:r>
      <w:r>
        <w:t xml:space="preserve">values from</w:t>
      </w:r>
      <w:r>
        <w:t xml:space="preserve"> </w:t>
      </w:r>
      <w:r>
        <w:t xml:space="preserve">2</w:t>
      </w:r>
      <w:r>
        <w:t xml:space="preserve"> </w:t>
      </w:r>
      <w:r>
        <w:t xml:space="preserve">papers,</w:t>
      </w:r>
      <w:r>
        <w:t xml:space="preserve"> </w:t>
      </w:r>
      <w:r>
        <w:t xml:space="preserve">0</w:t>
      </w:r>
      <w:r>
        <w:t xml:space="preserve"> </w:t>
      </w:r>
      <w:r>
        <w:t xml:space="preserve">inside the band (Ohtaki</w:t>
      </w:r>
      <w:r>
        <w:t xml:space="preserve"> </w:t>
      </w:r>
      <w:r>
        <w:t xml:space="preserve">0</w:t>
      </w:r>
      <w:r>
        <w:t xml:space="preserve"> </w:t>
      </w:r>
      <w:r>
        <w:t xml:space="preserve">of</w:t>
      </w:r>
      <w:r>
        <w:t xml:space="preserve"> </w:t>
      </w:r>
      <w:r>
        <w:t xml:space="preserve">3</w:t>
      </w:r>
      <w:r>
        <w:t xml:space="preserve">, Sebastia-Luna</w:t>
      </w:r>
      <w:r>
        <w:t xml:space="preserve"> </w:t>
      </w:r>
      <w:r>
        <w:t xml:space="preserve">0</w:t>
      </w:r>
      <w:r>
        <w:t xml:space="preserve"> </w:t>
      </w:r>
      <w:r>
        <w:t xml:space="preserve">of</w:t>
      </w:r>
      <w:r>
        <w:t xml:space="preserve"> </w:t>
      </w:r>
      <w:r>
        <w:t xml:space="preserve">3</w:t>
      </w:r>
      <w:r>
        <w:t xml:space="preserve">). Papers weighing equally, the mean fraction inside the band is</w:t>
      </w:r>
      <w:r>
        <w:t xml:space="preserve"> </w:t>
      </w:r>
      <w:r>
        <w:t xml:space="preserve">0.000</w:t>
      </w:r>
      <w:r>
        <w:t xml:space="preserve"> </w:t>
      </w:r>
      <w:r>
        <w:t xml:space="preserve">and the median of the papers’ median absolute relative errors is</w:t>
      </w:r>
      <w:r>
        <w:t xml:space="preserve"> </w:t>
      </w:r>
      <w:r>
        <w:t xml:space="preserve">3.166</w:t>
      </w:r>
      <w:r>
        <w:t xml:space="preserve">.</w:t>
      </w:r>
    </w:p>
    <w:p>
      <w:pPr>
        <w:pStyle w:val="FirstParagraph"/>
      </w:pPr>
      <w:r>
        <w:t xml:space="preserve">Supplementary Table S6 gives every paper (Supplementary Note S10).</w:t>
      </w:r>
    </w:p>
    <w:p>
      <w:pPr>
        <w:pStyle w:val="BodyText"/>
      </w:pPr>
      <w:r>
        <w:rPr>
          <w:b/>
          <w:bCs/>
        </w:rPr>
        <w:t xml:space="preserve">Independent papers, cluster level (a family-average comparison).</w:t>
      </w:r>
      <w:r>
        <w:t xml:space="preserve"> </w:t>
      </w:r>
      <w:r>
        <w:t xml:space="preserve">At the cluster level the prediction is the average, over the training rows of the sample’s chemistry cluster at that bin, of the held-out predictions. It is compared with the literature value of one sample, so it asks how far the family average is from that sample, not how well the model predicts the compound. It is reported separately from the exact level.</w:t>
      </w:r>
    </w:p>
    <w:p>
      <w:pPr>
        <w:pStyle w:val="Compact"/>
        <w:numPr>
          <w:ilvl w:val="0"/>
          <w:numId w:val="1002"/>
        </w:numPr>
      </w:pPr>
      <w:r>
        <w:t xml:space="preserve">S:</w:t>
      </w:r>
      <w:r>
        <w:t xml:space="preserve"> </w:t>
      </w:r>
      <w:r>
        <w:t xml:space="preserve">56</w:t>
      </w:r>
      <w:r>
        <w:t xml:space="preserve"> </w:t>
      </w:r>
      <w:r>
        <w:t xml:space="preserve">values from</w:t>
      </w:r>
      <w:r>
        <w:t xml:space="preserve"> </w:t>
      </w:r>
      <w:r>
        <w:t xml:space="preserve">3</w:t>
      </w:r>
      <w:r>
        <w:t xml:space="preserve"> </w:t>
      </w:r>
      <w:r>
        <w:t xml:space="preserve">papers,</w:t>
      </w:r>
      <w:r>
        <w:t xml:space="preserve"> </w:t>
      </w:r>
      <w:r>
        <w:t xml:space="preserve">0</w:t>
      </w:r>
      <w:r>
        <w:t xml:space="preserve"> </w:t>
      </w:r>
      <w:r>
        <w:t xml:space="preserve">inside the band (Ohtaki</w:t>
      </w:r>
      <w:r>
        <w:t xml:space="preserve"> </w:t>
      </w:r>
      <w:r>
        <w:t xml:space="preserve">0</w:t>
      </w:r>
      <w:r>
        <w:t xml:space="preserve"> </w:t>
      </w:r>
      <w:r>
        <w:t xml:space="preserve">of</w:t>
      </w:r>
      <w:r>
        <w:t xml:space="preserve"> </w:t>
      </w:r>
      <w:r>
        <w:t xml:space="preserve">40</w:t>
      </w:r>
      <w:r>
        <w:t xml:space="preserve">, Sebastia-Luna</w:t>
      </w:r>
      <w:r>
        <w:t xml:space="preserve"> </w:t>
      </w:r>
      <w:r>
        <w:t xml:space="preserve">0</w:t>
      </w:r>
      <w:r>
        <w:t xml:space="preserve"> </w:t>
      </w:r>
      <w:r>
        <w:t xml:space="preserve">of</w:t>
      </w:r>
      <w:r>
        <w:t xml:space="preserve"> </w:t>
      </w:r>
      <w:r>
        <w:t xml:space="preserve">3</w:t>
      </w:r>
      <w:r>
        <w:t xml:space="preserve">, Singh</w:t>
      </w:r>
      <w:r>
        <w:t xml:space="preserve"> </w:t>
      </w:r>
      <w:r>
        <w:t xml:space="preserve">0</w:t>
      </w:r>
      <w:r>
        <w:t xml:space="preserve"> </w:t>
      </w:r>
      <w:r>
        <w:t xml:space="preserve">of</w:t>
      </w:r>
      <w:r>
        <w:t xml:space="preserve"> </w:t>
      </w:r>
      <w:r>
        <w:t xml:space="preserve">13</w:t>
      </w:r>
      <w:r>
        <w:t xml:space="preserve">). Papers weighing equally, the mean fraction inside the band is</w:t>
      </w:r>
      <w:r>
        <w:t xml:space="preserve"> </w:t>
      </w:r>
      <w:r>
        <w:t xml:space="preserve">0.000</w:t>
      </w:r>
      <w:r>
        <w:t xml:space="preserve"> </w:t>
      </w:r>
      <w:r>
        <w:t xml:space="preserve">and the median of the papers’ median absolute relative errors is</w:t>
      </w:r>
      <w:r>
        <w:t xml:space="preserve"> </w:t>
      </w:r>
      <w:r>
        <w:t xml:space="preserve">0.504</w:t>
      </w:r>
      <w:r>
        <w:t xml:space="preserve">.</w:t>
      </w:r>
    </w:p>
    <w:p>
      <w:pPr>
        <w:pStyle w:val="Compact"/>
        <w:numPr>
          <w:ilvl w:val="0"/>
          <w:numId w:val="1002"/>
        </w:numPr>
      </w:pPr>
      <w:r>
        <w:rPr>
          <w:i/>
          <w:iCs/>
        </w:rPr>
        <w:t xml:space="preserve">σ</w:t>
      </w:r>
      <w:r>
        <w:t xml:space="preserve">:</w:t>
      </w:r>
      <w:r>
        <w:t xml:space="preserve"> </w:t>
      </w:r>
      <w:r>
        <w:t xml:space="preserve">69</w:t>
      </w:r>
      <w:r>
        <w:t xml:space="preserve"> </w:t>
      </w:r>
      <w:r>
        <w:t xml:space="preserve">values from</w:t>
      </w:r>
      <w:r>
        <w:t xml:space="preserve"> </w:t>
      </w:r>
      <w:r>
        <w:t xml:space="preserve">2</w:t>
      </w:r>
      <w:r>
        <w:t xml:space="preserve"> </w:t>
      </w:r>
      <w:r>
        <w:t xml:space="preserve">papers,</w:t>
      </w:r>
      <w:r>
        <w:t xml:space="preserve"> </w:t>
      </w:r>
      <w:r>
        <w:t xml:space="preserve">7</w:t>
      </w:r>
      <w:r>
        <w:t xml:space="preserve"> </w:t>
      </w:r>
      <w:r>
        <w:t xml:space="preserve">inside the band (Ohtaki</w:t>
      </w:r>
      <w:r>
        <w:t xml:space="preserve"> </w:t>
      </w:r>
      <w:r>
        <w:t xml:space="preserve">7</w:t>
      </w:r>
      <w:r>
        <w:t xml:space="preserve"> </w:t>
      </w:r>
      <w:r>
        <w:t xml:space="preserve">of</w:t>
      </w:r>
      <w:r>
        <w:t xml:space="preserve"> </w:t>
      </w:r>
      <w:r>
        <w:t xml:space="preserve">66</w:t>
      </w:r>
      <w:r>
        <w:t xml:space="preserve">, Sebastia-Luna</w:t>
      </w:r>
      <w:r>
        <w:t xml:space="preserve"> </w:t>
      </w:r>
      <w:r>
        <w:t xml:space="preserve">0</w:t>
      </w:r>
      <w:r>
        <w:t xml:space="preserve"> </w:t>
      </w:r>
      <w:r>
        <w:t xml:space="preserve">of</w:t>
      </w:r>
      <w:r>
        <w:t xml:space="preserve"> </w:t>
      </w:r>
      <w:r>
        <w:t xml:space="preserve">3</w:t>
      </w:r>
      <w:r>
        <w:t xml:space="preserve">). Papers weighing equally, the mean fraction inside the band is</w:t>
      </w:r>
      <w:r>
        <w:t xml:space="preserve"> </w:t>
      </w:r>
      <w:r>
        <w:t xml:space="preserve">0.053</w:t>
      </w:r>
      <w:r>
        <w:t xml:space="preserve"> </w:t>
      </w:r>
      <w:r>
        <w:t xml:space="preserve">and the median of the papers’ median absolute relative errors is</w:t>
      </w:r>
      <w:r>
        <w:t xml:space="preserve"> </w:t>
      </w:r>
      <w:r>
        <w:t xml:space="preserve">5.668</w:t>
      </w:r>
      <w:r>
        <w:t xml:space="preserve">; in log</w:t>
      </w:r>
      <w:r>
        <w:rPr>
          <w:vertAlign w:val="subscript"/>
        </w:rPr>
        <w:t xml:space="preserve">10</w:t>
      </w:r>
      <w:r>
        <w:t xml:space="preserve">, the median over papers of the median absolute ratio is</w:t>
      </w:r>
      <w:r>
        <w:t xml:space="preserve"> </w:t>
      </w:r>
      <w:r>
        <w:t xml:space="preserve">0.822</w:t>
      </w:r>
      <w:r>
        <w:t xml:space="preserve"> </w:t>
      </w:r>
      <w:r>
        <w:t xml:space="preserve">and of the signed median</w:t>
      </w:r>
      <w:r>
        <w:t xml:space="preserve"> </w:t>
      </w:r>
      <w:r>
        <w:t xml:space="preserve">+0.822</w:t>
      </w:r>
      <w:r>
        <w:t xml:space="preserve"> </w:t>
      </w:r>
      <w:r>
        <w:t xml:space="preserve">(prediction minus literature).</w:t>
      </w:r>
    </w:p>
    <w:p>
      <w:pPr>
        <w:pStyle w:val="Compact"/>
        <w:numPr>
          <w:ilvl w:val="0"/>
          <w:numId w:val="1002"/>
        </w:numPr>
      </w:pPr>
      <w:r>
        <w:rPr>
          <w:i/>
          <w:iCs/>
        </w:rPr>
        <w:t xml:space="preserve">κ</w:t>
      </w:r>
      <w:r>
        <w:t xml:space="preserve">:</w:t>
      </w:r>
      <w:r>
        <w:t xml:space="preserve"> </w:t>
      </w:r>
      <w:r>
        <w:t xml:space="preserve">8</w:t>
      </w:r>
      <w:r>
        <w:t xml:space="preserve"> </w:t>
      </w:r>
      <w:r>
        <w:t xml:space="preserve">values from</w:t>
      </w:r>
      <w:r>
        <w:t xml:space="preserve"> </w:t>
      </w:r>
      <w:r>
        <w:t xml:space="preserve">2</w:t>
      </w:r>
      <w:r>
        <w:t xml:space="preserve"> </w:t>
      </w:r>
      <w:r>
        <w:t xml:space="preserve">papers,</w:t>
      </w:r>
      <w:r>
        <w:t xml:space="preserve"> </w:t>
      </w:r>
      <w:r>
        <w:t xml:space="preserve">1</w:t>
      </w:r>
      <w:r>
        <w:t xml:space="preserve"> </w:t>
      </w:r>
      <w:r>
        <w:t xml:space="preserve">inside the band (Ohtaki</w:t>
      </w:r>
      <w:r>
        <w:t xml:space="preserve"> </w:t>
      </w:r>
      <w:r>
        <w:t xml:space="preserve">1</w:t>
      </w:r>
      <w:r>
        <w:t xml:space="preserve"> </w:t>
      </w:r>
      <w:r>
        <w:t xml:space="preserve">of</w:t>
      </w:r>
      <w:r>
        <w:t xml:space="preserve"> </w:t>
      </w:r>
      <w:r>
        <w:t xml:space="preserve">5</w:t>
      </w:r>
      <w:r>
        <w:t xml:space="preserve">, Sebastia-Luna</w:t>
      </w:r>
      <w:r>
        <w:t xml:space="preserve"> </w:t>
      </w:r>
      <w:r>
        <w:t xml:space="preserve">0</w:t>
      </w:r>
      <w:r>
        <w:t xml:space="preserve"> </w:t>
      </w:r>
      <w:r>
        <w:t xml:space="preserve">of</w:t>
      </w:r>
      <w:r>
        <w:t xml:space="preserve"> </w:t>
      </w:r>
      <w:r>
        <w:t xml:space="preserve">3</w:t>
      </w:r>
      <w:r>
        <w:t xml:space="preserve">). Papers weighing equally, the mean fraction inside the band is</w:t>
      </w:r>
      <w:r>
        <w:t xml:space="preserve"> </w:t>
      </w:r>
      <w:r>
        <w:t xml:space="preserve">0.100</w:t>
      </w:r>
      <w:r>
        <w:t xml:space="preserve"> </w:t>
      </w:r>
      <w:r>
        <w:t xml:space="preserve">and the median of the papers’ median absolute relative errors is</w:t>
      </w:r>
      <w:r>
        <w:t xml:space="preserve"> </w:t>
      </w:r>
      <w:r>
        <w:t xml:space="preserve">0.193</w:t>
      </w:r>
      <w:r>
        <w:t xml:space="preserve">; in log</w:t>
      </w:r>
      <w:r>
        <w:rPr>
          <w:vertAlign w:val="subscript"/>
        </w:rPr>
        <w:t xml:space="preserve">10</w:t>
      </w:r>
      <w:r>
        <w:t xml:space="preserve">, the median over papers of the median absolute ratio is</w:t>
      </w:r>
      <w:r>
        <w:t xml:space="preserve"> </w:t>
      </w:r>
      <w:r>
        <w:t xml:space="preserve">0.089</w:t>
      </w:r>
      <w:r>
        <w:t xml:space="preserve"> </w:t>
      </w:r>
      <w:r>
        <w:t xml:space="preserve">and of the signed median</w:t>
      </w:r>
      <w:r>
        <w:t xml:space="preserve"> </w:t>
      </w:r>
      <w:r>
        <w:t xml:space="preserve">−0.035</w:t>
      </w:r>
      <w:r>
        <w:t xml:space="preserve"> </w:t>
      </w:r>
      <w:r>
        <w:t xml:space="preserve">(prediction minus literature).</w:t>
      </w:r>
    </w:p>
    <w:p>
      <w:pPr>
        <w:pStyle w:val="Compact"/>
        <w:numPr>
          <w:ilvl w:val="0"/>
          <w:numId w:val="1002"/>
        </w:numPr>
      </w:pPr>
      <w:r>
        <w:t xml:space="preserve">zT:</w:t>
      </w:r>
      <w:r>
        <w:t xml:space="preserve"> </w:t>
      </w:r>
      <w:r>
        <w:t xml:space="preserve">8</w:t>
      </w:r>
      <w:r>
        <w:t xml:space="preserve"> </w:t>
      </w:r>
      <w:r>
        <w:t xml:space="preserve">values from</w:t>
      </w:r>
      <w:r>
        <w:t xml:space="preserve"> </w:t>
      </w:r>
      <w:r>
        <w:t xml:space="preserve">2</w:t>
      </w:r>
      <w:r>
        <w:t xml:space="preserve"> </w:t>
      </w:r>
      <w:r>
        <w:t xml:space="preserve">papers,</w:t>
      </w:r>
      <w:r>
        <w:t xml:space="preserve"> </w:t>
      </w:r>
      <w:r>
        <w:t xml:space="preserve">0</w:t>
      </w:r>
      <w:r>
        <w:t xml:space="preserve"> </w:t>
      </w:r>
      <w:r>
        <w:t xml:space="preserve">inside the band (Ohtaki</w:t>
      </w:r>
      <w:r>
        <w:t xml:space="preserve"> </w:t>
      </w:r>
      <w:r>
        <w:t xml:space="preserve">0</w:t>
      </w:r>
      <w:r>
        <w:t xml:space="preserve"> </w:t>
      </w:r>
      <w:r>
        <w:t xml:space="preserve">of</w:t>
      </w:r>
      <w:r>
        <w:t xml:space="preserve"> </w:t>
      </w:r>
      <w:r>
        <w:t xml:space="preserve">5</w:t>
      </w:r>
      <w:r>
        <w:t xml:space="preserve">, Sebastia-Luna</w:t>
      </w:r>
      <w:r>
        <w:t xml:space="preserve"> </w:t>
      </w:r>
      <w:r>
        <w:t xml:space="preserve">0</w:t>
      </w:r>
      <w:r>
        <w:t xml:space="preserve"> </w:t>
      </w:r>
      <w:r>
        <w:t xml:space="preserve">of</w:t>
      </w:r>
      <w:r>
        <w:t xml:space="preserve"> </w:t>
      </w:r>
      <w:r>
        <w:t xml:space="preserve">3</w:t>
      </w:r>
      <w:r>
        <w:t xml:space="preserve">). Papers weighing equally, the mean fraction inside the band is</w:t>
      </w:r>
      <w:r>
        <w:t xml:space="preserve"> </w:t>
      </w:r>
      <w:r>
        <w:t xml:space="preserve">0.000</w:t>
      </w:r>
      <w:r>
        <w:t xml:space="preserve"> </w:t>
      </w:r>
      <w:r>
        <w:t xml:space="preserve">and the median of the papers’ median absolute relative errors is</w:t>
      </w:r>
      <w:r>
        <w:t xml:space="preserve"> </w:t>
      </w:r>
      <w:r>
        <w:t xml:space="preserve">2.701</w:t>
      </w:r>
      <w:r>
        <w:t xml:space="preserve">.</w:t>
      </w:r>
    </w:p>
    <w:p>
      <w:pPr>
        <w:pStyle w:val="FirstParagraph"/>
      </w:pPr>
      <w:r>
        <w:rPr>
          <w:b/>
          <w:bCs/>
        </w:rPr>
        <w:t xml:space="preserve">Training-source papers (reported separately, never pooled with the independent papers).</w:t>
      </w:r>
      <w:r>
        <w:t xml:space="preserve"> </w:t>
      </w:r>
      <w:r>
        <w:t xml:space="preserve">A paper whose DOI is among the DOIs of the training data is a training source, and for it the comparison partly restates the cross-validation error. The rows of the training table with each paper’s DOI are: Flahaut et al.</w:t>
      </w:r>
      <w:r>
        <w:rPr>
          <w:vertAlign w:val="superscript"/>
        </w:rPr>
        <w:t xml:space="preserve">11</w:t>
      </w:r>
      <w:r>
        <w:t xml:space="preserve">:</w:t>
      </w:r>
      <w:r>
        <w:t xml:space="preserve"> </w:t>
      </w:r>
      <w:r>
        <w:t xml:space="preserve">102</w:t>
      </w:r>
      <w:r>
        <w:t xml:space="preserve"> </w:t>
      </w:r>
      <w:r>
        <w:t xml:space="preserve">rows (</w:t>
      </w:r>
      <w:r>
        <w:t xml:space="preserve">6</w:t>
      </w:r>
      <w:r>
        <w:t xml:space="preserve"> </w:t>
      </w:r>
      <w:r>
        <w:t xml:space="preserve">compositions;</w:t>
      </w:r>
      <w:r>
        <w:t xml:space="preserve"> </w:t>
      </w:r>
      <w:r>
        <w:t xml:space="preserve">0</w:t>
      </w:r>
      <w:r>
        <w:t xml:space="preserve"> </w:t>
      </w:r>
      <w:r>
        <w:t xml:space="preserve">of its</w:t>
      </w:r>
      <w:r>
        <w:t xml:space="preserve"> </w:t>
      </w:r>
      <w:r>
        <w:t xml:space="preserve">75</w:t>
      </w:r>
      <w:r>
        <w:t xml:space="preserve"> </w:t>
      </w:r>
      <w:r>
        <w:t xml:space="preserve">values have a training row of the same DOI and composition); Ohta et al.</w:t>
      </w:r>
      <w:r>
        <w:rPr>
          <w:vertAlign w:val="superscript"/>
        </w:rPr>
        <w:t xml:space="preserve">51</w:t>
      </w:r>
      <w:r>
        <w:t xml:space="preserve">:</w:t>
      </w:r>
      <w:r>
        <w:t xml:space="preserve"> </w:t>
      </w:r>
      <w:r>
        <w:t xml:space="preserve">3</w:t>
      </w:r>
      <w:r>
        <w:t xml:space="preserve"> </w:t>
      </w:r>
      <w:r>
        <w:t xml:space="preserve">rows (</w:t>
      </w:r>
      <w:r>
        <w:t xml:space="preserve">1</w:t>
      </w:r>
      <w:r>
        <w:t xml:space="preserve"> </w:t>
      </w:r>
      <w:r>
        <w:t xml:space="preserve">composition;</w:t>
      </w:r>
      <w:r>
        <w:t xml:space="preserve"> </w:t>
      </w:r>
      <w:r>
        <w:t xml:space="preserve">0</w:t>
      </w:r>
      <w:r>
        <w:t xml:space="preserve"> </w:t>
      </w:r>
      <w:r>
        <w:t xml:space="preserve">of its</w:t>
      </w:r>
      <w:r>
        <w:t xml:space="preserve"> </w:t>
      </w:r>
      <w:r>
        <w:t xml:space="preserve">137</w:t>
      </w:r>
      <w:r>
        <w:t xml:space="preserve"> </w:t>
      </w:r>
      <w:r>
        <w:t xml:space="preserve">values have a training row of the same DOI and composition); Rajasekaran et al.</w:t>
      </w:r>
      <w:r>
        <w:rPr>
          <w:vertAlign w:val="superscript"/>
        </w:rPr>
        <w:t xml:space="preserve">50</w:t>
      </w:r>
      <w:r>
        <w:t xml:space="preserve">:</w:t>
      </w:r>
      <w:r>
        <w:t xml:space="preserve"> </w:t>
      </w:r>
      <w:r>
        <w:t xml:space="preserve">2</w:t>
      </w:r>
      <w:r>
        <w:t xml:space="preserve"> </w:t>
      </w:r>
      <w:r>
        <w:t xml:space="preserve">rows (</w:t>
      </w:r>
      <w:r>
        <w:t xml:space="preserve">2</w:t>
      </w:r>
      <w:r>
        <w:t xml:space="preserve"> </w:t>
      </w:r>
      <w:r>
        <w:t xml:space="preserve">compositions;</w:t>
      </w:r>
      <w:r>
        <w:t xml:space="preserve"> </w:t>
      </w:r>
      <w:r>
        <w:t xml:space="preserve">0</w:t>
      </w:r>
      <w:r>
        <w:t xml:space="preserve"> </w:t>
      </w:r>
      <w:r>
        <w:t xml:space="preserve">of its</w:t>
      </w:r>
      <w:r>
        <w:t xml:space="preserve"> </w:t>
      </w:r>
      <w:r>
        <w:t xml:space="preserve">22</w:t>
      </w:r>
      <w:r>
        <w:t xml:space="preserve"> </w:t>
      </w:r>
      <w:r>
        <w:t xml:space="preserve">values have a training row of the same DOI and composition); Shibasaki et al.</w:t>
      </w:r>
      <w:r>
        <w:rPr>
          <w:vertAlign w:val="superscript"/>
        </w:rPr>
        <w:t xml:space="preserve">49</w:t>
      </w:r>
      <w:r>
        <w:t xml:space="preserve">:</w:t>
      </w:r>
      <w:r>
        <w:t xml:space="preserve"> </w:t>
      </w:r>
      <w:r>
        <w:t xml:space="preserve">2</w:t>
      </w:r>
      <w:r>
        <w:t xml:space="preserve"> </w:t>
      </w:r>
      <w:r>
        <w:t xml:space="preserve">rows (</w:t>
      </w:r>
      <w:r>
        <w:t xml:space="preserve">2</w:t>
      </w:r>
      <w:r>
        <w:t xml:space="preserve"> </w:t>
      </w:r>
      <w:r>
        <w:t xml:space="preserve">compositions;</w:t>
      </w:r>
      <w:r>
        <w:t xml:space="preserve"> </w:t>
      </w:r>
      <w:r>
        <w:t xml:space="preserve">4</w:t>
      </w:r>
      <w:r>
        <w:t xml:space="preserve"> </w:t>
      </w:r>
      <w:r>
        <w:t xml:space="preserve">of its</w:t>
      </w:r>
      <w:r>
        <w:t xml:space="preserve"> </w:t>
      </w:r>
      <w:r>
        <w:t xml:space="preserve">26</w:t>
      </w:r>
      <w:r>
        <w:t xml:space="preserve"> </w:t>
      </w:r>
      <w:r>
        <w:t xml:space="preserve">values have a training row of the same DOI and composition). Their results per paper are in Supplementary Table S6 (part B). Comparisons by level: Flahaut et al. comparisons at the exact level</w:t>
      </w:r>
      <w:r>
        <w:t xml:space="preserve"> </w:t>
      </w:r>
      <w:r>
        <w:t xml:space="preserve">4</w:t>
      </w:r>
      <w:r>
        <w:t xml:space="preserve">, at the cluster level</w:t>
      </w:r>
      <w:r>
        <w:t xml:space="preserve"> </w:t>
      </w:r>
      <w:r>
        <w:t xml:space="preserve">46</w:t>
      </w:r>
      <w:r>
        <w:t xml:space="preserve">, of</w:t>
      </w:r>
      <w:r>
        <w:t xml:space="preserve"> </w:t>
      </w:r>
      <w:r>
        <w:t xml:space="preserve">55</w:t>
      </w:r>
      <w:r>
        <w:t xml:space="preserve"> </w:t>
      </w:r>
      <w:r>
        <w:t xml:space="preserve">values inside the window; Ohta et al. comparisons at the exact level</w:t>
      </w:r>
      <w:r>
        <w:t xml:space="preserve"> </w:t>
      </w:r>
      <w:r>
        <w:t xml:space="preserve">0</w:t>
      </w:r>
      <w:r>
        <w:t xml:space="preserve">, at the cluster level</w:t>
      </w:r>
      <w:r>
        <w:t xml:space="preserve"> </w:t>
      </w:r>
      <w:r>
        <w:t xml:space="preserve">104</w:t>
      </w:r>
      <w:r>
        <w:t xml:space="preserve">, of</w:t>
      </w:r>
      <w:r>
        <w:t xml:space="preserve"> </w:t>
      </w:r>
      <w:r>
        <w:t xml:space="preserve">104</w:t>
      </w:r>
      <w:r>
        <w:t xml:space="preserve"> </w:t>
      </w:r>
      <w:r>
        <w:t xml:space="preserve">values inside the window; Rajasekaran et al. comparisons at the exact level</w:t>
      </w:r>
      <w:r>
        <w:t xml:space="preserve"> </w:t>
      </w:r>
      <w:r>
        <w:t xml:space="preserve">0</w:t>
      </w:r>
      <w:r>
        <w:t xml:space="preserve">, at the cluster level</w:t>
      </w:r>
      <w:r>
        <w:t xml:space="preserve"> </w:t>
      </w:r>
      <w:r>
        <w:t xml:space="preserve">7</w:t>
      </w:r>
      <w:r>
        <w:t xml:space="preserve">, of</w:t>
      </w:r>
      <w:r>
        <w:t xml:space="preserve"> </w:t>
      </w:r>
      <w:r>
        <w:t xml:space="preserve">22</w:t>
      </w:r>
      <w:r>
        <w:t xml:space="preserve"> </w:t>
      </w:r>
      <w:r>
        <w:t xml:space="preserve">values inside the window; Shibasaki et al. comparisons at the exact level</w:t>
      </w:r>
      <w:r>
        <w:t xml:space="preserve"> </w:t>
      </w:r>
      <w:r>
        <w:t xml:space="preserve">1</w:t>
      </w:r>
      <w:r>
        <w:t xml:space="preserve">, at the cluster level</w:t>
      </w:r>
      <w:r>
        <w:t xml:space="preserve"> </w:t>
      </w:r>
      <w:r>
        <w:t xml:space="preserve">1</w:t>
      </w:r>
      <w:r>
        <w:t xml:space="preserve">, of</w:t>
      </w:r>
      <w:r>
        <w:t xml:space="preserve"> </w:t>
      </w:r>
      <w:r>
        <w:t xml:space="preserve">2</w:t>
      </w:r>
      <w:r>
        <w:t xml:space="preserve"> </w:t>
      </w:r>
      <w:r>
        <w:t xml:space="preserve">values inside the window.</w:t>
      </w:r>
    </w:p>
    <w:p>
      <w:pPr>
        <w:pStyle w:val="BodyText"/>
      </w:pPr>
      <w:r>
        <w:rPr>
          <w:b/>
          <w:bCs/>
        </w:rPr>
        <w:t xml:space="preserve">Edge sensitivity.</w:t>
      </w:r>
      <w:r>
        <w:t xml:space="preserve"> </w:t>
      </w:r>
      <w:r>
        <w:t xml:space="preserve">86</w:t>
      </w:r>
      <w:r>
        <w:t xml:space="preserve"> </w:t>
      </w:r>
      <w:r>
        <w:t xml:space="preserve">of the compared values lie within twice the calibration uncertainty of a bin edge and were also evaluated in the neighbouring bin. Supplementary Table S7 gives the overall summary of the independent papers for the headline assignment and for the neighbouring-bin assignment.</w:t>
      </w:r>
      <w:r>
        <w:t xml:space="preserve"> </w:t>
      </w:r>
      <w:r>
        <w:t xml:space="preserve">16</w:t>
      </w:r>
      <w:r>
        <w:t xml:space="preserve"> </w:t>
      </w:r>
      <w:r>
        <w:t xml:space="preserve">value-level results change (a changed in-band status, or no prediction in the neighbouring bin):</w:t>
      </w:r>
      <w:r>
        <w:t xml:space="preserve"> </w:t>
      </w:r>
      <w:r>
        <w:t xml:space="preserve">15</w:t>
      </w:r>
      <w:r>
        <w:t xml:space="preserve"> </w:t>
      </w:r>
      <w:r>
        <w:t xml:space="preserve">of Ohtaki et al. and</w:t>
      </w:r>
      <w:r>
        <w:t xml:space="preserve"> </w:t>
      </w:r>
      <w:r>
        <w:t xml:space="preserve">1</w:t>
      </w:r>
      <w:r>
        <w:t xml:space="preserve"> </w:t>
      </w:r>
      <w:r>
        <w:t xml:space="preserve">of Ohta et al. Among the training-source papers, the neighbouring-bin run changes only the results of Ohta et al.: Ohta et al., S at the cluster level:</w:t>
      </w:r>
      <w:r>
        <w:t xml:space="preserve"> </w:t>
      </w:r>
      <w:r>
        <w:t xml:space="preserve">0</w:t>
      </w:r>
      <w:r>
        <w:t xml:space="preserve"> </w:t>
      </w:r>
      <w:r>
        <w:t xml:space="preserve">of</w:t>
      </w:r>
      <w:r>
        <w:t xml:space="preserve"> </w:t>
      </w:r>
      <w:r>
        <w:t xml:space="preserve">35</w:t>
      </w:r>
      <w:r>
        <w:t xml:space="preserve"> </w:t>
      </w:r>
      <w:r>
        <w:t xml:space="preserve">inside the band becomes</w:t>
      </w:r>
      <w:r>
        <w:t xml:space="preserve"> </w:t>
      </w:r>
      <w:r>
        <w:t xml:space="preserve">0</w:t>
      </w:r>
      <w:r>
        <w:t xml:space="preserve"> </w:t>
      </w:r>
      <w:r>
        <w:t xml:space="preserve">of</w:t>
      </w:r>
      <w:r>
        <w:t xml:space="preserve"> </w:t>
      </w:r>
      <w:r>
        <w:t xml:space="preserve">35</w:t>
      </w:r>
      <w:r>
        <w:t xml:space="preserve">, the median absolute relative error</w:t>
      </w:r>
      <w:r>
        <w:t xml:space="preserve"> </w:t>
      </w:r>
      <w:r>
        <w:t xml:space="preserve">0.544</w:t>
      </w:r>
      <w:r>
        <w:t xml:space="preserve"> </w:t>
      </w:r>
      <w:r>
        <w:t xml:space="preserve">becomes</w:t>
      </w:r>
      <w:r>
        <w:t xml:space="preserve"> </w:t>
      </w:r>
      <w:r>
        <w:t xml:space="preserve">0.541</w:t>
      </w:r>
      <w:r>
        <w:t xml:space="preserve">; Ohta et al.,</w:t>
      </w:r>
      <w:r>
        <w:t xml:space="preserve"> </w:t>
      </w:r>
      <w:r>
        <w:rPr>
          <w:i/>
          <w:iCs/>
        </w:rPr>
        <w:t xml:space="preserve">σ</w:t>
      </w:r>
      <w:r>
        <w:t xml:space="preserve"> </w:t>
      </w:r>
      <w:r>
        <w:t xml:space="preserve">at the cluster level:</w:t>
      </w:r>
      <w:r>
        <w:t xml:space="preserve"> </w:t>
      </w:r>
      <w:r>
        <w:t xml:space="preserve">0</w:t>
      </w:r>
      <w:r>
        <w:t xml:space="preserve"> </w:t>
      </w:r>
      <w:r>
        <w:t xml:space="preserve">of</w:t>
      </w:r>
      <w:r>
        <w:t xml:space="preserve"> </w:t>
      </w:r>
      <w:r>
        <w:t xml:space="preserve">34</w:t>
      </w:r>
      <w:r>
        <w:t xml:space="preserve"> </w:t>
      </w:r>
      <w:r>
        <w:t xml:space="preserve">inside the band becomes</w:t>
      </w:r>
      <w:r>
        <w:t xml:space="preserve"> </w:t>
      </w:r>
      <w:r>
        <w:t xml:space="preserve">0</w:t>
      </w:r>
      <w:r>
        <w:t xml:space="preserve"> </w:t>
      </w:r>
      <w:r>
        <w:t xml:space="preserve">of</w:t>
      </w:r>
      <w:r>
        <w:t xml:space="preserve"> </w:t>
      </w:r>
      <w:r>
        <w:t xml:space="preserve">34</w:t>
      </w:r>
      <w:r>
        <w:t xml:space="preserve">, the median absolute relative error</w:t>
      </w:r>
      <w:r>
        <w:t xml:space="preserve"> </w:t>
      </w:r>
      <w:r>
        <w:t xml:space="preserve">0.874</w:t>
      </w:r>
      <w:r>
        <w:t xml:space="preserve"> </w:t>
      </w:r>
      <w:r>
        <w:t xml:space="preserve">becomes</w:t>
      </w:r>
      <w:r>
        <w:t xml:space="preserve"> </w:t>
      </w:r>
      <w:r>
        <w:t xml:space="preserve">0.889</w:t>
      </w:r>
      <w:r>
        <w:t xml:space="preserve">; Ohta et al., zT at the cluster level:</w:t>
      </w:r>
      <w:r>
        <w:t xml:space="preserve"> </w:t>
      </w:r>
      <w:r>
        <w:t xml:space="preserve">2</w:t>
      </w:r>
      <w:r>
        <w:t xml:space="preserve"> </w:t>
      </w:r>
      <w:r>
        <w:t xml:space="preserve">of</w:t>
      </w:r>
      <w:r>
        <w:t xml:space="preserve"> </w:t>
      </w:r>
      <w:r>
        <w:t xml:space="preserve">19</w:t>
      </w:r>
      <w:r>
        <w:t xml:space="preserve"> </w:t>
      </w:r>
      <w:r>
        <w:t xml:space="preserve">inside the band becomes</w:t>
      </w:r>
      <w:r>
        <w:t xml:space="preserve"> </w:t>
      </w:r>
      <w:r>
        <w:t xml:space="preserve">3</w:t>
      </w:r>
      <w:r>
        <w:t xml:space="preserve"> </w:t>
      </w:r>
      <w:r>
        <w:t xml:space="preserve">of</w:t>
      </w:r>
      <w:r>
        <w:t xml:space="preserve"> </w:t>
      </w:r>
      <w:r>
        <w:t xml:space="preserve">19</w:t>
      </w:r>
      <w:r>
        <w:t xml:space="preserve">, the median absolute relative error</w:t>
      </w:r>
      <w:r>
        <w:t xml:space="preserve"> </w:t>
      </w:r>
      <w:r>
        <w:t xml:space="preserve">0.473</w:t>
      </w:r>
      <w:r>
        <w:t xml:space="preserve"> </w:t>
      </w:r>
      <w:r>
        <w:t xml:space="preserve">becomes</w:t>
      </w:r>
      <w:r>
        <w:t xml:space="preserve"> </w:t>
      </w:r>
      <w:r>
        <w:t xml:space="preserve">0.524</w:t>
      </w:r>
      <w:r>
        <w:t xml:space="preserve">.</w:t>
      </w:r>
    </w:p>
    <w:p>
      <w:pPr>
        <w:pStyle w:val="BodyText"/>
      </w:pPr>
      <w:r>
        <w:rPr>
          <w:b/>
          <w:bCs/>
        </w:rPr>
        <w:t xml:space="preserve">Markers not read.</w:t>
      </w:r>
      <w:r>
        <w:t xml:space="preserve"> </w:t>
      </w:r>
      <w:r>
        <w:t xml:space="preserve">The digitised figures of Ohta et al. have</w:t>
      </w:r>
      <w:r>
        <w:t xml:space="preserve"> </w:t>
      </w:r>
      <w:r>
        <w:t xml:space="preserve">4</w:t>
      </w:r>
      <w:r>
        <w:t xml:space="preserve"> </w:t>
      </w:r>
      <w:r>
        <w:t xml:space="preserve">not-legible entries (</w:t>
      </w:r>
      <w:r>
        <w:t xml:space="preserve">0</w:t>
      </w:r>
      <w:r>
        <w:t xml:space="preserve"> </w:t>
      </w:r>
      <w:r>
        <w:t xml:space="preserve">markers removed by a gate,</w:t>
      </w:r>
      <w:r>
        <w:t xml:space="preserve"> </w:t>
      </w:r>
      <w:r>
        <w:t xml:space="preserve">0</w:t>
      </w:r>
      <w:r>
        <w:t xml:space="preserve"> </w:t>
      </w:r>
      <w:r>
        <w:t xml:space="preserve">unplaceable clicks,</w:t>
      </w:r>
      <w:r>
        <w:t xml:space="preserve"> </w:t>
      </w:r>
      <w:r>
        <w:t xml:space="preserve">4</w:t>
      </w:r>
      <w:r>
        <w:t xml:space="preserve"> </w:t>
      </w:r>
      <w:r>
        <w:t xml:space="preserve">empty derived columns), those of Ohtaki et al. </w:t>
      </w:r>
      <w:r>
        <w:t xml:space="preserve">65</w:t>
      </w:r>
      <w:r>
        <w:t xml:space="preserve"> </w:t>
      </w:r>
      <w:r>
        <w:t xml:space="preserve">(</w:t>
      </w:r>
      <w:r>
        <w:t xml:space="preserve">13</w:t>
      </w:r>
      <w:r>
        <w:t xml:space="preserve">,</w:t>
      </w:r>
      <w:r>
        <w:t xml:space="preserve"> </w:t>
      </w:r>
      <w:r>
        <w:t xml:space="preserve">2</w:t>
      </w:r>
      <w:r>
        <w:t xml:space="preserve"> </w:t>
      </w:r>
      <w:r>
        <w:t xml:space="preserve">and</w:t>
      </w:r>
      <w:r>
        <w:t xml:space="preserve"> </w:t>
      </w:r>
      <w:r>
        <w:t xml:space="preserve">50</w:t>
      </w:r>
      <w:r>
        <w:t xml:space="preserve">) and those of Rajasekaran et al. </w:t>
      </w:r>
      <w:r>
        <w:t xml:space="preserve">4</w:t>
      </w:r>
      <w:r>
        <w:t xml:space="preserve"> </w:t>
      </w:r>
      <w:r>
        <w:t xml:space="preserve">(</w:t>
      </w:r>
      <w:r>
        <w:t xml:space="preserve">0</w:t>
      </w:r>
      <w:r>
        <w:t xml:space="preserve">,</w:t>
      </w:r>
      <w:r>
        <w:t xml:space="preserve"> </w:t>
      </w:r>
      <w:r>
        <w:t xml:space="preserve">2</w:t>
      </w:r>
      <w:r>
        <w:t xml:space="preserve"> </w:t>
      </w:r>
      <w:r>
        <w:t xml:space="preserve">and</w:t>
      </w:r>
      <w:r>
        <w:t xml:space="preserve"> </w:t>
      </w:r>
      <w:r>
        <w:t xml:space="preserve">2</w:t>
      </w:r>
      <w:r>
        <w:t xml:space="preserve">); the vector figures have no such list.</w:t>
      </w:r>
    </w:p>
    <w:p>
      <w:pPr>
        <w:pStyle w:val="BodyText"/>
      </w:pPr>
      <w:r>
        <w:rPr>
          <w:b/>
          <w:bCs/>
        </w:rPr>
        <w:t xml:space="preserve">Result.</w:t>
      </w:r>
      <w:r>
        <w:t xml:space="preserve"> </w:t>
      </w:r>
      <w:r>
        <w:t xml:space="preserve">At the exact level,</w:t>
      </w:r>
      <w:r>
        <w:t xml:space="preserve"> </w:t>
      </w:r>
      <w:r>
        <w:t xml:space="preserve">4</w:t>
      </w:r>
      <w:r>
        <w:t xml:space="preserve"> </w:t>
      </w:r>
      <w:r>
        <w:t xml:space="preserve">of</w:t>
      </w:r>
      <w:r>
        <w:t xml:space="preserve"> </w:t>
      </w:r>
      <w:r>
        <w:t xml:space="preserve">16</w:t>
      </w:r>
      <w:r>
        <w:t xml:space="preserve"> </w:t>
      </w:r>
      <w:r>
        <w:t xml:space="preserve">Seebeck values and</w:t>
      </w:r>
      <w:r>
        <w:t xml:space="preserve"> </w:t>
      </w:r>
      <w:r>
        <w:t xml:space="preserve">0</w:t>
      </w:r>
      <w:r>
        <w:t xml:space="preserve"> </w:t>
      </w:r>
      <w:r>
        <w:t xml:space="preserve">of</w:t>
      </w:r>
      <w:r>
        <w:t xml:space="preserve"> </w:t>
      </w:r>
      <w:r>
        <w:t xml:space="preserve">36</w:t>
      </w:r>
      <w:r>
        <w:t xml:space="preserve"> </w:t>
      </w:r>
      <w:r>
        <w:rPr>
          <w:i/>
          <w:iCs/>
        </w:rPr>
        <w:t xml:space="preserve">σ</w:t>
      </w:r>
      <w:r>
        <w:t xml:space="preserve">,</w:t>
      </w:r>
      <w:r>
        <w:t xml:space="preserve"> </w:t>
      </w:r>
      <w:r>
        <w:rPr>
          <w:i/>
          <w:iCs/>
        </w:rPr>
        <w:t xml:space="preserve">κ</w:t>
      </w:r>
      <w:r>
        <w:t xml:space="preserve"> </w:t>
      </w:r>
      <w:r>
        <w:t xml:space="preserve">and zT values of the</w:t>
      </w:r>
      <w:r>
        <w:t xml:space="preserve"> </w:t>
      </w:r>
      <w:r>
        <w:t xml:space="preserve">3</w:t>
      </w:r>
      <w:r>
        <w:t xml:space="preserve"> </w:t>
      </w:r>
      <w:r>
        <w:t xml:space="preserve">independent papers lie inside the measurement band. The signed median log</w:t>
      </w:r>
      <w:r>
        <w:rPr>
          <w:vertAlign w:val="subscript"/>
        </w:rPr>
        <w:t xml:space="preserve">10</w:t>
      </w:r>
      <w:r>
        <w:t xml:space="preserve"> </w:t>
      </w:r>
      <w:r>
        <w:t xml:space="preserve">ratio of</w:t>
      </w:r>
      <w:r>
        <w:t xml:space="preserve"> </w:t>
      </w:r>
      <w:r>
        <w:rPr>
          <w:i/>
          <w:iCs/>
        </w:rPr>
        <w:t xml:space="preserve">σ</w:t>
      </w:r>
      <w:r>
        <w:t xml:space="preserve"> </w:t>
      </w:r>
      <w:r>
        <w:t xml:space="preserve">is</w:t>
      </w:r>
      <w:r>
        <w:t xml:space="preserve"> </w:t>
      </w:r>
      <w:r>
        <w:t xml:space="preserve">−0.185</w:t>
      </w:r>
      <w:r>
        <w:t xml:space="preserve"> </w:t>
      </w:r>
      <w:r>
        <w:t xml:space="preserve">for the</w:t>
      </w:r>
      <w:r>
        <w:t xml:space="preserve"> </w:t>
      </w:r>
      <w:r>
        <w:t xml:space="preserve">22</w:t>
      </w:r>
      <w:r>
        <w:t xml:space="preserve"> </w:t>
      </w:r>
      <w:r>
        <w:t xml:space="preserve">values of Ohtaki et al. and</w:t>
      </w:r>
      <w:r>
        <w:t xml:space="preserve"> </w:t>
      </w:r>
      <w:r>
        <w:t xml:space="preserve">+0.768</w:t>
      </w:r>
      <w:r>
        <w:t xml:space="preserve"> </w:t>
      </w:r>
      <w:r>
        <w:t xml:space="preserve">for the</w:t>
      </w:r>
      <w:r>
        <w:t xml:space="preserve"> </w:t>
      </w:r>
      <w:r>
        <w:t xml:space="preserve">3</w:t>
      </w:r>
      <w:r>
        <w:t xml:space="preserve"> </w:t>
      </w:r>
      <w:r>
        <w:t xml:space="preserve">values of Sebastia-Luna et al., so the two papers differ in sign (</w:t>
      </w:r>
      <w:r>
        <w:t xml:space="preserve">+0.291</w:t>
      </w:r>
      <w:r>
        <w:t xml:space="preserve"> </w:t>
      </w:r>
      <w:r>
        <w:t xml:space="preserve">as the median over the two). The comparison rests on</w:t>
      </w:r>
      <w:r>
        <w:t xml:space="preserve"> </w:t>
      </w:r>
      <w:r>
        <w:t xml:space="preserve">3</w:t>
      </w:r>
      <w:r>
        <w:t xml:space="preserve"> </w:t>
      </w:r>
      <w:r>
        <w:t xml:space="preserve">independent papers and on few values for</w:t>
      </w:r>
      <w:r>
        <w:t xml:space="preserve"> </w:t>
      </w:r>
      <w:r>
        <w:rPr>
          <w:i/>
          <w:iCs/>
        </w:rPr>
        <w:t xml:space="preserve">κ</w:t>
      </w:r>
      <w:r>
        <w:t xml:space="preserve"> </w:t>
      </w:r>
      <w:r>
        <w:t xml:space="preserve">(</w:t>
      </w:r>
      <w:r>
        <w:t xml:space="preserve">5</w:t>
      </w:r>
      <w:r>
        <w:t xml:space="preserve">) and zT (</w:t>
      </w:r>
      <w:r>
        <w:t xml:space="preserve">6</w:t>
      </w:r>
      <w:r>
        <w:t xml:space="preserve">).</w:t>
      </w:r>
    </w:p>
    <w:p>
      <w:pPr>
        <w:pStyle w:val="BodyText"/>
      </w:pPr>
      <w:r>
        <w:rPr>
          <w:b/>
          <w:bCs/>
        </w:rPr>
        <w:t xml:space="preserve">Context (not pre-registered; added after the result).</w:t>
      </w:r>
      <w:r>
        <w:t xml:space="preserve"> </w:t>
      </w:r>
      <w:r>
        <w:t xml:space="preserve">For comparison with the errors above, the committed chemistry-cluster out-of-fold predictions of the rung (every prediction of the five repeats counted, not averaged per bin as the NA12 predictions are) have a median absolute relative error of</w:t>
      </w:r>
      <w:r>
        <w:t xml:space="preserve"> </w:t>
      </w:r>
      <w:r>
        <w:t xml:space="preserve">0.212</w:t>
      </w:r>
      <w:r>
        <w:t xml:space="preserve"> </w:t>
      </w:r>
      <w:r>
        <w:t xml:space="preserve">for S,</w:t>
      </w:r>
      <w:r>
        <w:t xml:space="preserve"> </w:t>
      </w:r>
      <w:r>
        <w:t xml:space="preserve">0.331</w:t>
      </w:r>
      <w:r>
        <w:t xml:space="preserve"> </w:t>
      </w:r>
      <w:r>
        <w:t xml:space="preserve">for</w:t>
      </w:r>
      <w:r>
        <w:t xml:space="preserve"> </w:t>
      </w:r>
      <w:r>
        <w:rPr>
          <w:i/>
          <w:iCs/>
        </w:rPr>
        <w:t xml:space="preserve">σ</w:t>
      </w:r>
      <w:r>
        <w:t xml:space="preserve">,</w:t>
      </w:r>
      <w:r>
        <w:t xml:space="preserve"> </w:t>
      </w:r>
      <w:r>
        <w:t xml:space="preserve">0.151</w:t>
      </w:r>
      <w:r>
        <w:t xml:space="preserve"> </w:t>
      </w:r>
      <w:r>
        <w:t xml:space="preserve">for</w:t>
      </w:r>
      <w:r>
        <w:t xml:space="preserve"> </w:t>
      </w:r>
      <w:r>
        <w:rPr>
          <w:i/>
          <w:iCs/>
        </w:rPr>
        <w:t xml:space="preserve">κ</w:t>
      </w:r>
      <w:r>
        <w:t xml:space="preserve"> </w:t>
      </w:r>
      <w:r>
        <w:t xml:space="preserve">and</w:t>
      </w:r>
      <w:r>
        <w:t xml:space="preserve"> </w:t>
      </w:r>
      <w:r>
        <w:t xml:space="preserve">0.269</w:t>
      </w:r>
      <w:r>
        <w:t xml:space="preserve"> </w:t>
      </w:r>
      <w:r>
        <w:t xml:space="preserve">for zT, and a median absolute log</w:t>
      </w:r>
      <w:r>
        <w:rPr>
          <w:vertAlign w:val="subscript"/>
        </w:rPr>
        <w:t xml:space="preserve">10</w:t>
      </w:r>
      <w:r>
        <w:t xml:space="preserve"> </w:t>
      </w:r>
      <w:r>
        <w:t xml:space="preserve">ratio of</w:t>
      </w:r>
      <w:r>
        <w:t xml:space="preserve"> </w:t>
      </w:r>
      <w:r>
        <w:t xml:space="preserve">0.153</w:t>
      </w:r>
      <w:r>
        <w:t xml:space="preserve"> </w:t>
      </w:r>
      <w:r>
        <w:t xml:space="preserve">for</w:t>
      </w:r>
      <w:r>
        <w:t xml:space="preserve"> </w:t>
      </w:r>
      <w:r>
        <w:rPr>
          <w:i/>
          <w:iCs/>
        </w:rPr>
        <w:t xml:space="preserve">σ</w:t>
      </w:r>
      <w:r>
        <w:t xml:space="preserve"> </w:t>
      </w:r>
      <w:r>
        <w:t xml:space="preserve">(signed median</w:t>
      </w:r>
      <w:r>
        <w:t xml:space="preserve"> </w:t>
      </w:r>
      <w:r>
        <w:t xml:space="preserve">−0.026</w:t>
      </w:r>
      <w:r>
        <w:t xml:space="preserve">) and</w:t>
      </w:r>
      <w:r>
        <w:t xml:space="preserve"> </w:t>
      </w:r>
      <w:r>
        <w:t xml:space="preserve">0.066</w:t>
      </w:r>
      <w:r>
        <w:t xml:space="preserve"> </w:t>
      </w:r>
      <w:r>
        <w:t xml:space="preserve">for</w:t>
      </w:r>
      <w:r>
        <w:t xml:space="preserve"> </w:t>
      </w:r>
      <w:r>
        <w:rPr>
          <w:i/>
          <w:iCs/>
        </w:rPr>
        <w:t xml:space="preserve">κ</w:t>
      </w:r>
      <w:r>
        <w:t xml:space="preserve"> </w:t>
      </w:r>
      <w:r>
        <w:t xml:space="preserve">(signed median</w:t>
      </w:r>
      <w:r>
        <w:t xml:space="preserve"> </w:t>
      </w:r>
      <w:r>
        <w:t xml:space="preserve">−0.005</w:t>
      </w:r>
      <w:r>
        <w:t xml:space="preserve">). At the exact level, the independent papers’ median absolute relative error of S (</w:t>
      </w:r>
      <w:r>
        <w:t xml:space="preserve">0.145</w:t>
      </w:r>
      <w:r>
        <w:t xml:space="preserve">) is</w:t>
      </w:r>
      <w:r>
        <w:t xml:space="preserve"> </w:t>
      </w:r>
      <w:r>
        <w:t xml:space="preserve">0.7</w:t>
      </w:r>
      <w:r>
        <w:t xml:space="preserve"> </w:t>
      </w:r>
      <w:r>
        <w:t xml:space="preserve">times the rung’s; the median absolute log</w:t>
      </w:r>
      <w:r>
        <w:rPr>
          <w:vertAlign w:val="subscript"/>
        </w:rPr>
        <w:t xml:space="preserve">10</w:t>
      </w:r>
      <w:r>
        <w:t xml:space="preserve"> </w:t>
      </w:r>
      <w:r>
        <w:t xml:space="preserve">ratio of</w:t>
      </w:r>
      <w:r>
        <w:t xml:space="preserve"> </w:t>
      </w:r>
      <w:r>
        <w:rPr>
          <w:i/>
          <w:iCs/>
        </w:rPr>
        <w:t xml:space="preserve">κ</w:t>
      </w:r>
      <w:r>
        <w:t xml:space="preserve"> </w:t>
      </w:r>
      <w:r>
        <w:t xml:space="preserve">(</w:t>
      </w:r>
      <w:r>
        <w:t xml:space="preserve">0.128</w:t>
      </w:r>
      <w:r>
        <w:t xml:space="preserve">) is</w:t>
      </w:r>
      <w:r>
        <w:t xml:space="preserve"> </w:t>
      </w:r>
      <w:r>
        <w:t xml:space="preserve">1.9</w:t>
      </w:r>
      <w:r>
        <w:t xml:space="preserve"> </w:t>
      </w:r>
      <w:r>
        <w:t xml:space="preserve">times the rung’s, and that of</w:t>
      </w:r>
      <w:r>
        <w:t xml:space="preserve"> </w:t>
      </w:r>
      <w:r>
        <w:rPr>
          <w:i/>
          <w:iCs/>
        </w:rPr>
        <w:t xml:space="preserve">σ</w:t>
      </w:r>
      <w:r>
        <w:t xml:space="preserve"> </w:t>
      </w:r>
      <w:r>
        <w:t xml:space="preserve">(</w:t>
      </w:r>
      <w:r>
        <w:t xml:space="preserve">0.487</w:t>
      </w:r>
      <w:r>
        <w:t xml:space="preserve">) is</w:t>
      </w:r>
      <w:r>
        <w:t xml:space="preserve"> </w:t>
      </w:r>
      <w:r>
        <w:t xml:space="preserve">3.2</w:t>
      </w:r>
      <w:r>
        <w:t xml:space="preserve"> </w:t>
      </w:r>
      <w:r>
        <w:t xml:space="preserve">times the rung’s (the signed medians of the two papers differ in sign, as stated above); the median absolute relative error of zT (</w:t>
      </w:r>
      <w:r>
        <w:t xml:space="preserve">3.166</w:t>
      </w:r>
      <w:r>
        <w:t xml:space="preserve">) is</w:t>
      </w:r>
      <w:r>
        <w:t xml:space="preserve"> </w:t>
      </w:r>
      <w:r>
        <w:t xml:space="preserve">11.8</w:t>
      </w:r>
      <w:r>
        <w:t xml:space="preserve"> </w:t>
      </w:r>
      <w:r>
        <w:t xml:space="preserve">times the rung’s. The independent exact-level samples are small: S</w:t>
      </w:r>
      <w:r>
        <w:t xml:space="preserve"> </w:t>
      </w:r>
      <w:r>
        <w:t xml:space="preserve">16</w:t>
      </w:r>
      <w:r>
        <w:t xml:space="preserve"> </w:t>
      </w:r>
      <w:r>
        <w:t xml:space="preserve">values from</w:t>
      </w:r>
      <w:r>
        <w:t xml:space="preserve"> </w:t>
      </w:r>
      <w:r>
        <w:t xml:space="preserve">3</w:t>
      </w:r>
      <w:r>
        <w:t xml:space="preserve"> </w:t>
      </w:r>
      <w:r>
        <w:t xml:space="preserve">papers,</w:t>
      </w:r>
      <w:r>
        <w:t xml:space="preserve"> </w:t>
      </w:r>
      <w:r>
        <w:rPr>
          <w:i/>
          <w:iCs/>
        </w:rPr>
        <w:t xml:space="preserve">σ</w:t>
      </w:r>
      <w:r>
        <w:t xml:space="preserve"> </w:t>
      </w:r>
      <w:r>
        <w:t xml:space="preserve">25</w:t>
      </w:r>
      <w:r>
        <w:t xml:space="preserve"> </w:t>
      </w:r>
      <w:r>
        <w:t xml:space="preserve">from</w:t>
      </w:r>
      <w:r>
        <w:t xml:space="preserve"> </w:t>
      </w:r>
      <w:r>
        <w:t xml:space="preserve">2</w:t>
      </w:r>
      <w:r>
        <w:t xml:space="preserve">,</w:t>
      </w:r>
      <w:r>
        <w:t xml:space="preserve"> </w:t>
      </w:r>
      <w:r>
        <w:rPr>
          <w:i/>
          <w:iCs/>
        </w:rPr>
        <w:t xml:space="preserve">κ</w:t>
      </w:r>
      <w:r>
        <w:t xml:space="preserve"> </w:t>
      </w:r>
      <w:r>
        <w:t xml:space="preserve">5</w:t>
      </w:r>
      <w:r>
        <w:t xml:space="preserve"> </w:t>
      </w:r>
      <w:r>
        <w:t xml:space="preserve">from</w:t>
      </w:r>
      <w:r>
        <w:t xml:space="preserve"> </w:t>
      </w:r>
      <w:r>
        <w:t xml:space="preserve">2</w:t>
      </w:r>
      <w:r>
        <w:t xml:space="preserve"> </w:t>
      </w:r>
      <w:r>
        <w:t xml:space="preserve">and zT</w:t>
      </w:r>
      <w:r>
        <w:t xml:space="preserve"> </w:t>
      </w:r>
      <w:r>
        <w:t xml:space="preserve">6</w:t>
      </w:r>
      <w:r>
        <w:t xml:space="preserve"> </w:t>
      </w:r>
      <w:r>
        <w:t xml:space="preserve">from</w:t>
      </w:r>
      <w:r>
        <w:t xml:space="preserve"> </w:t>
      </w:r>
      <w:r>
        <w:t xml:space="preserve">2</w:t>
      </w:r>
      <w:r>
        <w:t xml:space="preserve">. The NA12 predictions are means over the training rows of a bin compared with one literature value, whereas the rung’s errors are per row, so the two are not like-for-like.</w:t>
      </w:r>
    </w:p>
    <w:bookmarkEnd w:id="54"/>
    <w:bookmarkStart w:id="55" w:name="limitations"/>
    <w:p>
      <w:pPr>
        <w:pStyle w:val="Heading2"/>
      </w:pPr>
      <w:r>
        <w:t xml:space="preserve">3.5 Limitations</w:t>
      </w:r>
    </w:p>
    <w:p>
      <w:pPr>
        <w:pStyle w:val="FirstParagraph"/>
      </w:pPr>
      <w:r>
        <w:t xml:space="preserve">Prediction of electrical conductivity is intrinsically limited (chemistry-cluster R</w:t>
      </w:r>
      <w:r>
        <w:rPr>
          <w:vertAlign w:val="superscript"/>
        </w:rPr>
        <w:t xml:space="preserve">2</w:t>
      </w:r>
      <w:r>
        <w:t xml:space="preserve"> </w:t>
      </w:r>
      <w:r>
        <w:t xml:space="preserve">=</w:t>
      </w:r>
      <w:r>
        <w:t xml:space="preserve"> </w:t>
      </w:r>
      <w:r>
        <w:t xml:space="preserve">0.702</w:t>
      </w:r>
      <w:r>
        <w:t xml:space="preserve">; ESTM stratum (b) R</w:t>
      </w:r>
      <w:r>
        <w:rPr>
          <w:vertAlign w:val="superscript"/>
        </w:rPr>
        <w:t xml:space="preserve">2</w:t>
      </w:r>
      <w:r>
        <w:t xml:space="preserve"> </w:t>
      </w:r>
      <w:r>
        <w:t xml:space="preserve">=</w:t>
      </w:r>
      <w:r>
        <w:t xml:space="preserve"> </w:t>
      </w:r>
      <w:r>
        <w:t xml:space="preserve">0.283</w:t>
      </w:r>
      <w:r>
        <w:t xml:space="preserve">) because carrier concentration depends on doping and synthesis conditions not reflected in the formula, a limitation common to all composition-only models. The carrier-type classifier is right for</w:t>
      </w:r>
      <w:r>
        <w:t xml:space="preserve"> </w:t>
      </w:r>
      <w:r>
        <w:t xml:space="preserve">0.948</w:t>
      </w:r>
      <w:r>
        <w:t xml:space="preserve"> </w:t>
      </w:r>
      <w:r>
        <w:t xml:space="preserve">of the held-out rows under chemistry-cluster CV, so about one row in twenty has a wrong sign even before the shift to a new family of compounds. MAGPIE and CBFV cannot encode the molecular properties of organic cations, so predictions for hybrid organic–inorganic perovskites should not be trusted. In the training data the sparsest temperature bin is the one at</w:t>
      </w:r>
      <w:r>
        <w:t xml:space="preserve"> </w:t>
      </w:r>
      <w:r>
        <w:t xml:space="preserve">775</w:t>
      </w:r>
      <w:r>
        <w:t xml:space="preserve"> </w:t>
      </w:r>
      <w:r>
        <w:t xml:space="preserve">K (</w:t>
      </w:r>
      <w:r>
        <w:t xml:space="preserve">3,173</w:t>
      </w:r>
      <w:r>
        <w:t xml:space="preserve"> </w:t>
      </w:r>
      <w:r>
        <w:t xml:space="preserve">zT rows) and the densest the one at</w:t>
      </w:r>
      <w:r>
        <w:t xml:space="preserve"> </w:t>
      </w:r>
      <w:r>
        <w:t xml:space="preserve">450</w:t>
      </w:r>
      <w:r>
        <w:t xml:space="preserve"> </w:t>
      </w:r>
      <w:r>
        <w:t xml:space="preserve">K (</w:t>
      </w:r>
      <w:r>
        <w:t xml:space="preserve">9,115</w:t>
      </w:r>
      <w:r>
        <w:t xml:space="preserve"> </w:t>
      </w:r>
      <w:r>
        <w:t xml:space="preserve">zT rows), so predictions near the top of the window are the least constrained. All</w:t>
      </w:r>
      <w:r>
        <w:t xml:space="preserve"> </w:t>
      </w:r>
      <w:r>
        <w:t xml:space="preserve">30</w:t>
      </w:r>
      <w:r>
        <w:t xml:space="preserve"> </w:t>
      </w:r>
      <w:r>
        <w:t xml:space="preserve">candidates of the main list, and</w:t>
      </w:r>
      <w:r>
        <w:t xml:space="preserve"> </w:t>
      </w:r>
      <w:r>
        <w:t xml:space="preserve">406</w:t>
      </w:r>
      <w:r>
        <w:t xml:space="preserve"> </w:t>
      </w:r>
      <w:r>
        <w:t xml:space="preserve">of the</w:t>
      </w:r>
      <w:r>
        <w:t xml:space="preserve"> </w:t>
      </w:r>
      <w:r>
        <w:t xml:space="preserve">409</w:t>
      </w:r>
      <w:r>
        <w:t xml:space="preserve"> </w:t>
      </w:r>
      <w:r>
        <w:t xml:space="preserve">featurised compounds, reach their maximum predicted zT at</w:t>
      </w:r>
      <w:r>
        <w:t xml:space="preserve"> </w:t>
      </w:r>
      <w:r>
        <w:t xml:space="preserve">800</w:t>
      </w:r>
      <w:r>
        <w:t xml:space="preserve"> </w:t>
      </w:r>
      <w:r>
        <w:t xml:space="preserve">K, the end of the grid and of the training window, so the maximum is a boundary value and not a located peak. The models provide point predictions without calibrated uncertainty; ensemble variance or conformal prediction</w:t>
      </w:r>
      <w:r>
        <w:rPr>
          <w:vertAlign w:val="superscript"/>
        </w:rPr>
        <w:t xml:space="preserve">60</w:t>
      </w:r>
      <w:r>
        <w:t xml:space="preserve"> </w:t>
      </w:r>
      <w:r>
        <w:t xml:space="preserve">would make the screening more decision-ready.</w:t>
      </w:r>
    </w:p>
    <w:bookmarkEnd w:id="55"/>
    <w:bookmarkEnd w:id="56"/>
    <w:bookmarkStart w:id="57" w:name="conclusions"/>
    <w:p>
      <w:pPr>
        <w:pStyle w:val="Heading1"/>
      </w:pPr>
      <w:r>
        <w:t xml:space="preserve">4 Conclusions</w:t>
      </w:r>
    </w:p>
    <w:p>
      <w:pPr>
        <w:pStyle w:val="FirstParagraph"/>
      </w:pPr>
      <w:r>
        <w:t xml:space="preserve">A composition-only machine learning framework was developed to predict S,</w:t>
      </w:r>
      <w:r>
        <w:t xml:space="preserve"> </w:t>
      </w:r>
      <w:r>
        <w:rPr>
          <w:i/>
          <w:iCs/>
        </w:rPr>
        <w:t xml:space="preserve">σ</w:t>
      </w:r>
      <w:r>
        <w:t xml:space="preserve">,</w:t>
      </w:r>
      <w:r>
        <w:t xml:space="preserve"> </w:t>
      </w:r>
      <w:r>
        <w:rPr>
          <w:i/>
          <w:iCs/>
        </w:rPr>
        <w:t xml:space="preserve">κ</w:t>
      </w:r>
      <w:r>
        <w:t xml:space="preserve"> </w:t>
      </w:r>
      <w:r>
        <w:t xml:space="preserve">and zT of thermoelectric materials and to screen lead-free perovskites, using</w:t>
      </w:r>
      <w:r>
        <w:t xml:space="preserve"> </w:t>
      </w:r>
      <w:r>
        <w:t xml:space="preserve">280,664</w:t>
      </w:r>
      <w:r>
        <w:t xml:space="preserve"> </w:t>
      </w:r>
      <w:r>
        <w:t xml:space="preserve">cleaned rows from Starrydata2 and</w:t>
      </w:r>
      <w:r>
        <w:t xml:space="preserve"> </w:t>
      </w:r>
      <w:r>
        <w:t xml:space="preserve">397</w:t>
      </w:r>
      <w:r>
        <w:t xml:space="preserve"> </w:t>
      </w:r>
      <w:r>
        <w:t xml:space="preserve">MAGPIE, CBFV and temperature descriptors. The main conclusions are:</w:t>
      </w:r>
    </w:p>
    <w:p>
      <w:pPr>
        <w:numPr>
          <w:ilvl w:val="0"/>
          <w:numId w:val="1003"/>
        </w:numPr>
      </w:pPr>
      <w:r>
        <w:t xml:space="preserve">The screening of the Materials Project gives</w:t>
      </w:r>
      <w:r>
        <w:t xml:space="preserve"> </w:t>
      </w:r>
      <w:r>
        <w:t xml:space="preserve">315</w:t>
      </w:r>
      <w:r>
        <w:t xml:space="preserve"> </w:t>
      </w:r>
      <w:r>
        <w:t xml:space="preserve">perovskite-type compounds and</w:t>
      </w:r>
      <w:r>
        <w:t xml:space="preserve"> </w:t>
      </w:r>
      <w:r>
        <w:t xml:space="preserve">30</w:t>
      </w:r>
      <w:r>
        <w:t xml:space="preserve"> </w:t>
      </w:r>
      <w:r>
        <w:t xml:space="preserve">lead-free narrow-gap candidates,</w:t>
      </w:r>
      <w:r>
        <w:t xml:space="preserve"> </w:t>
      </w:r>
      <w:r>
        <w:t xml:space="preserve">9</w:t>
      </w:r>
      <w:r>
        <w:t xml:space="preserve"> </w:t>
      </w:r>
      <w:r>
        <w:t xml:space="preserve">in chemistry clusters seen in training and</w:t>
      </w:r>
      <w:r>
        <w:t xml:space="preserve"> </w:t>
      </w:r>
      <w:r>
        <w:t xml:space="preserve">21</w:t>
      </w:r>
      <w:r>
        <w:t xml:space="preserve"> </w:t>
      </w:r>
      <w:r>
        <w:t xml:space="preserve">unseen; it is hypothesis generation, and against DFT-computed Seebeck coefficients the models show at most marginal sign transfer. The pre-registered shortlist (</w:t>
      </w:r>
      <w:r>
        <w:t xml:space="preserve">CsSnI</w:t>
      </w:r>
      <w:r>
        <w:rPr>
          <w:vertAlign w:val="subscript"/>
        </w:rPr>
        <w:t xml:space="preserve">3</w:t>
      </w:r>
      <w:r>
        <w:t xml:space="preserve">,</w:t>
      </w:r>
      <w:r>
        <w:t xml:space="preserve"> </w:t>
      </w:r>
      <w:r>
        <w:t xml:space="preserve">BaSnO</w:t>
      </w:r>
      <w:r>
        <w:rPr>
          <w:vertAlign w:val="subscript"/>
        </w:rPr>
        <w:t xml:space="preserve">3</w:t>
      </w:r>
      <w:r>
        <w:t xml:space="preserve">,</w:t>
      </w:r>
      <w:r>
        <w:t xml:space="preserve"> </w:t>
      </w:r>
      <w:r>
        <w:t xml:space="preserve">LaRhO</w:t>
      </w:r>
      <w:r>
        <w:rPr>
          <w:vertAlign w:val="subscript"/>
        </w:rPr>
        <w:t xml:space="preserve">3</w:t>
      </w:r>
      <w:r>
        <w:t xml:space="preserve">,</w:t>
      </w:r>
      <w:r>
        <w:t xml:space="preserve"> </w:t>
      </w:r>
      <w:r>
        <w:t xml:space="preserve">LaCoO</w:t>
      </w:r>
      <w:r>
        <w:rPr>
          <w:vertAlign w:val="subscript"/>
        </w:rPr>
        <w:t xml:space="preserve">3</w:t>
      </w:r>
      <w:r>
        <w:t xml:space="preserve">) consists of compounds that each have a published thermoelectric measurement and a chemistry cluster present in the training data, so it is not a blind test; in the pre-registered comparison with published measurements (Section 3.4),</w:t>
      </w:r>
      <w:r>
        <w:t xml:space="preserve"> </w:t>
      </w:r>
      <w:r>
        <w:t xml:space="preserve">4</w:t>
      </w:r>
      <w:r>
        <w:t xml:space="preserve"> </w:t>
      </w:r>
      <w:r>
        <w:t xml:space="preserve">of</w:t>
      </w:r>
      <w:r>
        <w:t xml:space="preserve"> </w:t>
      </w:r>
      <w:r>
        <w:t xml:space="preserve">16</w:t>
      </w:r>
      <w:r>
        <w:t xml:space="preserve"> </w:t>
      </w:r>
      <w:r>
        <w:t xml:space="preserve">Seebeck values and</w:t>
      </w:r>
      <w:r>
        <w:t xml:space="preserve"> </w:t>
      </w:r>
      <w:r>
        <w:t xml:space="preserve">0</w:t>
      </w:r>
      <w:r>
        <w:t xml:space="preserve"> </w:t>
      </w:r>
      <w:r>
        <w:t xml:space="preserve">of</w:t>
      </w:r>
      <w:r>
        <w:t xml:space="preserve"> </w:t>
      </w:r>
      <w:r>
        <w:t xml:space="preserve">36</w:t>
      </w:r>
      <w:r>
        <w:t xml:space="preserve"> </w:t>
      </w:r>
      <w:r>
        <w:rPr>
          <w:i/>
          <w:iCs/>
        </w:rPr>
        <w:t xml:space="preserve">σ</w:t>
      </w:r>
      <w:r>
        <w:t xml:space="preserve">,</w:t>
      </w:r>
      <w:r>
        <w:t xml:space="preserve"> </w:t>
      </w:r>
      <w:r>
        <w:rPr>
          <w:i/>
          <w:iCs/>
        </w:rPr>
        <w:t xml:space="preserve">κ</w:t>
      </w:r>
      <w:r>
        <w:t xml:space="preserve"> </w:t>
      </w:r>
      <w:r>
        <w:t xml:space="preserve">and zT values of the independent papers lie inside the measurement band at the exact level (for</w:t>
      </w:r>
      <w:r>
        <w:t xml:space="preserve"> </w:t>
      </w:r>
      <w:r>
        <w:rPr>
          <w:i/>
          <w:iCs/>
        </w:rPr>
        <w:t xml:space="preserve">σ</w:t>
      </w:r>
      <w:r>
        <w:t xml:space="preserve"> </w:t>
      </w:r>
      <w:r>
        <w:t xml:space="preserve">the signed median log</w:t>
      </w:r>
      <w:r>
        <w:rPr>
          <w:vertAlign w:val="subscript"/>
        </w:rPr>
        <w:t xml:space="preserve">10</w:t>
      </w:r>
      <w:r>
        <w:t xml:space="preserve"> </w:t>
      </w:r>
      <w:r>
        <w:t xml:space="preserve">ratio is</w:t>
      </w:r>
      <w:r>
        <w:t xml:space="preserve"> </w:t>
      </w:r>
      <w:r>
        <w:t xml:space="preserve">−0.185</w:t>
      </w:r>
      <w:r>
        <w:t xml:space="preserve"> </w:t>
      </w:r>
      <w:r>
        <w:t xml:space="preserve">for one paper and</w:t>
      </w:r>
      <w:r>
        <w:t xml:space="preserve"> </w:t>
      </w:r>
      <w:r>
        <w:t xml:space="preserve">+0.768</w:t>
      </w:r>
      <w:r>
        <w:t xml:space="preserve"> </w:t>
      </w:r>
      <w:r>
        <w:t xml:space="preserve">for the other); the full ranked list (Table 9) is offered as hypotheses, and its zT values should be read with that comparison in mind.</w:t>
      </w:r>
    </w:p>
    <w:p>
      <w:pPr>
        <w:numPr>
          <w:ilvl w:val="0"/>
          <w:numId w:val="1003"/>
        </w:numPr>
      </w:pPr>
      <w:r>
        <w:t xml:space="preserve">Validation methodology dominates reported accuracy. Random, 5-fold and 10-fold CV give nearly identical, inflated R</w:t>
      </w:r>
      <w:r>
        <w:rPr>
          <w:vertAlign w:val="superscript"/>
        </w:rPr>
        <w:t xml:space="preserve">2</w:t>
      </w:r>
      <w:r>
        <w:t xml:space="preserve"> </w:t>
      </w:r>
      <w:r>
        <w:t xml:space="preserve">values; chemistry-cluster CV reduces R</w:t>
      </w:r>
      <w:r>
        <w:rPr>
          <w:vertAlign w:val="superscript"/>
        </w:rPr>
        <w:t xml:space="preserve">2</w:t>
      </w:r>
      <w:r>
        <w:t xml:space="preserve"> </w:t>
      </w:r>
      <w:r>
        <w:t xml:space="preserve">by</w:t>
      </w:r>
      <w:r>
        <w:t xml:space="preserve"> </w:t>
      </w:r>
      <w:r>
        <w:t xml:space="preserve">0.134</w:t>
      </w:r>
      <w:r>
        <w:t xml:space="preserve"> </w:t>
      </w:r>
      <w:r>
        <w:t xml:space="preserve">(</w:t>
      </w:r>
      <w:r>
        <w:rPr>
          <w:i/>
          <w:iCs/>
        </w:rPr>
        <w:t xml:space="preserve">κ</w:t>
      </w:r>
      <w:r>
        <w:t xml:space="preserve">) to</w:t>
      </w:r>
      <w:r>
        <w:t xml:space="preserve"> </w:t>
      </w:r>
      <w:r>
        <w:t xml:space="preserve">0.213</w:t>
      </w:r>
      <w:r>
        <w:t xml:space="preserve"> </w:t>
      </w:r>
      <w:r>
        <w:t xml:space="preserve">(</w:t>
      </w:r>
      <w:r>
        <w:rPr>
          <w:i/>
          <w:iCs/>
        </w:rPr>
        <w:t xml:space="preserve">σ</w:t>
      </w:r>
      <w:r>
        <w:t xml:space="preserve">). (RQ2)</w:t>
      </w:r>
    </w:p>
    <w:p>
      <w:pPr>
        <w:numPr>
          <w:ilvl w:val="0"/>
          <w:numId w:val="1003"/>
        </w:numPr>
      </w:pPr>
      <w:r>
        <w:t xml:space="preserve">Under chemistry-cluster CV, the composition-only R</w:t>
      </w:r>
      <w:r>
        <w:rPr>
          <w:vertAlign w:val="superscript"/>
        </w:rPr>
        <w:t xml:space="preserve">2</w:t>
      </w:r>
      <w:r>
        <w:t xml:space="preserve"> </w:t>
      </w:r>
      <w:r>
        <w:t xml:space="preserve">values are</w:t>
      </w:r>
      <w:r>
        <w:t xml:space="preserve"> </w:t>
      </w:r>
      <w:r>
        <w:t xml:space="preserve">0.753</w:t>
      </w:r>
      <w:r>
        <w:t xml:space="preserve"> </w:t>
      </w:r>
      <w:r>
        <w:t xml:space="preserve">(S),</w:t>
      </w:r>
      <w:r>
        <w:t xml:space="preserve"> </w:t>
      </w:r>
      <w:r>
        <w:t xml:space="preserve">0.702</w:t>
      </w:r>
      <w:r>
        <w:t xml:space="preserve"> </w:t>
      </w:r>
      <w:r>
        <w:t xml:space="preserve">(</w:t>
      </w:r>
      <w:r>
        <w:rPr>
          <w:i/>
          <w:iCs/>
        </w:rPr>
        <w:t xml:space="preserve">σ</w:t>
      </w:r>
      <w:r>
        <w:t xml:space="preserve">),</w:t>
      </w:r>
      <w:r>
        <w:t xml:space="preserve"> </w:t>
      </w:r>
      <w:r>
        <w:t xml:space="preserve">0.809</w:t>
      </w:r>
      <w:r>
        <w:t xml:space="preserve"> </w:t>
      </w:r>
      <w:r>
        <w:t xml:space="preserve">(</w:t>
      </w:r>
      <w:r>
        <w:rPr>
          <w:i/>
          <w:iCs/>
        </w:rPr>
        <w:t xml:space="preserve">κ</w:t>
      </w:r>
      <w:r>
        <w:t xml:space="preserve">) and</w:t>
      </w:r>
      <w:r>
        <w:t xml:space="preserve"> </w:t>
      </w:r>
      <w:r>
        <w:t xml:space="preserve">0.746</w:t>
      </w:r>
      <w:r>
        <w:t xml:space="preserve"> </w:t>
      </w:r>
      <w:r>
        <w:t xml:space="preserve">(zT). Tripling the descriptor set adds at most</w:t>
      </w:r>
      <w:r>
        <w:t xml:space="preserve"> </w:t>
      </w:r>
      <w:r>
        <w:t xml:space="preserve">0.011</w:t>
      </w:r>
      <w:r>
        <w:t xml:space="preserve"> </w:t>
      </w:r>
      <w:r>
        <w:t xml:space="preserve">to R</w:t>
      </w:r>
      <w:r>
        <w:rPr>
          <w:vertAlign w:val="superscript"/>
        </w:rPr>
        <w:t xml:space="preserve">2</w:t>
      </w:r>
      <w:r>
        <w:t xml:space="preserve">. A nested stack of XGBoost, LightGBM and a random forest is not distinguishable from their unweighted mean (at most</w:t>
      </w:r>
      <w:r>
        <w:t xml:space="preserve"> </w:t>
      </w:r>
      <w:r>
        <w:t xml:space="preserve">0.0004</w:t>
      </w:r>
      <w:r>
        <w:t xml:space="preserve"> </w:t>
      </w:r>
      <w:r>
        <w:t xml:space="preserve">apart, with intervals that contain zero on every target), and the mean is above XGBoost by at most</w:t>
      </w:r>
      <w:r>
        <w:t xml:space="preserve"> </w:t>
      </w:r>
      <w:r>
        <w:t xml:space="preserve">0.005</w:t>
      </w:r>
      <w:r>
        <w:t xml:space="preserve">; the three models agree within</w:t>
      </w:r>
      <w:r>
        <w:t xml:space="preserve"> </w:t>
      </w:r>
      <w:r>
        <w:t xml:space="preserve">0.007</w:t>
      </w:r>
      <w:r>
        <w:t xml:space="preserve"> </w:t>
      </w:r>
      <w:r>
        <w:t xml:space="preserve">in R</w:t>
      </w:r>
      <w:r>
        <w:rPr>
          <w:vertAlign w:val="superscript"/>
        </w:rPr>
        <w:t xml:space="preserve">2</w:t>
      </w:r>
      <w:r>
        <w:t xml:space="preserve"> </w:t>
      </w:r>
      <w:r>
        <w:t xml:space="preserve">on every target, so among these tree ensembles on these features the R</w:t>
      </w:r>
      <w:r>
        <w:rPr>
          <w:vertAlign w:val="superscript"/>
        </w:rPr>
        <w:t xml:space="preserve">2</w:t>
      </w:r>
      <w:r>
        <w:t xml:space="preserve"> </w:t>
      </w:r>
      <w:r>
        <w:t xml:space="preserve">does not depend on the learner; this is consistent with the information in composition-only features and the label noise setting the limit, but it does not exclude learners that use structure (RQ1)</w:t>
      </w:r>
    </w:p>
    <w:p>
      <w:pPr>
        <w:numPr>
          <w:ilvl w:val="0"/>
          <w:numId w:val="1003"/>
        </w:numPr>
      </w:pPr>
      <w:r>
        <w:t xml:space="preserve">External validation on ESTM lowers R</w:t>
      </w:r>
      <w:r>
        <w:rPr>
          <w:vertAlign w:val="superscript"/>
        </w:rPr>
        <w:t xml:space="preserve">2</w:t>
      </w:r>
      <w:r>
        <w:t xml:space="preserve"> </w:t>
      </w:r>
      <w:r>
        <w:t xml:space="preserve">further, most for chemistries absent from training (zT R</w:t>
      </w:r>
      <w:r>
        <w:rPr>
          <w:vertAlign w:val="superscript"/>
        </w:rPr>
        <w:t xml:space="preserve">2</w:t>
      </w:r>
      <w:r>
        <w:t xml:space="preserve"> </w:t>
      </w:r>
      <w:r>
        <w:t xml:space="preserve">=</w:t>
      </w:r>
      <w:r>
        <w:t xml:space="preserve"> </w:t>
      </w:r>
      <w:r>
        <w:t xml:space="preserve">0.513</w:t>
      </w:r>
      <w:r>
        <w:t xml:space="preserve">, against</w:t>
      </w:r>
      <w:r>
        <w:t xml:space="preserve"> </w:t>
      </w:r>
      <w:r>
        <w:t xml:space="preserve">0.746</w:t>
      </w:r>
      <w:r>
        <w:t xml:space="preserve"> </w:t>
      </w:r>
      <w:r>
        <w:t xml:space="preserve">internally and</w:t>
      </w:r>
      <w:r>
        <w:t xml:space="preserve"> </w:t>
      </w:r>
      <w:r>
        <w:t xml:space="preserve">0.666</w:t>
      </w:r>
      <w:r>
        <w:t xml:space="preserve"> </w:t>
      </w:r>
      <w:r>
        <w:t xml:space="preserve">for rows sharing no source publication with training), while</w:t>
      </w:r>
      <w:r>
        <w:t xml:space="preserve"> </w:t>
      </w:r>
      <w:r>
        <w:rPr>
          <w:i/>
          <w:iCs/>
        </w:rPr>
        <w:t xml:space="preserve">σ</w:t>
      </w:r>
      <w:r>
        <w:t xml:space="preserve"> </w:t>
      </w:r>
      <w:r>
        <w:t xml:space="preserve">remains poorly predictable (R</w:t>
      </w:r>
      <w:r>
        <w:rPr>
          <w:vertAlign w:val="superscript"/>
        </w:rPr>
        <w:t xml:space="preserve">2</w:t>
      </w:r>
      <w:r>
        <w:t xml:space="preserve"> </w:t>
      </w:r>
      <w:r>
        <w:t xml:space="preserve">=</w:t>
      </w:r>
      <w:r>
        <w:t xml:space="preserve"> </w:t>
      </w:r>
      <w:r>
        <w:t xml:space="preserve">0.283</w:t>
      </w:r>
      <w:r>
        <w:t xml:space="preserve"> </w:t>
      </w:r>
      <w:r>
        <w:t xml:space="preserve">in stratum b). Against DFT-computed Seebeck coefficients (JARVIS) the Seebeck model shows no sign transfer with the regressor’s sign (agreement</w:t>
      </w:r>
      <w:r>
        <w:t xml:space="preserve"> </w:t>
      </w:r>
      <w:r>
        <w:t xml:space="preserve">0.50</w:t>
      </w:r>
      <w:r>
        <w:t xml:space="preserve">, chance, on entries that are mostly metals) and a rank correlation of the magnitudes of</w:t>
      </w:r>
      <w:r>
        <w:t xml:space="preserve"> </w:t>
      </w:r>
      <w:r>
        <w:t xml:space="preserve">0.23</w:t>
      </w:r>
      <w:r>
        <w:t xml:space="preserve"> </w:t>
      </w:r>
      <w:r>
        <w:t xml:space="preserve">that is largely confined to chemistries seen in training.</w:t>
      </w:r>
    </w:p>
    <w:p>
      <w:pPr>
        <w:numPr>
          <w:ilvl w:val="0"/>
          <w:numId w:val="1003"/>
        </w:numPr>
      </w:pPr>
      <w:r>
        <w:t xml:space="preserve">Direct zT regression (R</w:t>
      </w:r>
      <w:r>
        <w:rPr>
          <w:vertAlign w:val="superscript"/>
        </w:rPr>
        <w:t xml:space="preserve">2</w:t>
      </w:r>
      <w:r>
        <w:t xml:space="preserve"> </w:t>
      </w:r>
      <w:r>
        <w:t xml:space="preserve">=</w:t>
      </w:r>
      <w:r>
        <w:t xml:space="preserve"> </w:t>
      </w:r>
      <w:r>
        <w:t xml:space="preserve">0.727</w:t>
      </w:r>
      <w:r>
        <w:t xml:space="preserve">) outperforms the component-wise route S</w:t>
      </w:r>
      <w:r>
        <w:rPr>
          <w:vertAlign w:val="superscript"/>
        </w:rPr>
        <w:t xml:space="preserve">2</w:t>
      </w:r>
      <w:r>
        <w:rPr>
          <w:i/>
          <w:iCs/>
        </w:rPr>
        <w:t xml:space="preserve">σ</w:t>
      </w:r>
      <w:r>
        <w:t xml:space="preserve">T/</w:t>
      </w:r>
      <w:r>
        <w:rPr>
          <w:i/>
          <w:iCs/>
        </w:rPr>
        <w:t xml:space="preserve">κ</w:t>
      </w:r>
      <w:r>
        <w:t xml:space="preserve"> </w:t>
      </w:r>
      <w:r>
        <w:t xml:space="preserve">(R</w:t>
      </w:r>
      <w:r>
        <w:rPr>
          <w:vertAlign w:val="superscript"/>
        </w:rPr>
        <w:t xml:space="preserve">2</w:t>
      </w:r>
      <w:r>
        <w:t xml:space="preserve"> </w:t>
      </w:r>
      <w:r>
        <w:t xml:space="preserve">=</w:t>
      </w:r>
      <w:r>
        <w:t xml:space="preserve"> </w:t>
      </w:r>
      <w:r>
        <w:t xml:space="preserve">0.540</w:t>
      </w:r>
      <w:r>
        <w:t xml:space="preserve">) because component errors compound; component models remain diagnostically useful. (RQ3)</w:t>
      </w:r>
    </w:p>
    <w:p>
      <w:pPr>
        <w:numPr>
          <w:ilvl w:val="0"/>
          <w:numId w:val="1003"/>
        </w:numPr>
      </w:pPr>
      <w:r>
        <w:t xml:space="preserve">SHAP analysis of the zT model ranks temperature first; for S,</w:t>
      </w:r>
      <w:r>
        <w:t xml:space="preserve"> </w:t>
      </w:r>
      <w:r>
        <w:rPr>
          <w:i/>
          <w:iCs/>
        </w:rPr>
        <w:t xml:space="preserve">σ</w:t>
      </w:r>
      <w:r>
        <w:t xml:space="preserve"> </w:t>
      </w:r>
      <w:r>
        <w:t xml:space="preserve">and</w:t>
      </w:r>
      <w:r>
        <w:t xml:space="preserve"> </w:t>
      </w:r>
      <w:r>
        <w:rPr>
          <w:i/>
          <w:iCs/>
        </w:rPr>
        <w:t xml:space="preserve">κ</w:t>
      </w:r>
      <w:r>
        <w:t xml:space="preserve"> </w:t>
      </w:r>
      <w:r>
        <w:t xml:space="preserve">the largest mean |SHAP| belongs to a statistic of an elemental property (CBFV; Table 6), not to a measured property of the material, and temperature is ranked second for</w:t>
      </w:r>
      <w:r>
        <w:t xml:space="preserve"> </w:t>
      </w:r>
      <w:r>
        <w:rPr>
          <w:i/>
          <w:iCs/>
        </w:rPr>
        <w:t xml:space="preserve">κ</w:t>
      </w:r>
      <w:r>
        <w:t xml:space="preserve">.</w:t>
      </w:r>
    </w:p>
    <w:p>
      <w:pPr>
        <w:pStyle w:val="FirstParagraph"/>
      </w:pPr>
      <w:r>
        <w:t xml:space="preserve">Future work should (i) add structural information, e.g. by mapping doped compositions to parent-compound structures (Bi</w:t>
      </w:r>
      <w:r>
        <w:rPr>
          <w:vertAlign w:val="subscript"/>
        </w:rPr>
        <w:t xml:space="preserve">0.5</w:t>
      </w:r>
      <w:r>
        <w:t xml:space="preserve">Sb</w:t>
      </w:r>
      <w:r>
        <w:rPr>
          <w:vertAlign w:val="subscript"/>
        </w:rPr>
        <w:t xml:space="preserve">1.5</w:t>
      </w:r>
      <w:r>
        <w:t xml:space="preserve">Te</w:t>
      </w:r>
      <w:r>
        <w:rPr>
          <w:vertAlign w:val="subscript"/>
        </w:rPr>
        <w:t xml:space="preserve">3</w:t>
      </w:r>
      <w:r>
        <w:t xml:space="preserve"> </w:t>
      </w:r>
      <w:r>
        <w:t xml:space="preserve">→ Bi</w:t>
      </w:r>
      <w:r>
        <w:rPr>
          <w:vertAlign w:val="subscript"/>
        </w:rPr>
        <w:t xml:space="preserve">2</w:t>
      </w:r>
      <w:r>
        <w:t xml:space="preserve">Te</w:t>
      </w:r>
      <w:r>
        <w:rPr>
          <w:vertAlign w:val="subscript"/>
        </w:rPr>
        <w:t xml:space="preserve">3</w:t>
      </w:r>
      <w:r>
        <w:t xml:space="preserve">), or by using crystal graph networks such as CGCNN</w:t>
      </w:r>
      <w:r>
        <w:rPr>
          <w:vertAlign w:val="superscript"/>
        </w:rPr>
        <w:t xml:space="preserve">61</w:t>
      </w:r>
      <w:r>
        <w:t xml:space="preserve"> </w:t>
      </w:r>
      <w:r>
        <w:t xml:space="preserve">and MEGNet</w:t>
      </w:r>
      <w:r>
        <w:rPr>
          <w:vertAlign w:val="superscript"/>
        </w:rPr>
        <w:t xml:space="preserve">62</w:t>
      </w:r>
      <w:r>
        <w:t xml:space="preserve">; (ii) quantify uncertainty with bootstrap ensembles or conformal prediction</w:t>
      </w:r>
      <w:r>
        <w:rPr>
          <w:vertAlign w:val="superscript"/>
        </w:rPr>
        <w:t xml:space="preserve">60</w:t>
      </w:r>
      <w:r>
        <w:t xml:space="preserve">; (iii) combine DFT and experimental data through multi-fidelity or transfer learning; (iv) build doping-aware descriptors that separate dopant elements from the host formula</w:t>
      </w:r>
      <w:r>
        <w:rPr>
          <w:vertAlign w:val="superscript"/>
        </w:rPr>
        <w:t xml:space="preserve">24</w:t>
      </w:r>
      <w:r>
        <w:t xml:space="preserve">; (v) close the loop with active learning; and (vi) measure the thermoelectric properties of the candidates of the ranked list for which the literature check found no study (</w:t>
      </w:r>
      <w:r>
        <w:t xml:space="preserve">19</w:t>
      </w:r>
      <w:r>
        <w:t xml:space="preserve"> </w:t>
      </w:r>
      <w:r>
        <w:t xml:space="preserve">of the</w:t>
      </w:r>
      <w:r>
        <w:t xml:space="preserve"> </w:t>
      </w:r>
      <w:r>
        <w:t xml:space="preserve">30</w:t>
      </w:r>
      <w:r>
        <w:t xml:space="preserve"> </w:t>
      </w:r>
      <w:r>
        <w:t xml:space="preserve">main-list candidates) to calibrate the framework in the under-represented perovskite region. Composition-based models are useful for triage, but only chemistry-aware validation prevents overstatement of their accuracy.</w:t>
      </w:r>
    </w:p>
    <w:bookmarkEnd w:id="57"/>
    <w:bookmarkStart w:id="58" w:name="data-availability"/>
    <w:p>
      <w:pPr>
        <w:pStyle w:val="Heading1"/>
      </w:pPr>
      <w:r>
        <w:t xml:space="preserve">Data availability</w:t>
      </w:r>
    </w:p>
    <w:p>
      <w:pPr>
        <w:pStyle w:val="FirstParagraph"/>
      </w:pPr>
      <w:r>
        <w:t xml:space="preserve">The Starrydata2 export is regenerated daily, so this study uses one pinned snapshot (pulled</w:t>
      </w:r>
      <w:r>
        <w:t xml:space="preserve"> </w:t>
      </w:r>
      <w:r>
        <w:t xml:space="preserve">22 August 2026</w:t>
      </w:r>
      <w:r>
        <w:t xml:space="preserve">) archived with its SHA-256 hash; the Materials Project and ESTM data are public.</w:t>
      </w:r>
    </w:p>
    <w:bookmarkEnd w:id="58"/>
    <w:bookmarkStart w:id="59" w:name="code-availability"/>
    <w:p>
      <w:pPr>
        <w:pStyle w:val="Heading1"/>
      </w:pPr>
      <w:r>
        <w:t xml:space="preserve">Code availability</w:t>
      </w:r>
    </w:p>
    <w:p>
      <w:pPr>
        <w:pStyle w:val="FirstParagraph"/>
      </w:pPr>
      <w:r>
        <w:t xml:space="preserve">[Code availability: to be supplied by the authors.]</w:t>
      </w:r>
    </w:p>
    <w:bookmarkEnd w:id="59"/>
    <w:bookmarkStart w:id="60" w:name="author-contributions-credit"/>
    <w:p>
      <w:pPr>
        <w:pStyle w:val="Heading1"/>
      </w:pPr>
      <w:r>
        <w:t xml:space="preserve">Author contributions (CRediT)</w:t>
      </w:r>
    </w:p>
    <w:p>
      <w:pPr>
        <w:pStyle w:val="FirstParagraph"/>
      </w:pPr>
      <w:r>
        <w:rPr>
          <w:b/>
          <w:bCs/>
        </w:rPr>
        <w:t xml:space="preserve">Muhammad Behzad Gull:</w:t>
      </w:r>
      <w:r>
        <w:t xml:space="preserve"> </w:t>
      </w:r>
      <w:r>
        <w:t xml:space="preserve">Methodology, Software, Data curation, Formal analysis, Investigation, Visualization, Writing – original draft.</w:t>
      </w:r>
      <w:r>
        <w:t xml:space="preserve"> </w:t>
      </w:r>
      <w:r>
        <w:rPr>
          <w:b/>
          <w:bCs/>
        </w:rPr>
        <w:t xml:space="preserve">Kamran Javed:</w:t>
      </w:r>
      <w:r>
        <w:t xml:space="preserve"> </w:t>
      </w:r>
      <w:r>
        <w:t xml:space="preserve">Supervision, Project, Resources, Writing – review &amp; editing.</w:t>
      </w:r>
      <w:r>
        <w:t xml:space="preserve"> </w:t>
      </w:r>
      <w:r>
        <w:rPr>
          <w:b/>
          <w:bCs/>
        </w:rPr>
        <w:t xml:space="preserve">Muhammad Ejaz Khan:</w:t>
      </w:r>
      <w:r>
        <w:t xml:space="preserve"> </w:t>
      </w:r>
      <w:r>
        <w:t xml:space="preserve">Conceptualization, Supervision, Administration, Methodology, Validation, Writing – review &amp; editing.</w:t>
      </w:r>
    </w:p>
    <w:bookmarkEnd w:id="60"/>
    <w:bookmarkStart w:id="61" w:name="funding"/>
    <w:p>
      <w:pPr>
        <w:pStyle w:val="Heading1"/>
      </w:pPr>
      <w:r>
        <w:t xml:space="preserve">Funding</w:t>
      </w:r>
    </w:p>
    <w:p>
      <w:pPr>
        <w:pStyle w:val="FirstParagraph"/>
      </w:pPr>
      <w:r>
        <w:t xml:space="preserve">[Funding statement: to be supplied by the authors.]</w:t>
      </w:r>
    </w:p>
    <w:bookmarkEnd w:id="61"/>
    <w:bookmarkStart w:id="62"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2"/>
    <w:bookmarkStart w:id="63" w:name="X071796dd6bc546c91e96cca1cf5ff96599de61f"/>
    <w:p>
      <w:pPr>
        <w:pStyle w:val="Heading1"/>
      </w:pPr>
      <w:r>
        <w:t xml:space="preserve">Declaration of generative AI and AI-assisted technologies in the writing process</w:t>
      </w:r>
    </w:p>
    <w:p>
      <w:pPr>
        <w:pStyle w:val="FirstParagraph"/>
      </w:pPr>
      <w:r>
        <w:t xml:space="preserve">[Declaration of generative AI use: to be written by the authors.]</w:t>
      </w:r>
    </w:p>
    <w:bookmarkEnd w:id="63"/>
    <w:bookmarkStart w:id="64" w:name="acknowledgements"/>
    <w:p>
      <w:pPr>
        <w:pStyle w:val="Heading1"/>
      </w:pPr>
      <w:r>
        <w:t xml:space="preserve">Acknowledgements</w:t>
      </w:r>
    </w:p>
    <w:p>
      <w:pPr>
        <w:pStyle w:val="FirstParagraph"/>
      </w:pPr>
      <w:r>
        <w:t xml:space="preserve">The authors thank the developers and maintainers of Starrydata2, the Materials Project, ESTM (KRICT) and JARVIS (NIST) for making their data openly available, and the School of Computing Sciences, Pak-Austria Fachhochschule: Institute of Applied Sciences and Technology, for computational support.</w:t>
      </w:r>
    </w:p>
    <w:bookmarkEnd w:id="64"/>
    <w:bookmarkStart w:id="190" w:name="references"/>
    <w:p>
      <w:pPr>
        <w:pStyle w:val="Heading1"/>
      </w:pPr>
      <w:r>
        <w:t xml:space="preserve">References</w:t>
      </w:r>
    </w:p>
    <w:bookmarkStart w:id="189" w:name="refs"/>
    <w:bookmarkStart w:id="66" w:name="ref-forman2016estimating"/>
    <w:p>
      <w:pPr>
        <w:pStyle w:val="Bibliography"/>
      </w:pPr>
      <w:r>
        <w:t xml:space="preserve">1.</w:t>
      </w:r>
      <w:r>
        <w:t xml:space="preserve"> </w:t>
      </w:r>
      <w:r>
        <w:t xml:space="preserve">	</w:t>
      </w:r>
      <w:r>
        <w:t xml:space="preserve">Forman, C., Muritala, I. K., Pardemann, R. &amp; Meyer, B.</w:t>
      </w:r>
      <w:r>
        <w:t xml:space="preserve"> </w:t>
      </w:r>
      <w:hyperlink r:id="rId65">
        <w:r>
          <w:rPr>
            <w:rStyle w:val="Hyperlink"/>
          </w:rPr>
          <w:t xml:space="preserve">Estimating the global waste heat potential</w:t>
        </w:r>
      </w:hyperlink>
      <w:r>
        <w:t xml:space="preserve">.</w:t>
      </w:r>
      <w:r>
        <w:t xml:space="preserve"> </w:t>
      </w:r>
      <w:r>
        <w:rPr>
          <w:i/>
          <w:iCs/>
        </w:rPr>
        <w:t xml:space="preserve">Renewable and Sustainable Energy Reviews</w:t>
      </w:r>
      <w:r>
        <w:t xml:space="preserve"> </w:t>
      </w:r>
      <w:r>
        <w:rPr>
          <w:b/>
          <w:bCs/>
        </w:rPr>
        <w:t xml:space="preserve">57</w:t>
      </w:r>
      <w:r>
        <w:t xml:space="preserve">, 1568–1579 (2016).</w:t>
      </w:r>
    </w:p>
    <w:bookmarkEnd w:id="66"/>
    <w:bookmarkStart w:id="68" w:name="ref-bell2008cooling"/>
    <w:p>
      <w:pPr>
        <w:pStyle w:val="Bibliography"/>
      </w:pPr>
      <w:r>
        <w:t xml:space="preserve">2.</w:t>
      </w:r>
      <w:r>
        <w:t xml:space="preserve"> </w:t>
      </w:r>
      <w:r>
        <w:t xml:space="preserve">	</w:t>
      </w:r>
      <w:r>
        <w:t xml:space="preserve">Bell, L. E.</w:t>
      </w:r>
      <w:r>
        <w:t xml:space="preserve"> </w:t>
      </w:r>
      <w:hyperlink r:id="rId67">
        <w:r>
          <w:rPr>
            <w:rStyle w:val="Hyperlink"/>
          </w:rPr>
          <w:t xml:space="preserve">Cooling, heating, generating power, and recovering waste heat with thermoelectric systems</w:t>
        </w:r>
      </w:hyperlink>
      <w:r>
        <w:t xml:space="preserve">.</w:t>
      </w:r>
      <w:r>
        <w:t xml:space="preserve"> </w:t>
      </w:r>
      <w:r>
        <w:rPr>
          <w:i/>
          <w:iCs/>
        </w:rPr>
        <w:t xml:space="preserve">Science</w:t>
      </w:r>
      <w:r>
        <w:t xml:space="preserve"> </w:t>
      </w:r>
      <w:r>
        <w:rPr>
          <w:b/>
          <w:bCs/>
        </w:rPr>
        <w:t xml:space="preserve">321</w:t>
      </w:r>
      <w:r>
        <w:t xml:space="preserve">, 1457–1461 (2008).</w:t>
      </w:r>
    </w:p>
    <w:bookmarkEnd w:id="68"/>
    <w:bookmarkStart w:id="70" w:name="ref-slack1995materials"/>
    <w:p>
      <w:pPr>
        <w:pStyle w:val="Bibliography"/>
      </w:pPr>
      <w:r>
        <w:t xml:space="preserve">3.</w:t>
      </w:r>
      <w:r>
        <w:t xml:space="preserve"> </w:t>
      </w:r>
      <w:r>
        <w:t xml:space="preserve">	</w:t>
      </w:r>
      <w:r>
        <w:t xml:space="preserve">Slack, G. New materials and performance limits for thermoelectric cooling. in</w:t>
      </w:r>
      <w:r>
        <w:t xml:space="preserve"> </w:t>
      </w:r>
      <w:r>
        <w:rPr>
          <w:i/>
          <w:iCs/>
        </w:rPr>
        <w:t xml:space="preserve">CRC handbook of thermoelectrics</w:t>
      </w:r>
      <w:r>
        <w:t xml:space="preserve"> </w:t>
      </w:r>
      <w:r>
        <w:t xml:space="preserve">(CRC Press, 1995). doi:</w:t>
      </w:r>
      <w:hyperlink r:id="rId69">
        <w:r>
          <w:rPr>
            <w:rStyle w:val="Hyperlink"/>
          </w:rPr>
          <w:t xml:space="preserve">10.1201/9781420049718.ch34</w:t>
        </w:r>
      </w:hyperlink>
      <w:r>
        <w:t xml:space="preserve">.</w:t>
      </w:r>
    </w:p>
    <w:bookmarkEnd w:id="70"/>
    <w:bookmarkStart w:id="72" w:name="ref-snyder2008complex"/>
    <w:p>
      <w:pPr>
        <w:pStyle w:val="Bibliography"/>
      </w:pPr>
      <w:r>
        <w:t xml:space="preserve">4.</w:t>
      </w:r>
      <w:r>
        <w:t xml:space="preserve"> </w:t>
      </w:r>
      <w:r>
        <w:t xml:space="preserve">	</w:t>
      </w:r>
      <w:r>
        <w:t xml:space="preserve">Snyder, G. J. &amp; Toberer, E. S.</w:t>
      </w:r>
      <w:r>
        <w:t xml:space="preserve"> </w:t>
      </w:r>
      <w:hyperlink r:id="rId71">
        <w:r>
          <w:rPr>
            <w:rStyle w:val="Hyperlink"/>
          </w:rPr>
          <w:t xml:space="preserve">Complex thermoelectric materials</w:t>
        </w:r>
      </w:hyperlink>
      <w:r>
        <w:t xml:space="preserve">.</w:t>
      </w:r>
      <w:r>
        <w:t xml:space="preserve"> </w:t>
      </w:r>
      <w:r>
        <w:rPr>
          <w:i/>
          <w:iCs/>
        </w:rPr>
        <w:t xml:space="preserve">Nature Materials</w:t>
      </w:r>
      <w:r>
        <w:t xml:space="preserve"> </w:t>
      </w:r>
      <w:r>
        <w:rPr>
          <w:b/>
          <w:bCs/>
        </w:rPr>
        <w:t xml:space="preserve">7</w:t>
      </w:r>
      <w:r>
        <w:t xml:space="preserve">, 105–114 (2008).</w:t>
      </w:r>
    </w:p>
    <w:bookmarkEnd w:id="72"/>
    <w:bookmarkStart w:id="74" w:name="ref-biswas2012performance"/>
    <w:p>
      <w:pPr>
        <w:pStyle w:val="Bibliography"/>
      </w:pPr>
      <w:r>
        <w:t xml:space="preserve">5.</w:t>
      </w:r>
      <w:r>
        <w:t xml:space="preserve"> </w:t>
      </w:r>
      <w:r>
        <w:t xml:space="preserve">	</w:t>
      </w:r>
      <w:r>
        <w:t xml:space="preserve">Biswas, K.</w:t>
      </w:r>
      <w:r>
        <w:t xml:space="preserve"> </w:t>
      </w:r>
      <w:r>
        <w:rPr>
          <w:i/>
          <w:iCs/>
        </w:rPr>
        <w:t xml:space="preserve">et al.</w:t>
      </w:r>
      <w:r>
        <w:t xml:space="preserve"> </w:t>
      </w:r>
      <w:hyperlink r:id="rId73">
        <w:r>
          <w:rPr>
            <w:rStyle w:val="Hyperlink"/>
          </w:rPr>
          <w:t xml:space="preserve">High-performance bulk thermoelectrics with all-scale hierarchical architectures</w:t>
        </w:r>
      </w:hyperlink>
      <w:r>
        <w:t xml:space="preserve">.</w:t>
      </w:r>
      <w:r>
        <w:t xml:space="preserve"> </w:t>
      </w:r>
      <w:r>
        <w:rPr>
          <w:i/>
          <w:iCs/>
        </w:rPr>
        <w:t xml:space="preserve">Nature</w:t>
      </w:r>
      <w:r>
        <w:t xml:space="preserve"> </w:t>
      </w:r>
      <w:r>
        <w:rPr>
          <w:b/>
          <w:bCs/>
        </w:rPr>
        <w:t xml:space="preserve">489</w:t>
      </w:r>
      <w:r>
        <w:t xml:space="preserve">, 414–418 (2012).</w:t>
      </w:r>
    </w:p>
    <w:bookmarkEnd w:id="74"/>
    <w:bookmarkStart w:id="76" w:name="ref-poudel2008thermoelectric"/>
    <w:p>
      <w:pPr>
        <w:pStyle w:val="Bibliography"/>
      </w:pPr>
      <w:r>
        <w:t xml:space="preserve">6.</w:t>
      </w:r>
      <w:r>
        <w:t xml:space="preserve"> </w:t>
      </w:r>
      <w:r>
        <w:t xml:space="preserve">	</w:t>
      </w:r>
      <w:r>
        <w:t xml:space="preserve">Poudel, B.</w:t>
      </w:r>
      <w:r>
        <w:t xml:space="preserve"> </w:t>
      </w:r>
      <w:r>
        <w:rPr>
          <w:i/>
          <w:iCs/>
        </w:rPr>
        <w:t xml:space="preserve">et al.</w:t>
      </w:r>
      <w:r>
        <w:t xml:space="preserve"> </w:t>
      </w:r>
      <w:hyperlink r:id="rId75">
        <w:r>
          <w:rPr>
            <w:rStyle w:val="Hyperlink"/>
          </w:rPr>
          <w:t xml:space="preserve">High-thermoelectric performance of nanostructured bismuth antimony telluride bulk alloys</w:t>
        </w:r>
      </w:hyperlink>
      <w:r>
        <w:t xml:space="preserve">.</w:t>
      </w:r>
      <w:r>
        <w:t xml:space="preserve"> </w:t>
      </w:r>
      <w:r>
        <w:rPr>
          <w:i/>
          <w:iCs/>
        </w:rPr>
        <w:t xml:space="preserve">Science</w:t>
      </w:r>
      <w:r>
        <w:t xml:space="preserve"> </w:t>
      </w:r>
      <w:r>
        <w:rPr>
          <w:b/>
          <w:bCs/>
        </w:rPr>
        <w:t xml:space="preserve">320</w:t>
      </w:r>
      <w:r>
        <w:t xml:space="preserve">, 634–638 (2008).</w:t>
      </w:r>
    </w:p>
    <w:bookmarkEnd w:id="76"/>
    <w:bookmarkStart w:id="78" w:name="ref-lee2017ultralow"/>
    <w:p>
      <w:pPr>
        <w:pStyle w:val="Bibliography"/>
      </w:pPr>
      <w:r>
        <w:t xml:space="preserve">7.</w:t>
      </w:r>
      <w:r>
        <w:t xml:space="preserve"> </w:t>
      </w:r>
      <w:r>
        <w:t xml:space="preserve">	</w:t>
      </w:r>
      <w:r>
        <w:t xml:space="preserve">Lee, W.</w:t>
      </w:r>
      <w:r>
        <w:t xml:space="preserve"> </w:t>
      </w:r>
      <w:r>
        <w:rPr>
          <w:i/>
          <w:iCs/>
        </w:rPr>
        <w:t xml:space="preserve">et al.</w:t>
      </w:r>
      <w:r>
        <w:t xml:space="preserve"> </w:t>
      </w:r>
      <w:hyperlink r:id="rId77">
        <w:r>
          <w:rPr>
            <w:rStyle w:val="Hyperlink"/>
          </w:rPr>
          <w:t xml:space="preserve">Ultralow thermal conductivity in all-inorganic halide perovskites</w:t>
        </w:r>
      </w:hyperlink>
      <w:r>
        <w:t xml:space="preserve">.</w:t>
      </w:r>
      <w:r>
        <w:t xml:space="preserve"> </w:t>
      </w:r>
      <w:r>
        <w:rPr>
          <w:i/>
          <w:iCs/>
        </w:rPr>
        <w:t xml:space="preserve">Proceedings of the National Academy of Sciences</w:t>
      </w:r>
      <w:r>
        <w:t xml:space="preserve"> </w:t>
      </w:r>
      <w:r>
        <w:rPr>
          <w:b/>
          <w:bCs/>
        </w:rPr>
        <w:t xml:space="preserve">114</w:t>
      </w:r>
      <w:r>
        <w:t xml:space="preserve">, 8693–8697 (2017).</w:t>
      </w:r>
    </w:p>
    <w:bookmarkEnd w:id="78"/>
    <w:bookmarkStart w:id="80" w:name="ref-xie2020all"/>
    <w:p>
      <w:pPr>
        <w:pStyle w:val="Bibliography"/>
      </w:pPr>
      <w:r>
        <w:t xml:space="preserve">8.</w:t>
      </w:r>
      <w:r>
        <w:t xml:space="preserve"> </w:t>
      </w:r>
      <w:r>
        <w:t xml:space="preserve">	</w:t>
      </w:r>
      <w:r>
        <w:t xml:space="preserve">Xie, H.</w:t>
      </w:r>
      <w:r>
        <w:t xml:space="preserve"> </w:t>
      </w:r>
      <w:r>
        <w:rPr>
          <w:i/>
          <w:iCs/>
        </w:rPr>
        <w:t xml:space="preserve">et al.</w:t>
      </w:r>
      <w:r>
        <w:t xml:space="preserve"> </w:t>
      </w:r>
      <w:hyperlink r:id="rId79">
        <w:r>
          <w:rPr>
            <w:rStyle w:val="Hyperlink"/>
          </w:rPr>
          <w:t xml:space="preserve">All-inorganic halide perovskites as potential thermoelectric materials: Dynamic cation off-centering induces ultralow thermal conductivity</w:t>
        </w:r>
      </w:hyperlink>
      <w:r>
        <w:t xml:space="preserve">.</w:t>
      </w:r>
      <w:r>
        <w:t xml:space="preserve"> </w:t>
      </w:r>
      <w:r>
        <w:rPr>
          <w:i/>
          <w:iCs/>
        </w:rPr>
        <w:t xml:space="preserve">Journal of the American Chemical Society</w:t>
      </w:r>
      <w:r>
        <w:t xml:space="preserve"> </w:t>
      </w:r>
      <w:r>
        <w:rPr>
          <w:b/>
          <w:bCs/>
        </w:rPr>
        <w:t xml:space="preserve">142</w:t>
      </w:r>
      <w:r>
        <w:t xml:space="preserve">, 9553–9563 (2020).</w:t>
      </w:r>
    </w:p>
    <w:bookmarkEnd w:id="80"/>
    <w:bookmarkStart w:id="82" w:name="ref-li2024phonon"/>
    <w:p>
      <w:pPr>
        <w:pStyle w:val="Bibliography"/>
      </w:pPr>
      <w:r>
        <w:t xml:space="preserve">9.</w:t>
      </w:r>
      <w:r>
        <w:t xml:space="preserve"> </w:t>
      </w:r>
      <w:r>
        <w:t xml:space="preserve">	</w:t>
      </w:r>
      <w:r>
        <w:t xml:space="preserve">Li, Y.</w:t>
      </w:r>
      <w:r>
        <w:t xml:space="preserve"> </w:t>
      </w:r>
      <w:r>
        <w:rPr>
          <w:i/>
          <w:iCs/>
        </w:rPr>
        <w:t xml:space="preserve">et al.</w:t>
      </w:r>
      <w:r>
        <w:t xml:space="preserve"> </w:t>
      </w:r>
      <w:hyperlink r:id="rId81">
        <w:r>
          <w:rPr>
            <w:rStyle w:val="Hyperlink"/>
          </w:rPr>
          <w:t xml:space="preserve">Phonon coherence in bismuth‐halide perovskite cs 3 bi 2 br 9 with ultralow thermal conductivity</w:t>
        </w:r>
      </w:hyperlink>
      <w:r>
        <w:t xml:space="preserve">.</w:t>
      </w:r>
      <w:r>
        <w:t xml:space="preserve"> </w:t>
      </w:r>
      <w:r>
        <w:rPr>
          <w:i/>
          <w:iCs/>
        </w:rPr>
        <w:t xml:space="preserve">Advanced Functional Materials</w:t>
      </w:r>
      <w:r>
        <w:t xml:space="preserve"> </w:t>
      </w:r>
      <w:r>
        <w:rPr>
          <w:b/>
          <w:bCs/>
        </w:rPr>
        <w:t xml:space="preserve">34</w:t>
      </w:r>
      <w:r>
        <w:t xml:space="preserve">, 2411152 (2024).</w:t>
      </w:r>
    </w:p>
    <w:bookmarkEnd w:id="82"/>
    <w:bookmarkStart w:id="84" w:name="ref-stoumpos2013semiconducting"/>
    <w:p>
      <w:pPr>
        <w:pStyle w:val="Bibliography"/>
      </w:pPr>
      <w:r>
        <w:t xml:space="preserve">10.</w:t>
      </w:r>
      <w:r>
        <w:t xml:space="preserve"> </w:t>
      </w:r>
      <w:r>
        <w:t xml:space="preserve">	</w:t>
      </w:r>
      <w:r>
        <w:t xml:space="preserve">Stoumpos, C. C., Malliakas, C. D. &amp; Kanatzidis, M. G.</w:t>
      </w:r>
      <w:r>
        <w:t xml:space="preserve"> </w:t>
      </w:r>
      <w:hyperlink r:id="rId83">
        <w:r>
          <w:rPr>
            <w:rStyle w:val="Hyperlink"/>
          </w:rPr>
          <w:t xml:space="preserve">Semiconducting tin and lead iodide perovskites with organic cations: Phase transitions, high mobilities, and near-infrared photoluminescent properties</w:t>
        </w:r>
      </w:hyperlink>
      <w:r>
        <w:t xml:space="preserve">.</w:t>
      </w:r>
      <w:r>
        <w:t xml:space="preserve"> </w:t>
      </w:r>
      <w:r>
        <w:rPr>
          <w:i/>
          <w:iCs/>
        </w:rPr>
        <w:t xml:space="preserve">Inorganic Chemistry</w:t>
      </w:r>
      <w:r>
        <w:t xml:space="preserve"> </w:t>
      </w:r>
      <w:r>
        <w:rPr>
          <w:b/>
          <w:bCs/>
        </w:rPr>
        <w:t xml:space="preserve">52</w:t>
      </w:r>
      <w:r>
        <w:t xml:space="preserve">, 9019–9038 (2013).</w:t>
      </w:r>
    </w:p>
    <w:bookmarkEnd w:id="84"/>
    <w:bookmarkStart w:id="86" w:name="ref-flahaut2006effect"/>
    <w:p>
      <w:pPr>
        <w:pStyle w:val="Bibliography"/>
      </w:pPr>
      <w:r>
        <w:t xml:space="preserve">11.</w:t>
      </w:r>
      <w:r>
        <w:t xml:space="preserve"> </w:t>
      </w:r>
      <w:r>
        <w:t xml:space="preserve">	</w:t>
      </w:r>
      <w:r>
        <w:t xml:space="preserve">Flahaut, D., Funahashi, R., Lee, K., Ohta, H. &amp; Koumoto, K. Effect of the yb substitutions on the thermoelectric properties of CaMnO3. in</w:t>
      </w:r>
      <w:r>
        <w:t xml:space="preserve"> </w:t>
      </w:r>
      <w:r>
        <w:rPr>
          <w:i/>
          <w:iCs/>
        </w:rPr>
        <w:t xml:space="preserve">2006 25th international conference on thermoelectrics</w:t>
      </w:r>
      <w:r>
        <w:t xml:space="preserve"> </w:t>
      </w:r>
      <w:r>
        <w:t xml:space="preserve">103–106 (IEEE, 2006). doi:</w:t>
      </w:r>
      <w:hyperlink r:id="rId85">
        <w:r>
          <w:rPr>
            <w:rStyle w:val="Hyperlink"/>
          </w:rPr>
          <w:t xml:space="preserve">10.1109/ict.2006.331291</w:t>
        </w:r>
      </w:hyperlink>
      <w:r>
        <w:t xml:space="preserve">.</w:t>
      </w:r>
    </w:p>
    <w:bookmarkEnd w:id="86"/>
    <w:bookmarkStart w:id="88" w:name="ref-androulakis2004coo"/>
    <w:p>
      <w:pPr>
        <w:pStyle w:val="Bibliography"/>
      </w:pPr>
      <w:r>
        <w:t xml:space="preserve">12.</w:t>
      </w:r>
      <w:r>
        <w:t xml:space="preserve"> </w:t>
      </w:r>
      <w:r>
        <w:t xml:space="preserve">	</w:t>
      </w:r>
      <w:r>
        <w:t xml:space="preserve">Androulakis, J., Migiakis, P. &amp; Giapintzakis, J.</w:t>
      </w:r>
      <w:r>
        <w:t xml:space="preserve"> </w:t>
      </w:r>
      <w:hyperlink r:id="rId87">
        <w:r>
          <w:rPr>
            <w:rStyle w:val="Hyperlink"/>
          </w:rPr>
          <w:t xml:space="preserve">La 0.95 sr 0.05 CoO 3 : An efficient room-temperature thermoelectric oxide</w:t>
        </w:r>
      </w:hyperlink>
      <w:r>
        <w:t xml:space="preserve">.</w:t>
      </w:r>
      <w:r>
        <w:t xml:space="preserve"> </w:t>
      </w:r>
      <w:r>
        <w:rPr>
          <w:i/>
          <w:iCs/>
        </w:rPr>
        <w:t xml:space="preserve">Applied Physics Letters</w:t>
      </w:r>
      <w:r>
        <w:t xml:space="preserve"> </w:t>
      </w:r>
      <w:r>
        <w:rPr>
          <w:b/>
          <w:bCs/>
        </w:rPr>
        <w:t xml:space="preserve">84</w:t>
      </w:r>
      <w:r>
        <w:t xml:space="preserve">, 1099–1101 (2004).</w:t>
      </w:r>
    </w:p>
    <w:bookmarkEnd w:id="88"/>
    <w:bookmarkStart w:id="90" w:name="ref-li2014shengbte"/>
    <w:p>
      <w:pPr>
        <w:pStyle w:val="Bibliography"/>
      </w:pPr>
      <w:r>
        <w:t xml:space="preserve">13.</w:t>
      </w:r>
      <w:r>
        <w:t xml:space="preserve"> </w:t>
      </w:r>
      <w:r>
        <w:t xml:space="preserve">	</w:t>
      </w:r>
      <w:r>
        <w:t xml:space="preserve">Li, W., Carrete, J., A. Katcho, N. &amp; Mingo, N.</w:t>
      </w:r>
      <w:r>
        <w:t xml:space="preserve"> </w:t>
      </w:r>
      <w:hyperlink r:id="rId89">
        <w:r>
          <w:rPr>
            <w:rStyle w:val="Hyperlink"/>
          </w:rPr>
          <w:t xml:space="preserve">ShengBTE: A solver of the boltzmann transport equation for phonons</w:t>
        </w:r>
      </w:hyperlink>
      <w:r>
        <w:t xml:space="preserve">.</w:t>
      </w:r>
      <w:r>
        <w:t xml:space="preserve"> </w:t>
      </w:r>
      <w:r>
        <w:rPr>
          <w:i/>
          <w:iCs/>
        </w:rPr>
        <w:t xml:space="preserve">Computer Physics Communications</w:t>
      </w:r>
      <w:r>
        <w:t xml:space="preserve"> </w:t>
      </w:r>
      <w:r>
        <w:rPr>
          <w:b/>
          <w:bCs/>
        </w:rPr>
        <w:t xml:space="preserve">185</w:t>
      </w:r>
      <w:r>
        <w:t xml:space="preserve">, 1747–1758 (2014).</w:t>
      </w:r>
    </w:p>
    <w:bookmarkEnd w:id="90"/>
    <w:bookmarkStart w:id="92" w:name="ref-parse2024predicting"/>
    <w:p>
      <w:pPr>
        <w:pStyle w:val="Bibliography"/>
      </w:pPr>
      <w:r>
        <w:t xml:space="preserve">14.</w:t>
      </w:r>
      <w:r>
        <w:t xml:space="preserve"> </w:t>
      </w:r>
      <w:r>
        <w:t xml:space="preserve">	</w:t>
      </w:r>
      <w:r>
        <w:t xml:space="preserve">Parse, N.</w:t>
      </w:r>
      <w:r>
        <w:t xml:space="preserve"> </w:t>
      </w:r>
      <w:r>
        <w:rPr>
          <w:i/>
          <w:iCs/>
        </w:rPr>
        <w:t xml:space="preserve">et al.</w:t>
      </w:r>
      <w:r>
        <w:t xml:space="preserve"> </w:t>
      </w:r>
      <w:hyperlink r:id="rId91">
        <w:r>
          <w:rPr>
            <w:rStyle w:val="Hyperlink"/>
          </w:rPr>
          <w:t xml:space="preserve">Predicting high-performance thermoelectric materials with</w:t>
        </w:r>
        <w:r>
          <w:rPr>
            <w:rStyle w:val="Hyperlink"/>
          </w:rPr>
          <w:t xml:space="preserve"> </w:t>
        </w:r>
        <w:r>
          <w:rPr>
            <w:rStyle w:val="Hyperlink"/>
          </w:rPr>
          <w:t xml:space="preserve">StarryData2</w:t>
        </w:r>
      </w:hyperlink>
      <w:r>
        <w:t xml:space="preserve">.</w:t>
      </w:r>
      <w:r>
        <w:t xml:space="preserve"> </w:t>
      </w:r>
      <w:r>
        <w:rPr>
          <w:i/>
          <w:iCs/>
        </w:rPr>
        <w:t xml:space="preserve">Advanced Theory and Simulations</w:t>
      </w:r>
      <w:r>
        <w:t xml:space="preserve"> </w:t>
      </w:r>
      <w:r>
        <w:rPr>
          <w:b/>
          <w:bCs/>
        </w:rPr>
        <w:t xml:space="preserve">7</w:t>
      </w:r>
      <w:r>
        <w:t xml:space="preserve">, (2024).</w:t>
      </w:r>
    </w:p>
    <w:bookmarkEnd w:id="92"/>
    <w:bookmarkStart w:id="94" w:name="ref-jia2024dealing"/>
    <w:p>
      <w:pPr>
        <w:pStyle w:val="Bibliography"/>
      </w:pPr>
      <w:r>
        <w:t xml:space="preserve">15.</w:t>
      </w:r>
      <w:r>
        <w:t xml:space="preserve"> </w:t>
      </w:r>
      <w:r>
        <w:t xml:space="preserve">	</w:t>
      </w:r>
      <w:r>
        <w:t xml:space="preserve">Jia, X., Aziz, A., Hashimoto, Y. &amp; Li, H.</w:t>
      </w:r>
      <w:r>
        <w:t xml:space="preserve"> </w:t>
      </w:r>
      <w:hyperlink r:id="rId93">
        <w:r>
          <w:rPr>
            <w:rStyle w:val="Hyperlink"/>
          </w:rPr>
          <w:t xml:space="preserve">Dealing with the big data challenges in AI for thermoelectric materials</w:t>
        </w:r>
      </w:hyperlink>
      <w:r>
        <w:t xml:space="preserve">.</w:t>
      </w:r>
      <w:r>
        <w:t xml:space="preserve"> </w:t>
      </w:r>
      <w:r>
        <w:rPr>
          <w:i/>
          <w:iCs/>
        </w:rPr>
        <w:t xml:space="preserve">Science China Materials</w:t>
      </w:r>
      <w:r>
        <w:t xml:space="preserve"> </w:t>
      </w:r>
      <w:r>
        <w:rPr>
          <w:b/>
          <w:bCs/>
        </w:rPr>
        <w:t xml:space="preserve">67</w:t>
      </w:r>
      <w:r>
        <w:t xml:space="preserve">, 1173–1182 (2024).</w:t>
      </w:r>
    </w:p>
    <w:bookmarkEnd w:id="94"/>
    <w:bookmarkStart w:id="96" w:name="ref-sun2025rationally"/>
    <w:p>
      <w:pPr>
        <w:pStyle w:val="Bibliography"/>
      </w:pPr>
      <w:r>
        <w:t xml:space="preserve">16.</w:t>
      </w:r>
      <w:r>
        <w:t xml:space="preserve"> </w:t>
      </w:r>
      <w:r>
        <w:t xml:space="preserve">	</w:t>
      </w:r>
      <w:r>
        <w:t xml:space="preserve">Sun, Y., Chen, X., Gao, J., Zhu, W. &amp; Pan, M.</w:t>
      </w:r>
      <w:r>
        <w:t xml:space="preserve"> </w:t>
      </w:r>
      <w:hyperlink r:id="rId95">
        <w:r>
          <w:rPr>
            <w:rStyle w:val="Hyperlink"/>
          </w:rPr>
          <w:t xml:space="preserve">Rationally design thermoelectric materials based on ingenious machine learning methods</w:t>
        </w:r>
      </w:hyperlink>
      <w:r>
        <w:t xml:space="preserve">.</w:t>
      </w:r>
      <w:r>
        <w:t xml:space="preserve"> </w:t>
      </w:r>
      <w:r>
        <w:rPr>
          <w:i/>
          <w:iCs/>
        </w:rPr>
        <w:t xml:space="preserve">Advanced Electronic Materials</w:t>
      </w:r>
      <w:r>
        <w:t xml:space="preserve"> </w:t>
      </w:r>
      <w:r>
        <w:rPr>
          <w:b/>
          <w:bCs/>
        </w:rPr>
        <w:t xml:space="preserve">11</w:t>
      </w:r>
      <w:r>
        <w:t xml:space="preserve">, 2500210 (2025).</w:t>
      </w:r>
    </w:p>
    <w:bookmarkEnd w:id="96"/>
    <w:bookmarkStart w:id="98" w:name="ref-kapoor2023leakage"/>
    <w:p>
      <w:pPr>
        <w:pStyle w:val="Bibliography"/>
      </w:pPr>
      <w:r>
        <w:t xml:space="preserve">17.</w:t>
      </w:r>
      <w:r>
        <w:t xml:space="preserve"> </w:t>
      </w:r>
      <w:r>
        <w:t xml:space="preserve">	</w:t>
      </w:r>
      <w:r>
        <w:t xml:space="preserve">Kapoor, S. &amp; Narayanan, A.</w:t>
      </w:r>
      <w:r>
        <w:t xml:space="preserve"> </w:t>
      </w:r>
      <w:hyperlink r:id="rId97">
        <w:r>
          <w:rPr>
            <w:rStyle w:val="Hyperlink"/>
          </w:rPr>
          <w:t xml:space="preserve">Leakage and the reproducibility crisis in machine-learning-based science</w:t>
        </w:r>
      </w:hyperlink>
      <w:r>
        <w:t xml:space="preserve">.</w:t>
      </w:r>
      <w:r>
        <w:t xml:space="preserve"> </w:t>
      </w:r>
      <w:r>
        <w:rPr>
          <w:i/>
          <w:iCs/>
        </w:rPr>
        <w:t xml:space="preserve">Patterns</w:t>
      </w:r>
      <w:r>
        <w:t xml:space="preserve"> </w:t>
      </w:r>
      <w:r>
        <w:rPr>
          <w:b/>
          <w:bCs/>
        </w:rPr>
        <w:t xml:space="preserve">4</w:t>
      </w:r>
      <w:r>
        <w:t xml:space="preserve">, 100804 (2023).</w:t>
      </w:r>
    </w:p>
    <w:bookmarkEnd w:id="98"/>
    <w:bookmarkStart w:id="100" w:name="ref-meredig2018machine"/>
    <w:p>
      <w:pPr>
        <w:pStyle w:val="Bibliography"/>
      </w:pPr>
      <w:r>
        <w:t xml:space="preserve">18.</w:t>
      </w:r>
      <w:r>
        <w:t xml:space="preserve"> </w:t>
      </w:r>
      <w:r>
        <w:t xml:space="preserve">	</w:t>
      </w:r>
      <w:r>
        <w:t xml:space="preserve">Meredig, B.</w:t>
      </w:r>
      <w:r>
        <w:t xml:space="preserve"> </w:t>
      </w:r>
      <w:r>
        <w:rPr>
          <w:i/>
          <w:iCs/>
        </w:rPr>
        <w:t xml:space="preserve">et al.</w:t>
      </w:r>
      <w:r>
        <w:t xml:space="preserve"> </w:t>
      </w:r>
      <w:hyperlink r:id="rId99">
        <w:r>
          <w:rPr>
            <w:rStyle w:val="Hyperlink"/>
          </w:rPr>
          <w:t xml:space="preserve">Can machine learning identify the next high-temperature superconductor? Examining extrapolation performance for materials discovery</w:t>
        </w:r>
      </w:hyperlink>
      <w:r>
        <w:t xml:space="preserve">.</w:t>
      </w:r>
      <w:r>
        <w:t xml:space="preserve"> </w:t>
      </w:r>
      <w:r>
        <w:rPr>
          <w:i/>
          <w:iCs/>
        </w:rPr>
        <w:t xml:space="preserve">Molecular Systems Design &amp; Engineering</w:t>
      </w:r>
      <w:r>
        <w:t xml:space="preserve"> </w:t>
      </w:r>
      <w:r>
        <w:rPr>
          <w:b/>
          <w:bCs/>
        </w:rPr>
        <w:t xml:space="preserve">3</w:t>
      </w:r>
      <w:r>
        <w:t xml:space="preserve">, 819–825 (2018).</w:t>
      </w:r>
    </w:p>
    <w:bookmarkEnd w:id="100"/>
    <w:bookmarkStart w:id="102" w:name="ref-xiong2020evaluating"/>
    <w:p>
      <w:pPr>
        <w:pStyle w:val="Bibliography"/>
      </w:pPr>
      <w:r>
        <w:t xml:space="preserve">19.</w:t>
      </w:r>
      <w:r>
        <w:t xml:space="preserve"> </w:t>
      </w:r>
      <w:r>
        <w:t xml:space="preserve">	</w:t>
      </w:r>
      <w:r>
        <w:t xml:space="preserve">Xiong, Z.</w:t>
      </w:r>
      <w:r>
        <w:t xml:space="preserve"> </w:t>
      </w:r>
      <w:r>
        <w:rPr>
          <w:i/>
          <w:iCs/>
        </w:rPr>
        <w:t xml:space="preserve">et al.</w:t>
      </w:r>
      <w:r>
        <w:t xml:space="preserve"> </w:t>
      </w:r>
      <w:hyperlink r:id="rId101">
        <w:r>
          <w:rPr>
            <w:rStyle w:val="Hyperlink"/>
          </w:rPr>
          <w:t xml:space="preserve">Evaluating explorative prediction power of machine learning algorithms for materials discovery using k -fold forward cross-validation</w:t>
        </w:r>
      </w:hyperlink>
      <w:r>
        <w:t xml:space="preserve">.</w:t>
      </w:r>
      <w:r>
        <w:t xml:space="preserve"> </w:t>
      </w:r>
      <w:r>
        <w:rPr>
          <w:i/>
          <w:iCs/>
        </w:rPr>
        <w:t xml:space="preserve">Computational Materials Science</w:t>
      </w:r>
      <w:r>
        <w:t xml:space="preserve"> </w:t>
      </w:r>
      <w:r>
        <w:rPr>
          <w:b/>
          <w:bCs/>
        </w:rPr>
        <w:t xml:space="preserve">171</w:t>
      </w:r>
      <w:r>
        <w:t xml:space="preserve">, 109203 (2020).</w:t>
      </w:r>
    </w:p>
    <w:bookmarkEnd w:id="102"/>
    <w:bookmarkStart w:id="104" w:name="ref-li2023critical"/>
    <w:p>
      <w:pPr>
        <w:pStyle w:val="Bibliography"/>
      </w:pPr>
      <w:r>
        <w:t xml:space="preserve">20.</w:t>
      </w:r>
      <w:r>
        <w:t xml:space="preserve"> </w:t>
      </w:r>
      <w:r>
        <w:t xml:space="preserve">	</w:t>
      </w:r>
      <w:r>
        <w:t xml:space="preserve">Li, K., DeCost, B., Choudhary, K., Greenwood, M. &amp; Hattrick-Simpers, J.</w:t>
      </w:r>
      <w:r>
        <w:t xml:space="preserve"> </w:t>
      </w:r>
      <w:hyperlink r:id="rId103">
        <w:r>
          <w:rPr>
            <w:rStyle w:val="Hyperlink"/>
          </w:rPr>
          <w:t xml:space="preserve">A critical examination of robustness and generalizability of machine learning prediction of materials properties</w:t>
        </w:r>
      </w:hyperlink>
      <w:r>
        <w:t xml:space="preserve">.</w:t>
      </w:r>
      <w:r>
        <w:t xml:space="preserve"> </w:t>
      </w:r>
      <w:r>
        <w:rPr>
          <w:i/>
          <w:iCs/>
        </w:rPr>
        <w:t xml:space="preserve">npj Computational Materials</w:t>
      </w:r>
      <w:r>
        <w:t xml:space="preserve"> </w:t>
      </w:r>
      <w:r>
        <w:rPr>
          <w:b/>
          <w:bCs/>
        </w:rPr>
        <w:t xml:space="preserve">9</w:t>
      </w:r>
      <w:r>
        <w:t xml:space="preserve">, 55 (2023).</w:t>
      </w:r>
    </w:p>
    <w:bookmarkEnd w:id="104"/>
    <w:bookmarkStart w:id="106" w:name="ref-ho2026physicsinspired"/>
    <w:p>
      <w:pPr>
        <w:pStyle w:val="Bibliography"/>
      </w:pPr>
      <w:r>
        <w:t xml:space="preserve">21.</w:t>
      </w:r>
      <w:r>
        <w:t xml:space="preserve"> </w:t>
      </w:r>
      <w:r>
        <w:t xml:space="preserve">	</w:t>
      </w:r>
      <w:r>
        <w:t xml:space="preserve">Ho, T. H., Hoang, N.-H. &amp; Trinh, T. T.</w:t>
      </w:r>
      <w:r>
        <w:t xml:space="preserve"> </w:t>
      </w:r>
      <w:hyperlink r:id="rId105">
        <w:r>
          <w:rPr>
            <w:rStyle w:val="Hyperlink"/>
          </w:rPr>
          <w:t xml:space="preserve">Physics-inspired feature engineering and interpretable machine learning for thermoelectric properties of multicomponent materials</w:t>
        </w:r>
      </w:hyperlink>
      <w:r>
        <w:t xml:space="preserve">.</w:t>
      </w:r>
      <w:r>
        <w:t xml:space="preserve"> </w:t>
      </w:r>
      <w:r>
        <w:rPr>
          <w:i/>
          <w:iCs/>
        </w:rPr>
        <w:t xml:space="preserve">Materials &amp; Design</w:t>
      </w:r>
      <w:r>
        <w:t xml:space="preserve"> </w:t>
      </w:r>
      <w:r>
        <w:rPr>
          <w:b/>
          <w:bCs/>
        </w:rPr>
        <w:t xml:space="preserve">268</w:t>
      </w:r>
      <w:r>
        <w:t xml:space="preserve">, 116533 (2026).</w:t>
      </w:r>
    </w:p>
    <w:bookmarkEnd w:id="106"/>
    <w:bookmarkStart w:id="108" w:name="ref-wang2025highperformance"/>
    <w:p>
      <w:pPr>
        <w:pStyle w:val="Bibliography"/>
      </w:pPr>
      <w:r>
        <w:t xml:space="preserve">22.</w:t>
      </w:r>
      <w:r>
        <w:t xml:space="preserve"> </w:t>
      </w:r>
      <w:r>
        <w:t xml:space="preserve">	</w:t>
      </w:r>
      <w:r>
        <w:t xml:space="preserve">Wang, Y.</w:t>
      </w:r>
      <w:r>
        <w:t xml:space="preserve"> </w:t>
      </w:r>
      <w:r>
        <w:rPr>
          <w:i/>
          <w:iCs/>
        </w:rPr>
        <w:t xml:space="preserve">et al.</w:t>
      </w:r>
      <w:r>
        <w:t xml:space="preserve"> </w:t>
      </w:r>
      <w:hyperlink r:id="rId107">
        <w:r>
          <w:rPr>
            <w:rStyle w:val="Hyperlink"/>
          </w:rPr>
          <w:t xml:space="preserve">High-performance stacking ensemble learning for thermoelectric figure-of-merit prediction</w:t>
        </w:r>
      </w:hyperlink>
      <w:r>
        <w:t xml:space="preserve">.</w:t>
      </w:r>
      <w:r>
        <w:t xml:space="preserve"> </w:t>
      </w:r>
      <w:r>
        <w:rPr>
          <w:i/>
          <w:iCs/>
        </w:rPr>
        <w:t xml:space="preserve">Materials &amp; Design</w:t>
      </w:r>
      <w:r>
        <w:t xml:space="preserve"> </w:t>
      </w:r>
      <w:r>
        <w:rPr>
          <w:b/>
          <w:bCs/>
        </w:rPr>
        <w:t xml:space="preserve">249</w:t>
      </w:r>
      <w:r>
        <w:t xml:space="preserve">, 113552 (2025).</w:t>
      </w:r>
    </w:p>
    <w:bookmarkEnd w:id="108"/>
    <w:bookmarkStart w:id="110" w:name="ref-barua2025thermoelectric"/>
    <w:p>
      <w:pPr>
        <w:pStyle w:val="Bibliography"/>
      </w:pPr>
      <w:r>
        <w:t xml:space="preserve">23.</w:t>
      </w:r>
      <w:r>
        <w:t xml:space="preserve"> </w:t>
      </w:r>
      <w:r>
        <w:t xml:space="preserve">	</w:t>
      </w:r>
      <w:r>
        <w:t xml:space="preserve">Barua, N. K., Lee, S., Oliynyk, A. O. &amp; Kleinke, H.</w:t>
      </w:r>
      <w:r>
        <w:t xml:space="preserve"> </w:t>
      </w:r>
      <w:hyperlink r:id="rId109">
        <w:r>
          <w:rPr>
            <w:rStyle w:val="Hyperlink"/>
          </w:rPr>
          <w:t xml:space="preserve">Thermoelectric material performance (</w:t>
        </w:r>
        <w:r>
          <w:rPr>
            <w:rStyle w:val="Hyperlink"/>
            <w:i/>
            <w:iCs/>
          </w:rPr>
          <w:t xml:space="preserve">zT</w:t>
        </w:r>
        <w:r>
          <w:rPr>
            <w:rStyle w:val="Hyperlink"/>
          </w:rPr>
          <w:t xml:space="preserve">) predictions with machine learning</w:t>
        </w:r>
      </w:hyperlink>
      <w:r>
        <w:t xml:space="preserve">.</w:t>
      </w:r>
      <w:r>
        <w:t xml:space="preserve"> </w:t>
      </w:r>
      <w:r>
        <w:rPr>
          <w:i/>
          <w:iCs/>
        </w:rPr>
        <w:t xml:space="preserve">ACS Applied Materials &amp; Interfaces</w:t>
      </w:r>
      <w:r>
        <w:t xml:space="preserve"> </w:t>
      </w:r>
      <w:r>
        <w:rPr>
          <w:b/>
          <w:bCs/>
        </w:rPr>
        <w:t xml:space="preserve">17</w:t>
      </w:r>
      <w:r>
        <w:t xml:space="preserve">, 1662–1673 (2025).</w:t>
      </w:r>
    </w:p>
    <w:bookmarkEnd w:id="110"/>
    <w:bookmarkStart w:id="112" w:name="ref-ma2025reexamining"/>
    <w:p>
      <w:pPr>
        <w:pStyle w:val="Bibliography"/>
      </w:pPr>
      <w:r>
        <w:t xml:space="preserve">24.</w:t>
      </w:r>
      <w:r>
        <w:t xml:space="preserve"> </w:t>
      </w:r>
      <w:r>
        <w:t xml:space="preserve">	</w:t>
      </w:r>
      <w:r>
        <w:t xml:space="preserve">Ma, C. T. &amp; Poon, S. J.</w:t>
      </w:r>
      <w:r>
        <w:t xml:space="preserve"> </w:t>
      </w:r>
      <w:hyperlink r:id="rId111">
        <w:r>
          <w:rPr>
            <w:rStyle w:val="Hyperlink"/>
          </w:rPr>
          <w:t xml:space="preserve">Reexamining machine learning models on predicting thermoelectric properties</w:t>
        </w:r>
      </w:hyperlink>
      <w:r>
        <w:t xml:space="preserve">. (2025).</w:t>
      </w:r>
    </w:p>
    <w:bookmarkEnd w:id="112"/>
    <w:bookmarkStart w:id="114" w:name="ref-elavunkel2025unlocking"/>
    <w:p>
      <w:pPr>
        <w:pStyle w:val="Bibliography"/>
      </w:pPr>
      <w:r>
        <w:t xml:space="preserve">25.</w:t>
      </w:r>
      <w:r>
        <w:t xml:space="preserve"> </w:t>
      </w:r>
      <w:r>
        <w:t xml:space="preserve">	</w:t>
      </w:r>
      <w:r>
        <w:t xml:space="preserve">Elavunkel, V. K. &amp; Padhan, P.</w:t>
      </w:r>
      <w:r>
        <w:t xml:space="preserve"> </w:t>
      </w:r>
      <w:hyperlink r:id="rId113">
        <w:r>
          <w:rPr>
            <w:rStyle w:val="Hyperlink"/>
          </w:rPr>
          <w:t xml:space="preserve">Unlocking thermoelectric potential: A machine learning stacking approach for half-heusler alloys</w:t>
        </w:r>
      </w:hyperlink>
      <w:r>
        <w:t xml:space="preserve">.</w:t>
      </w:r>
      <w:r>
        <w:t xml:space="preserve"> </w:t>
      </w:r>
      <w:r>
        <w:rPr>
          <w:i/>
          <w:iCs/>
        </w:rPr>
        <w:t xml:space="preserve">ACS Applied Energy Materials</w:t>
      </w:r>
      <w:r>
        <w:t xml:space="preserve"> </w:t>
      </w:r>
      <w:r>
        <w:rPr>
          <w:b/>
          <w:bCs/>
        </w:rPr>
        <w:t xml:space="preserve">8</w:t>
      </w:r>
      <w:r>
        <w:t xml:space="preserve">, 15241–15257 (2025).</w:t>
      </w:r>
    </w:p>
    <w:bookmarkEnd w:id="114"/>
    <w:bookmarkStart w:id="116" w:name="ref-katsura2019datadriven"/>
    <w:p>
      <w:pPr>
        <w:pStyle w:val="Bibliography"/>
      </w:pPr>
      <w:r>
        <w:t xml:space="preserve">26.</w:t>
      </w:r>
      <w:r>
        <w:t xml:space="preserve"> </w:t>
      </w:r>
      <w:r>
        <w:t xml:space="preserve">	</w:t>
      </w:r>
      <w:r>
        <w:t xml:space="preserve">Katsura, Y.</w:t>
      </w:r>
      <w:r>
        <w:t xml:space="preserve"> </w:t>
      </w:r>
      <w:r>
        <w:rPr>
          <w:i/>
          <w:iCs/>
        </w:rPr>
        <w:t xml:space="preserve">et al.</w:t>
      </w:r>
      <w:r>
        <w:t xml:space="preserve"> </w:t>
      </w:r>
      <w:hyperlink r:id="rId115">
        <w:r>
          <w:rPr>
            <w:rStyle w:val="Hyperlink"/>
          </w:rPr>
          <w:t xml:space="preserve">Data-driven analysis of electron relaxation times in</w:t>
        </w:r>
        <w:r>
          <w:rPr>
            <w:rStyle w:val="Hyperlink"/>
          </w:rPr>
          <w:t xml:space="preserve"> </w:t>
        </w:r>
        <w:r>
          <w:rPr>
            <w:rStyle w:val="Hyperlink"/>
          </w:rPr>
          <w:t xml:space="preserve">PbTe</w:t>
        </w:r>
        <w:r>
          <w:rPr>
            <w:rStyle w:val="Hyperlink"/>
          </w:rPr>
          <w:t xml:space="preserve">-type thermoelectric materials</w:t>
        </w:r>
      </w:hyperlink>
      <w:r>
        <w:t xml:space="preserve">.</w:t>
      </w:r>
      <w:r>
        <w:t xml:space="preserve"> </w:t>
      </w:r>
      <w:r>
        <w:rPr>
          <w:i/>
          <w:iCs/>
        </w:rPr>
        <w:t xml:space="preserve">Science and Technology of Advanced Materials</w:t>
      </w:r>
      <w:r>
        <w:t xml:space="preserve"> </w:t>
      </w:r>
      <w:r>
        <w:rPr>
          <w:b/>
          <w:bCs/>
        </w:rPr>
        <w:t xml:space="preserve">20</w:t>
      </w:r>
      <w:r>
        <w:t xml:space="preserve">, 511–520 (2019).</w:t>
      </w:r>
    </w:p>
    <w:bookmarkEnd w:id="116"/>
    <w:bookmarkStart w:id="118" w:name="ref-katsura2025starrydata"/>
    <w:p>
      <w:pPr>
        <w:pStyle w:val="Bibliography"/>
      </w:pPr>
      <w:r>
        <w:t xml:space="preserve">27.</w:t>
      </w:r>
      <w:r>
        <w:t xml:space="preserve"> </w:t>
      </w:r>
      <w:r>
        <w:t xml:space="preserve">	</w:t>
      </w:r>
      <w:r>
        <w:t xml:space="preserve">Katsura, Y.</w:t>
      </w:r>
      <w:r>
        <w:t xml:space="preserve"> </w:t>
      </w:r>
      <w:r>
        <w:rPr>
          <w:i/>
          <w:iCs/>
        </w:rPr>
        <w:t xml:space="preserve">et al.</w:t>
      </w:r>
      <w:r>
        <w:t xml:space="preserve"> </w:t>
      </w:r>
      <w:hyperlink r:id="rId117">
        <w:r>
          <w:rPr>
            <w:rStyle w:val="Hyperlink"/>
          </w:rPr>
          <w:t xml:space="preserve">Starrydata: From published plots to shared materials data</w:t>
        </w:r>
      </w:hyperlink>
      <w:r>
        <w:t xml:space="preserve">.</w:t>
      </w:r>
      <w:r>
        <w:t xml:space="preserve"> </w:t>
      </w:r>
      <w:r>
        <w:rPr>
          <w:i/>
          <w:iCs/>
        </w:rPr>
        <w:t xml:space="preserve">Science and Technology of Advanced Materials: Methods</w:t>
      </w:r>
      <w:r>
        <w:t xml:space="preserve"> </w:t>
      </w:r>
      <w:r>
        <w:rPr>
          <w:b/>
          <w:bCs/>
        </w:rPr>
        <w:t xml:space="preserve">5</w:t>
      </w:r>
      <w:r>
        <w:t xml:space="preserve">, 2506976 (2025).</w:t>
      </w:r>
    </w:p>
    <w:bookmarkEnd w:id="118"/>
    <w:bookmarkStart w:id="120" w:name="ref-ward2016general"/>
    <w:p>
      <w:pPr>
        <w:pStyle w:val="Bibliography"/>
      </w:pPr>
      <w:r>
        <w:t xml:space="preserve">28.</w:t>
      </w:r>
      <w:r>
        <w:t xml:space="preserve"> </w:t>
      </w:r>
      <w:r>
        <w:t xml:space="preserve">	</w:t>
      </w:r>
      <w:r>
        <w:t xml:space="preserve">Ward, L., Agrawal, A., Choudhary, A. &amp; Wolverton, C.</w:t>
      </w:r>
      <w:r>
        <w:t xml:space="preserve"> </w:t>
      </w:r>
      <w:hyperlink r:id="rId119">
        <w:r>
          <w:rPr>
            <w:rStyle w:val="Hyperlink"/>
          </w:rPr>
          <w:t xml:space="preserve">A general-purpose machine learning framework for predicting properties of inorganic materials</w:t>
        </w:r>
      </w:hyperlink>
      <w:r>
        <w:t xml:space="preserve">.</w:t>
      </w:r>
      <w:r>
        <w:t xml:space="preserve"> </w:t>
      </w:r>
      <w:r>
        <w:rPr>
          <w:i/>
          <w:iCs/>
        </w:rPr>
        <w:t xml:space="preserve">npj Computational Materials</w:t>
      </w:r>
      <w:r>
        <w:t xml:space="preserve"> </w:t>
      </w:r>
      <w:r>
        <w:rPr>
          <w:b/>
          <w:bCs/>
        </w:rPr>
        <w:t xml:space="preserve">2</w:t>
      </w:r>
      <w:r>
        <w:t xml:space="preserve">, (2016).</w:t>
      </w:r>
    </w:p>
    <w:bookmarkEnd w:id="120"/>
    <w:bookmarkStart w:id="122" w:name="ref-ward2018matminer"/>
    <w:p>
      <w:pPr>
        <w:pStyle w:val="Bibliography"/>
      </w:pPr>
      <w:r>
        <w:t xml:space="preserve">29.</w:t>
      </w:r>
      <w:r>
        <w:t xml:space="preserve"> </w:t>
      </w:r>
      <w:r>
        <w:t xml:space="preserve">	</w:t>
      </w:r>
      <w:r>
        <w:t xml:space="preserve">Ward, L.</w:t>
      </w:r>
      <w:r>
        <w:t xml:space="preserve"> </w:t>
      </w:r>
      <w:r>
        <w:rPr>
          <w:i/>
          <w:iCs/>
        </w:rPr>
        <w:t xml:space="preserve">et al.</w:t>
      </w:r>
      <w:r>
        <w:t xml:space="preserve"> </w:t>
      </w:r>
      <w:hyperlink r:id="rId121">
        <w:r>
          <w:rPr>
            <w:rStyle w:val="Hyperlink"/>
          </w:rPr>
          <w:t xml:space="preserve">Matminer: An open source toolkit for materials data mining</w:t>
        </w:r>
      </w:hyperlink>
      <w:r>
        <w:t xml:space="preserve">.</w:t>
      </w:r>
      <w:r>
        <w:t xml:space="preserve"> </w:t>
      </w:r>
      <w:r>
        <w:rPr>
          <w:i/>
          <w:iCs/>
        </w:rPr>
        <w:t xml:space="preserve">Computational Materials Science</w:t>
      </w:r>
      <w:r>
        <w:t xml:space="preserve"> </w:t>
      </w:r>
      <w:r>
        <w:rPr>
          <w:b/>
          <w:bCs/>
        </w:rPr>
        <w:t xml:space="preserve">152</w:t>
      </w:r>
      <w:r>
        <w:t xml:space="preserve">, 60–69 (2018).</w:t>
      </w:r>
    </w:p>
    <w:bookmarkEnd w:id="122"/>
    <w:bookmarkStart w:id="124" w:name="ref-oliynyk2016highthroughput"/>
    <w:p>
      <w:pPr>
        <w:pStyle w:val="Bibliography"/>
      </w:pPr>
      <w:r>
        <w:t xml:space="preserve">30.</w:t>
      </w:r>
      <w:r>
        <w:t xml:space="preserve"> </w:t>
      </w:r>
      <w:r>
        <w:t xml:space="preserve">	</w:t>
      </w:r>
      <w:r>
        <w:t xml:space="preserve">Oliynyk, A. O.</w:t>
      </w:r>
      <w:r>
        <w:t xml:space="preserve"> </w:t>
      </w:r>
      <w:r>
        <w:rPr>
          <w:i/>
          <w:iCs/>
        </w:rPr>
        <w:t xml:space="preserve">et al.</w:t>
      </w:r>
      <w:r>
        <w:t xml:space="preserve"> </w:t>
      </w:r>
      <w:hyperlink r:id="rId123">
        <w:r>
          <w:rPr>
            <w:rStyle w:val="Hyperlink"/>
          </w:rPr>
          <w:t xml:space="preserve">High-throughput machine-learning-driven synthesis of full-</w:t>
        </w:r>
        <w:r>
          <w:rPr>
            <w:rStyle w:val="Hyperlink"/>
          </w:rPr>
          <w:t xml:space="preserve">Heusler</w:t>
        </w:r>
        <w:r>
          <w:rPr>
            <w:rStyle w:val="Hyperlink"/>
          </w:rPr>
          <w:t xml:space="preserve"> </w:t>
        </w:r>
        <w:r>
          <w:rPr>
            <w:rStyle w:val="Hyperlink"/>
          </w:rPr>
          <w:t xml:space="preserve">compounds</w:t>
        </w:r>
      </w:hyperlink>
      <w:r>
        <w:t xml:space="preserve">.</w:t>
      </w:r>
      <w:r>
        <w:t xml:space="preserve"> </w:t>
      </w:r>
      <w:r>
        <w:rPr>
          <w:i/>
          <w:iCs/>
        </w:rPr>
        <w:t xml:space="preserve">Chemistry of Materials</w:t>
      </w:r>
      <w:r>
        <w:t xml:space="preserve"> </w:t>
      </w:r>
      <w:r>
        <w:rPr>
          <w:b/>
          <w:bCs/>
        </w:rPr>
        <w:t xml:space="preserve">28</w:t>
      </w:r>
      <w:r>
        <w:t xml:space="preserve">, 7324–7331 (2016).</w:t>
      </w:r>
    </w:p>
    <w:bookmarkEnd w:id="124"/>
    <w:bookmarkStart w:id="126" w:name="ref-chen2016xgboost"/>
    <w:p>
      <w:pPr>
        <w:pStyle w:val="Bibliography"/>
      </w:pPr>
      <w:r>
        <w:t xml:space="preserve">31.</w:t>
      </w:r>
      <w:r>
        <w:t xml:space="preserve"> </w:t>
      </w:r>
      <w:r>
        <w:t xml:space="preserve">	</w:t>
      </w:r>
      <w:r>
        <w:t xml:space="preserve">Chen, T. &amp; Guestrin, C.</w:t>
      </w:r>
      <w:r>
        <w:t xml:space="preserve"> </w:t>
      </w:r>
      <w:r>
        <w:t xml:space="preserve">XGBoost</w:t>
      </w:r>
      <w:r>
        <w:t xml:space="preserve">: A scalable tree boosting system. in</w:t>
      </w:r>
      <w:r>
        <w:t xml:space="preserve"> </w:t>
      </w:r>
      <w:r>
        <w:rPr>
          <w:i/>
          <w:iCs/>
        </w:rPr>
        <w:t xml:space="preserve">Proceedings of the 22nd ACM</w:t>
      </w:r>
      <w:r>
        <w:rPr>
          <w:i/>
          <w:iCs/>
        </w:rPr>
        <w:t xml:space="preserve"> </w:t>
      </w:r>
      <w:r>
        <w:rPr>
          <w:i/>
          <w:iCs/>
        </w:rPr>
        <w:t xml:space="preserve">SIGKDD</w:t>
      </w:r>
      <w:r>
        <w:rPr>
          <w:i/>
          <w:iCs/>
        </w:rPr>
        <w:t xml:space="preserve"> </w:t>
      </w:r>
      <w:r>
        <w:rPr>
          <w:i/>
          <w:iCs/>
        </w:rPr>
        <w:t xml:space="preserve">international conference on knowledge discovery and data mining</w:t>
      </w:r>
      <w:r>
        <w:t xml:space="preserve"> </w:t>
      </w:r>
      <w:r>
        <w:t xml:space="preserve">785–794 (ACM, 2016). doi:</w:t>
      </w:r>
      <w:hyperlink r:id="rId125">
        <w:r>
          <w:rPr>
            <w:rStyle w:val="Hyperlink"/>
          </w:rPr>
          <w:t xml:space="preserve">10.1145/2939672.2939785</w:t>
        </w:r>
      </w:hyperlink>
      <w:r>
        <w:t xml:space="preserve">.</w:t>
      </w:r>
    </w:p>
    <w:bookmarkEnd w:id="126"/>
    <w:bookmarkStart w:id="128" w:name="ref-ke2017lightgbm"/>
    <w:p>
      <w:pPr>
        <w:pStyle w:val="Bibliography"/>
      </w:pPr>
      <w:r>
        <w:t xml:space="preserve">32.</w:t>
      </w:r>
      <w:r>
        <w:t xml:space="preserve"> </w:t>
      </w:r>
      <w:r>
        <w:t xml:space="preserve">	</w:t>
      </w:r>
      <w:r>
        <w:t xml:space="preserve">Ke, G.</w:t>
      </w:r>
      <w:r>
        <w:t xml:space="preserve"> </w:t>
      </w:r>
      <w:r>
        <w:rPr>
          <w:i/>
          <w:iCs/>
        </w:rPr>
        <w:t xml:space="preserve">et al.</w:t>
      </w:r>
      <w:r>
        <w:t xml:space="preserve"> </w:t>
      </w:r>
      <w:hyperlink r:id="rId127">
        <w:r>
          <w:rPr>
            <w:rStyle w:val="Hyperlink"/>
          </w:rPr>
          <w:t xml:space="preserve">LightGBM</w:t>
        </w:r>
        <w:r>
          <w:rPr>
            <w:rStyle w:val="Hyperlink"/>
          </w:rPr>
          <w:t xml:space="preserve">: A highly efficient gradient boosting decision tree</w:t>
        </w:r>
      </w:hyperlink>
      <w:r>
        <w:t xml:space="preserve">. in</w:t>
      </w:r>
      <w:r>
        <w:t xml:space="preserve"> </w:t>
      </w:r>
      <w:r>
        <w:rPr>
          <w:i/>
          <w:iCs/>
        </w:rPr>
        <w:t xml:space="preserve">Advances in neural information processing systems 30 (</w:t>
      </w:r>
      <w:r>
        <w:rPr>
          <w:i/>
          <w:iCs/>
        </w:rPr>
        <w:t xml:space="preserve">NIPS</w:t>
      </w:r>
      <w:r>
        <w:rPr>
          <w:i/>
          <w:iCs/>
        </w:rPr>
        <w:t xml:space="preserve"> </w:t>
      </w:r>
      <w:r>
        <w:rPr>
          <w:i/>
          <w:iCs/>
        </w:rPr>
        <w:t xml:space="preserve">2017)</w:t>
      </w:r>
      <w:r>
        <w:t xml:space="preserve"> </w:t>
      </w:r>
      <w:r>
        <w:t xml:space="preserve">3146–3154 (2017).</w:t>
      </w:r>
    </w:p>
    <w:bookmarkEnd w:id="128"/>
    <w:bookmarkStart w:id="130" w:name="ref-breiman2001random"/>
    <w:p>
      <w:pPr>
        <w:pStyle w:val="Bibliography"/>
      </w:pPr>
      <w:r>
        <w:t xml:space="preserve">33.</w:t>
      </w:r>
      <w:r>
        <w:t xml:space="preserve"> </w:t>
      </w:r>
      <w:r>
        <w:t xml:space="preserve">	</w:t>
      </w:r>
      <w:r>
        <w:t xml:space="preserve">Breiman, L.</w:t>
      </w:r>
      <w:r>
        <w:t xml:space="preserve"> </w:t>
      </w:r>
      <w:hyperlink r:id="rId129">
        <w:r>
          <w:rPr>
            <w:rStyle w:val="Hyperlink"/>
          </w:rPr>
          <w:t xml:space="preserve">Random forests</w:t>
        </w:r>
      </w:hyperlink>
      <w:r>
        <w:t xml:space="preserve">.</w:t>
      </w:r>
      <w:r>
        <w:t xml:space="preserve"> </w:t>
      </w:r>
      <w:r>
        <w:rPr>
          <w:i/>
          <w:iCs/>
        </w:rPr>
        <w:t xml:space="preserve">Machine Learning</w:t>
      </w:r>
      <w:r>
        <w:t xml:space="preserve"> </w:t>
      </w:r>
      <w:r>
        <w:rPr>
          <w:b/>
          <w:bCs/>
        </w:rPr>
        <w:t xml:space="preserve">45</w:t>
      </w:r>
      <w:r>
        <w:t xml:space="preserve">, 5–32 (2001).</w:t>
      </w:r>
    </w:p>
    <w:bookmarkEnd w:id="130"/>
    <w:bookmarkStart w:id="132" w:name="ref-pedregosa2011scikit"/>
    <w:p>
      <w:pPr>
        <w:pStyle w:val="Bibliography"/>
      </w:pPr>
      <w:r>
        <w:t xml:space="preserve">34.</w:t>
      </w:r>
      <w:r>
        <w:t xml:space="preserve"> </w:t>
      </w:r>
      <w:r>
        <w:t xml:space="preserve">	</w:t>
      </w:r>
      <w:r>
        <w:t xml:space="preserve">Pedregosa, F.</w:t>
      </w:r>
      <w:r>
        <w:t xml:space="preserve"> </w:t>
      </w:r>
      <w:r>
        <w:rPr>
          <w:i/>
          <w:iCs/>
        </w:rPr>
        <w:t xml:space="preserve">et al.</w:t>
      </w:r>
      <w:r>
        <w:t xml:space="preserve"> </w:t>
      </w:r>
      <w:hyperlink r:id="rId131">
        <w:r>
          <w:rPr>
            <w:rStyle w:val="Hyperlink"/>
          </w:rPr>
          <w:t xml:space="preserve">Scikit-learn: Machine learning in python</w:t>
        </w:r>
      </w:hyperlink>
      <w:r>
        <w:t xml:space="preserve">.</w:t>
      </w:r>
      <w:r>
        <w:t xml:space="preserve"> </w:t>
      </w:r>
      <w:r>
        <w:rPr>
          <w:i/>
          <w:iCs/>
        </w:rPr>
        <w:t xml:space="preserve">Journal of Machine Learning Research</w:t>
      </w:r>
      <w:r>
        <w:t xml:space="preserve"> </w:t>
      </w:r>
      <w:r>
        <w:rPr>
          <w:b/>
          <w:bCs/>
        </w:rPr>
        <w:t xml:space="preserve">12</w:t>
      </w:r>
      <w:r>
        <w:t xml:space="preserve">, 2825–2830 (2011).</w:t>
      </w:r>
    </w:p>
    <w:bookmarkEnd w:id="132"/>
    <w:bookmarkStart w:id="134" w:name="ref-cawley2010overfitting"/>
    <w:p>
      <w:pPr>
        <w:pStyle w:val="Bibliography"/>
      </w:pPr>
      <w:r>
        <w:t xml:space="preserve">35.</w:t>
      </w:r>
      <w:r>
        <w:t xml:space="preserve"> </w:t>
      </w:r>
      <w:r>
        <w:t xml:space="preserve">	</w:t>
      </w:r>
      <w:r>
        <w:t xml:space="preserve">Cawley, G. C. &amp; Talbot, N. L. C.</w:t>
      </w:r>
      <w:r>
        <w:t xml:space="preserve"> </w:t>
      </w:r>
      <w:hyperlink r:id="rId133">
        <w:r>
          <w:rPr>
            <w:rStyle w:val="Hyperlink"/>
          </w:rPr>
          <w:t xml:space="preserve">On over-fitting in model selection and subsequent selection bias in performance evaluation</w:t>
        </w:r>
      </w:hyperlink>
      <w:r>
        <w:t xml:space="preserve">.</w:t>
      </w:r>
      <w:r>
        <w:t xml:space="preserve"> </w:t>
      </w:r>
      <w:r>
        <w:rPr>
          <w:i/>
          <w:iCs/>
        </w:rPr>
        <w:t xml:space="preserve">Journal of Machine Learning Research</w:t>
      </w:r>
      <w:r>
        <w:t xml:space="preserve"> </w:t>
      </w:r>
      <w:r>
        <w:rPr>
          <w:b/>
          <w:bCs/>
        </w:rPr>
        <w:t xml:space="preserve">11</w:t>
      </w:r>
      <w:r>
        <w:t xml:space="preserve">, 2079–2107 (2010).</w:t>
      </w:r>
    </w:p>
    <w:bookmarkEnd w:id="134"/>
    <w:bookmarkStart w:id="136" w:name="ref-varma2006bias"/>
    <w:p>
      <w:pPr>
        <w:pStyle w:val="Bibliography"/>
      </w:pPr>
      <w:r>
        <w:t xml:space="preserve">36.</w:t>
      </w:r>
      <w:r>
        <w:t xml:space="preserve"> </w:t>
      </w:r>
      <w:r>
        <w:t xml:space="preserve">	</w:t>
      </w:r>
      <w:r>
        <w:t xml:space="preserve">Varma, S. &amp; Simon, R.</w:t>
      </w:r>
      <w:r>
        <w:t xml:space="preserve"> </w:t>
      </w:r>
      <w:hyperlink r:id="rId135">
        <w:r>
          <w:rPr>
            <w:rStyle w:val="Hyperlink"/>
          </w:rPr>
          <w:t xml:space="preserve">Bias in error estimation when using cross-validation for model selection</w:t>
        </w:r>
      </w:hyperlink>
      <w:r>
        <w:t xml:space="preserve">.</w:t>
      </w:r>
      <w:r>
        <w:t xml:space="preserve"> </w:t>
      </w:r>
      <w:r>
        <w:rPr>
          <w:i/>
          <w:iCs/>
        </w:rPr>
        <w:t xml:space="preserve">BMC Bioinformatics</w:t>
      </w:r>
      <w:r>
        <w:t xml:space="preserve"> </w:t>
      </w:r>
      <w:r>
        <w:rPr>
          <w:b/>
          <w:bCs/>
        </w:rPr>
        <w:t xml:space="preserve">7</w:t>
      </w:r>
      <w:r>
        <w:t xml:space="preserve">, 91 (2006).</w:t>
      </w:r>
    </w:p>
    <w:bookmarkEnd w:id="136"/>
    <w:bookmarkStart w:id="138" w:name="ref-probst2019hyperparameters"/>
    <w:p>
      <w:pPr>
        <w:pStyle w:val="Bibliography"/>
      </w:pPr>
      <w:r>
        <w:t xml:space="preserve">37.</w:t>
      </w:r>
      <w:r>
        <w:t xml:space="preserve"> </w:t>
      </w:r>
      <w:r>
        <w:t xml:space="preserve">	</w:t>
      </w:r>
      <w:r>
        <w:t xml:space="preserve">Probst, P., Wright, M. N. &amp; Boulesteix, A.-L.</w:t>
      </w:r>
      <w:r>
        <w:t xml:space="preserve"> </w:t>
      </w:r>
      <w:hyperlink r:id="rId137">
        <w:r>
          <w:rPr>
            <w:rStyle w:val="Hyperlink"/>
          </w:rPr>
          <w:t xml:space="preserve">Hyperparameters and tuning strategies for random forest</w:t>
        </w:r>
      </w:hyperlink>
      <w:r>
        <w:t xml:space="preserve">.</w:t>
      </w:r>
      <w:r>
        <w:t xml:space="preserve"> </w:t>
      </w:r>
      <w:r>
        <w:rPr>
          <w:i/>
          <w:iCs/>
        </w:rPr>
        <w:t xml:space="preserve">WIREs Data Mining and Knowledge Discovery</w:t>
      </w:r>
      <w:r>
        <w:t xml:space="preserve"> </w:t>
      </w:r>
      <w:r>
        <w:rPr>
          <w:b/>
          <w:bCs/>
        </w:rPr>
        <w:t xml:space="preserve">9</w:t>
      </w:r>
      <w:r>
        <w:t xml:space="preserve">, e1301 (2019).</w:t>
      </w:r>
    </w:p>
    <w:bookmarkEnd w:id="138"/>
    <w:bookmarkStart w:id="140" w:name="ref-lundberg2017unified"/>
    <w:p>
      <w:pPr>
        <w:pStyle w:val="Bibliography"/>
      </w:pPr>
      <w:r>
        <w:t xml:space="preserve">38.</w:t>
      </w:r>
      <w:r>
        <w:t xml:space="preserve"> </w:t>
      </w:r>
      <w:r>
        <w:t xml:space="preserve">	</w:t>
      </w:r>
      <w:r>
        <w:t xml:space="preserve">Lundberg, S. M. &amp; Lee, S.-I. A unified approach to interpreting model predictions. in</w:t>
      </w:r>
      <w:r>
        <w:t xml:space="preserve"> </w:t>
      </w:r>
      <w:r>
        <w:rPr>
          <w:i/>
          <w:iCs/>
        </w:rPr>
        <w:t xml:space="preserve">Advances in neural information processing systems 30 (</w:t>
      </w:r>
      <w:r>
        <w:rPr>
          <w:i/>
          <w:iCs/>
        </w:rPr>
        <w:t xml:space="preserve">NIPS</w:t>
      </w:r>
      <w:r>
        <w:rPr>
          <w:i/>
          <w:iCs/>
        </w:rPr>
        <w:t xml:space="preserve"> </w:t>
      </w:r>
      <w:r>
        <w:rPr>
          <w:i/>
          <w:iCs/>
        </w:rPr>
        <w:t xml:space="preserve">2017)</w:t>
      </w:r>
      <w:r>
        <w:t xml:space="preserve"> </w:t>
      </w:r>
      <w:r>
        <w:t xml:space="preserve">4765–4774 (2017). doi:</w:t>
      </w:r>
      <w:hyperlink r:id="rId139">
        <w:r>
          <w:rPr>
            <w:rStyle w:val="Hyperlink"/>
          </w:rPr>
          <w:t xml:space="preserve">10.48550/arXiv.1705.07874</w:t>
        </w:r>
      </w:hyperlink>
      <w:r>
        <w:t xml:space="preserve">.</w:t>
      </w:r>
    </w:p>
    <w:bookmarkEnd w:id="140"/>
    <w:bookmarkStart w:id="142" w:name="ref-roberts2017cross"/>
    <w:p>
      <w:pPr>
        <w:pStyle w:val="Bibliography"/>
      </w:pPr>
      <w:r>
        <w:t xml:space="preserve">39.</w:t>
      </w:r>
      <w:r>
        <w:t xml:space="preserve"> </w:t>
      </w:r>
      <w:r>
        <w:t xml:space="preserve">	</w:t>
      </w:r>
      <w:r>
        <w:t xml:space="preserve">Roberts, D. R.</w:t>
      </w:r>
      <w:r>
        <w:t xml:space="preserve"> </w:t>
      </w:r>
      <w:r>
        <w:rPr>
          <w:i/>
          <w:iCs/>
        </w:rPr>
        <w:t xml:space="preserve">et al.</w:t>
      </w:r>
      <w:r>
        <w:t xml:space="preserve"> </w:t>
      </w:r>
      <w:hyperlink r:id="rId141">
        <w:r>
          <w:rPr>
            <w:rStyle w:val="Hyperlink"/>
          </w:rPr>
          <w:t xml:space="preserve">Cross‐validation strategies for data with temporal, spatial, hierarchical, or phylogenetic structure</w:t>
        </w:r>
      </w:hyperlink>
      <w:r>
        <w:t xml:space="preserve">.</w:t>
      </w:r>
      <w:r>
        <w:t xml:space="preserve"> </w:t>
      </w:r>
      <w:r>
        <w:rPr>
          <w:i/>
          <w:iCs/>
        </w:rPr>
        <w:t xml:space="preserve">Ecography</w:t>
      </w:r>
      <w:r>
        <w:t xml:space="preserve"> </w:t>
      </w:r>
      <w:r>
        <w:rPr>
          <w:b/>
          <w:bCs/>
        </w:rPr>
        <w:t xml:space="preserve">40</w:t>
      </w:r>
      <w:r>
        <w:t xml:space="preserve">, 913–929 (2017).</w:t>
      </w:r>
    </w:p>
    <w:bookmarkEnd w:id="142"/>
    <w:bookmarkStart w:id="144" w:name="ref-na2022public"/>
    <w:p>
      <w:pPr>
        <w:pStyle w:val="Bibliography"/>
      </w:pPr>
      <w:r>
        <w:t xml:space="preserve">40.</w:t>
      </w:r>
      <w:r>
        <w:t xml:space="preserve"> </w:t>
      </w:r>
      <w:r>
        <w:t xml:space="preserve">	</w:t>
      </w:r>
      <w:r>
        <w:t xml:space="preserve">Na, G. S. &amp; Chang, H.</w:t>
      </w:r>
      <w:r>
        <w:t xml:space="preserve"> </w:t>
      </w:r>
      <w:hyperlink r:id="rId143">
        <w:r>
          <w:rPr>
            <w:rStyle w:val="Hyperlink"/>
          </w:rPr>
          <w:t xml:space="preserve">A public database of thermoelectric materials and system-identified material representation for data-driven discovery</w:t>
        </w:r>
      </w:hyperlink>
      <w:r>
        <w:t xml:space="preserve">.</w:t>
      </w:r>
      <w:r>
        <w:t xml:space="preserve"> </w:t>
      </w:r>
      <w:r>
        <w:rPr>
          <w:i/>
          <w:iCs/>
        </w:rPr>
        <w:t xml:space="preserve">npj Computational Materials</w:t>
      </w:r>
      <w:r>
        <w:t xml:space="preserve"> </w:t>
      </w:r>
      <w:r>
        <w:rPr>
          <w:b/>
          <w:bCs/>
        </w:rPr>
        <w:t xml:space="preserve">8</w:t>
      </w:r>
      <w:r>
        <w:t xml:space="preserve">, (2022).</w:t>
      </w:r>
    </w:p>
    <w:bookmarkEnd w:id="144"/>
    <w:bookmarkStart w:id="146" w:name="ref-choudhary2020joint"/>
    <w:p>
      <w:pPr>
        <w:pStyle w:val="Bibliography"/>
      </w:pPr>
      <w:r>
        <w:t xml:space="preserve">41.</w:t>
      </w:r>
      <w:r>
        <w:t xml:space="preserve"> </w:t>
      </w:r>
      <w:r>
        <w:t xml:space="preserve">	</w:t>
      </w:r>
      <w:r>
        <w:t xml:space="preserve">Choudhary, K.</w:t>
      </w:r>
      <w:r>
        <w:t xml:space="preserve"> </w:t>
      </w:r>
      <w:r>
        <w:rPr>
          <w:i/>
          <w:iCs/>
        </w:rPr>
        <w:t xml:space="preserve">et al.</w:t>
      </w:r>
      <w:r>
        <w:t xml:space="preserve"> </w:t>
      </w:r>
      <w:hyperlink r:id="rId145">
        <w:r>
          <w:rPr>
            <w:rStyle w:val="Hyperlink"/>
          </w:rPr>
          <w:t xml:space="preserve">The joint automated repository for various integrated simulations (JARVIS) for data-driven materials design</w:t>
        </w:r>
      </w:hyperlink>
      <w:r>
        <w:t xml:space="preserve">.</w:t>
      </w:r>
      <w:r>
        <w:t xml:space="preserve"> </w:t>
      </w:r>
      <w:r>
        <w:rPr>
          <w:i/>
          <w:iCs/>
        </w:rPr>
        <w:t xml:space="preserve">npj Computational Materials</w:t>
      </w:r>
      <w:r>
        <w:t xml:space="preserve"> </w:t>
      </w:r>
      <w:r>
        <w:rPr>
          <w:b/>
          <w:bCs/>
        </w:rPr>
        <w:t xml:space="preserve">6</w:t>
      </w:r>
      <w:r>
        <w:t xml:space="preserve">, 173 (2020).</w:t>
      </w:r>
    </w:p>
    <w:bookmarkEnd w:id="146"/>
    <w:bookmarkStart w:id="148" w:name="ref-ryu2025tematdb"/>
    <w:p>
      <w:pPr>
        <w:pStyle w:val="Bibliography"/>
      </w:pPr>
      <w:r>
        <w:t xml:space="preserve">42.</w:t>
      </w:r>
      <w:r>
        <w:t xml:space="preserve"> </w:t>
      </w:r>
      <w:r>
        <w:t xml:space="preserve">	</w:t>
      </w:r>
      <w:r>
        <w:t xml:space="preserve">Ryu, B.</w:t>
      </w:r>
      <w:r>
        <w:t xml:space="preserve"> </w:t>
      </w:r>
      <w:r>
        <w:rPr>
          <w:i/>
          <w:iCs/>
        </w:rPr>
        <w:t xml:space="preserve">et al.</w:t>
      </w:r>
      <w:r>
        <w:t xml:space="preserve"> A high-quality thermoelectric material database with self-consistent</w:t>
      </w:r>
      <w:r>
        <w:t xml:space="preserve"> </w:t>
      </w:r>
      <w:r>
        <w:t xml:space="preserve">ZT</w:t>
      </w:r>
      <w:r>
        <w:t xml:space="preserve"> </w:t>
      </w:r>
      <w:r>
        <w:t xml:space="preserve">filtering. (2025) doi:</w:t>
      </w:r>
      <w:hyperlink r:id="rId147">
        <w:r>
          <w:rPr>
            <w:rStyle w:val="Hyperlink"/>
          </w:rPr>
          <w:t xml:space="preserve">10.48550/arXiv.2505.19150</w:t>
        </w:r>
      </w:hyperlink>
      <w:r>
        <w:t xml:space="preserve">.</w:t>
      </w:r>
    </w:p>
    <w:bookmarkEnd w:id="148"/>
    <w:bookmarkStart w:id="150" w:name="ref-ryu2025tematdbv116"/>
    <w:p>
      <w:pPr>
        <w:pStyle w:val="Bibliography"/>
      </w:pPr>
      <w:r>
        <w:t xml:space="preserve">43.</w:t>
      </w:r>
      <w:r>
        <w:t xml:space="preserve"> </w:t>
      </w:r>
      <w:r>
        <w:t xml:space="preserve">	</w:t>
      </w:r>
      <w:r>
        <w:t xml:space="preserve">Ryu, B. Te</w:t>
      </w:r>
      <w:r>
        <w:t xml:space="preserve">MatDb</w:t>
      </w:r>
      <w:r>
        <w:t xml:space="preserve"> </w:t>
      </w:r>
      <w:r>
        <w:t xml:space="preserve">v1.1.6: Thermoelectric material database. (2025) doi:</w:t>
      </w:r>
      <w:hyperlink r:id="rId149">
        <w:r>
          <w:rPr>
            <w:rStyle w:val="Hyperlink"/>
          </w:rPr>
          <w:t xml:space="preserve">10.5281/zenodo.15518036</w:t>
        </w:r>
      </w:hyperlink>
      <w:r>
        <w:t xml:space="preserve">.</w:t>
      </w:r>
    </w:p>
    <w:bookmarkEnd w:id="150"/>
    <w:bookmarkStart w:id="152" w:name="ref-jain2013commentary"/>
    <w:p>
      <w:pPr>
        <w:pStyle w:val="Bibliography"/>
      </w:pPr>
      <w:r>
        <w:t xml:space="preserve">44.</w:t>
      </w:r>
      <w:r>
        <w:t xml:space="preserve"> </w:t>
      </w:r>
      <w:r>
        <w:t xml:space="preserve">	</w:t>
      </w:r>
      <w:r>
        <w:t xml:space="preserve">Jain, A.</w:t>
      </w:r>
      <w:r>
        <w:t xml:space="preserve"> </w:t>
      </w:r>
      <w:r>
        <w:rPr>
          <w:i/>
          <w:iCs/>
        </w:rPr>
        <w:t xml:space="preserve">et al.</w:t>
      </w:r>
      <w:r>
        <w:t xml:space="preserve"> </w:t>
      </w:r>
      <w:hyperlink r:id="rId151">
        <w:r>
          <w:rPr>
            <w:rStyle w:val="Hyperlink"/>
          </w:rPr>
          <w:t xml:space="preserve">Commentary: The materials project: A materials genome approach to accelerating materials innovation</w:t>
        </w:r>
      </w:hyperlink>
      <w:r>
        <w:t xml:space="preserve">.</w:t>
      </w:r>
      <w:r>
        <w:t xml:space="preserve"> </w:t>
      </w:r>
      <w:r>
        <w:rPr>
          <w:i/>
          <w:iCs/>
        </w:rPr>
        <w:t xml:space="preserve">APL Materials</w:t>
      </w:r>
      <w:r>
        <w:t xml:space="preserve"> </w:t>
      </w:r>
      <w:r>
        <w:rPr>
          <w:b/>
          <w:bCs/>
        </w:rPr>
        <w:t xml:space="preserve">1</w:t>
      </w:r>
      <w:r>
        <w:t xml:space="preserve">, 011002 (2013).</w:t>
      </w:r>
    </w:p>
    <w:bookmarkEnd w:id="152"/>
    <w:bookmarkStart w:id="154" w:name="ref-sopiha2021chalcogenide"/>
    <w:p>
      <w:pPr>
        <w:pStyle w:val="Bibliography"/>
      </w:pPr>
      <w:r>
        <w:t xml:space="preserve">45.</w:t>
      </w:r>
      <w:r>
        <w:t xml:space="preserve"> </w:t>
      </w:r>
      <w:r>
        <w:t xml:space="preserve">	</w:t>
      </w:r>
      <w:r>
        <w:t xml:space="preserve">Sopiha, K. V., Comparotto, C., Márquez, J. A. &amp; Scragg, J. J. S.</w:t>
      </w:r>
      <w:r>
        <w:t xml:space="preserve"> </w:t>
      </w:r>
      <w:hyperlink r:id="rId153">
        <w:r>
          <w:rPr>
            <w:rStyle w:val="Hyperlink"/>
          </w:rPr>
          <w:t xml:space="preserve">Chalcogenide perovskites: Tantalizing prospects, challenging materials</w:t>
        </w:r>
      </w:hyperlink>
      <w:r>
        <w:t xml:space="preserve">.</w:t>
      </w:r>
      <w:r>
        <w:t xml:space="preserve"> </w:t>
      </w:r>
      <w:r>
        <w:rPr>
          <w:i/>
          <w:iCs/>
        </w:rPr>
        <w:t xml:space="preserve">Advanced Optical Materials</w:t>
      </w:r>
      <w:r>
        <w:t xml:space="preserve"> </w:t>
      </w:r>
      <w:r>
        <w:rPr>
          <w:b/>
          <w:bCs/>
        </w:rPr>
        <w:t xml:space="preserve">10</w:t>
      </w:r>
      <w:r>
        <w:t xml:space="preserve">, 2101704 (2021).</w:t>
      </w:r>
    </w:p>
    <w:bookmarkEnd w:id="154"/>
    <w:bookmarkStart w:id="156" w:name="ref-borlido2019large"/>
    <w:p>
      <w:pPr>
        <w:pStyle w:val="Bibliography"/>
      </w:pPr>
      <w:r>
        <w:t xml:space="preserve">46.</w:t>
      </w:r>
      <w:r>
        <w:t xml:space="preserve"> </w:t>
      </w:r>
      <w:r>
        <w:t xml:space="preserve">	</w:t>
      </w:r>
      <w:r>
        <w:t xml:space="preserve">Borlido, P.</w:t>
      </w:r>
      <w:r>
        <w:t xml:space="preserve"> </w:t>
      </w:r>
      <w:r>
        <w:rPr>
          <w:i/>
          <w:iCs/>
        </w:rPr>
        <w:t xml:space="preserve">et al.</w:t>
      </w:r>
      <w:r>
        <w:t xml:space="preserve"> </w:t>
      </w:r>
      <w:hyperlink r:id="rId155">
        <w:r>
          <w:rPr>
            <w:rStyle w:val="Hyperlink"/>
          </w:rPr>
          <w:t xml:space="preserve">Large-scale benchmark of exchange–correlation functionals for the determination of electronic band gaps of solids</w:t>
        </w:r>
      </w:hyperlink>
      <w:r>
        <w:t xml:space="preserve">.</w:t>
      </w:r>
      <w:r>
        <w:t xml:space="preserve"> </w:t>
      </w:r>
      <w:r>
        <w:rPr>
          <w:i/>
          <w:iCs/>
        </w:rPr>
        <w:t xml:space="preserve">Journal of Chemical Theory and Computation</w:t>
      </w:r>
      <w:r>
        <w:t xml:space="preserve"> </w:t>
      </w:r>
      <w:r>
        <w:rPr>
          <w:b/>
          <w:bCs/>
        </w:rPr>
        <w:t xml:space="preserve">15</w:t>
      </w:r>
      <w:r>
        <w:t xml:space="preserve">, 5069–5079 (2019).</w:t>
      </w:r>
    </w:p>
    <w:bookmarkEnd w:id="156"/>
    <w:bookmarkStart w:id="158" w:name="ref-sebastialuna2022"/>
    <w:p>
      <w:pPr>
        <w:pStyle w:val="Bibliography"/>
      </w:pPr>
      <w:r>
        <w:t xml:space="preserve">47.</w:t>
      </w:r>
      <w:r>
        <w:t xml:space="preserve"> </w:t>
      </w:r>
      <w:r>
        <w:t xml:space="preserve">	</w:t>
      </w:r>
      <w:r>
        <w:t xml:space="preserve">Sebastia-Luna, P.</w:t>
      </w:r>
      <w:r>
        <w:t xml:space="preserve"> </w:t>
      </w:r>
      <w:r>
        <w:rPr>
          <w:i/>
          <w:iCs/>
        </w:rPr>
        <w:t xml:space="preserve">et al.</w:t>
      </w:r>
      <w:r>
        <w:t xml:space="preserve"> </w:t>
      </w:r>
      <w:hyperlink r:id="rId157">
        <w:r>
          <w:rPr>
            <w:rStyle w:val="Hyperlink"/>
          </w:rPr>
          <w:t xml:space="preserve">Vacuum-deposited cesium tin iodide thin films with tunable thermoelectric properties</w:t>
        </w:r>
      </w:hyperlink>
      <w:r>
        <w:t xml:space="preserve">.</w:t>
      </w:r>
      <w:r>
        <w:t xml:space="preserve"> </w:t>
      </w:r>
      <w:r>
        <w:rPr>
          <w:i/>
          <w:iCs/>
        </w:rPr>
        <w:t xml:space="preserve">ACS Applied Energy Materials</w:t>
      </w:r>
      <w:r>
        <w:t xml:space="preserve"> </w:t>
      </w:r>
      <w:r>
        <w:rPr>
          <w:b/>
          <w:bCs/>
        </w:rPr>
        <w:t xml:space="preserve">5</w:t>
      </w:r>
      <w:r>
        <w:t xml:space="preserve">, 10216–10223 (2022).</w:t>
      </w:r>
    </w:p>
    <w:bookmarkEnd w:id="158"/>
    <w:bookmarkStart w:id="160" w:name="ref-singh2016"/>
    <w:p>
      <w:pPr>
        <w:pStyle w:val="Bibliography"/>
      </w:pPr>
      <w:r>
        <w:t xml:space="preserve">48.</w:t>
      </w:r>
      <w:r>
        <w:t xml:space="preserve"> </w:t>
      </w:r>
      <w:r>
        <w:t xml:space="preserve">	</w:t>
      </w:r>
      <w:r>
        <w:t xml:space="preserve">Singh, S. &amp; Pandey, S. K.</w:t>
      </w:r>
      <w:r>
        <w:t xml:space="preserve"> </w:t>
      </w:r>
      <w:hyperlink r:id="rId159">
        <w:r>
          <w:rPr>
            <w:rStyle w:val="Hyperlink"/>
          </w:rPr>
          <w:t xml:space="preserve">Understanding the thermoelectric properties of LaCoO3 compound</w:t>
        </w:r>
      </w:hyperlink>
      <w:r>
        <w:t xml:space="preserve">.</w:t>
      </w:r>
      <w:r>
        <w:t xml:space="preserve"> </w:t>
      </w:r>
      <w:r>
        <w:rPr>
          <w:i/>
          <w:iCs/>
        </w:rPr>
        <w:t xml:space="preserve">Philosophical Magazine</w:t>
      </w:r>
      <w:r>
        <w:t xml:space="preserve"> </w:t>
      </w:r>
      <w:r>
        <w:rPr>
          <w:b/>
          <w:bCs/>
        </w:rPr>
        <w:t xml:space="preserve">97</w:t>
      </w:r>
      <w:r>
        <w:t xml:space="preserve">, 451–463 (2016).</w:t>
      </w:r>
    </w:p>
    <w:bookmarkEnd w:id="160"/>
    <w:bookmarkStart w:id="162" w:name="ref-shibasaki2009"/>
    <w:p>
      <w:pPr>
        <w:pStyle w:val="Bibliography"/>
      </w:pPr>
      <w:r>
        <w:t xml:space="preserve">49.</w:t>
      </w:r>
      <w:r>
        <w:t xml:space="preserve"> </w:t>
      </w:r>
      <w:r>
        <w:t xml:space="preserve">	</w:t>
      </w:r>
      <w:r>
        <w:t xml:space="preserve">Shibasaki, S., Takahashi, Y. &amp; Terasaki, I.</w:t>
      </w:r>
      <w:r>
        <w:t xml:space="preserve"> </w:t>
      </w:r>
      <w:hyperlink r:id="rId161">
        <w:r>
          <w:rPr>
            <w:rStyle w:val="Hyperlink"/>
          </w:rPr>
          <w:t xml:space="preserve">Thermoelectric properties of b-site substituted LaRhO3</w:t>
        </w:r>
      </w:hyperlink>
      <w:r>
        <w:t xml:space="preserve">.</w:t>
      </w:r>
      <w:r>
        <w:t xml:space="preserve"> </w:t>
      </w:r>
      <w:r>
        <w:rPr>
          <w:i/>
          <w:iCs/>
        </w:rPr>
        <w:t xml:space="preserve">Journal of Electronic Materials</w:t>
      </w:r>
      <w:r>
        <w:t xml:space="preserve"> </w:t>
      </w:r>
      <w:r>
        <w:rPr>
          <w:b/>
          <w:bCs/>
        </w:rPr>
        <w:t xml:space="preserve">38</w:t>
      </w:r>
      <w:r>
        <w:t xml:space="preserve">, 1013–1016 (2009).</w:t>
      </w:r>
    </w:p>
    <w:bookmarkEnd w:id="162"/>
    <w:bookmarkStart w:id="164" w:name="ref-rajasekaran2020"/>
    <w:p>
      <w:pPr>
        <w:pStyle w:val="Bibliography"/>
      </w:pPr>
      <w:r>
        <w:t xml:space="preserve">50.</w:t>
      </w:r>
      <w:r>
        <w:t xml:space="preserve"> </w:t>
      </w:r>
      <w:r>
        <w:t xml:space="preserve">	</w:t>
      </w:r>
      <w:r>
        <w:t xml:space="preserve">Rajasekaran, P.</w:t>
      </w:r>
      <w:r>
        <w:t xml:space="preserve"> </w:t>
      </w:r>
      <w:r>
        <w:rPr>
          <w:i/>
          <w:iCs/>
        </w:rPr>
        <w:t xml:space="preserve">et al.</w:t>
      </w:r>
      <w:r>
        <w:t xml:space="preserve"> </w:t>
      </w:r>
      <w:hyperlink r:id="rId163">
        <w:r>
          <w:rPr>
            <w:rStyle w:val="Hyperlink"/>
          </w:rPr>
          <w:t xml:space="preserve">Facile synthesis of morphology-controlled la:BaSnO3 for the enhancement of thermoelectric power factor</w:t>
        </w:r>
      </w:hyperlink>
      <w:r>
        <w:t xml:space="preserve">.</w:t>
      </w:r>
      <w:r>
        <w:t xml:space="preserve"> </w:t>
      </w:r>
      <w:r>
        <w:rPr>
          <w:i/>
          <w:iCs/>
        </w:rPr>
        <w:t xml:space="preserve">CrystEngComm</w:t>
      </w:r>
      <w:r>
        <w:t xml:space="preserve"> </w:t>
      </w:r>
      <w:r>
        <w:rPr>
          <w:b/>
          <w:bCs/>
        </w:rPr>
        <w:t xml:space="preserve">22</w:t>
      </w:r>
      <w:r>
        <w:t xml:space="preserve">, 5363–5374 (2020).</w:t>
      </w:r>
    </w:p>
    <w:bookmarkEnd w:id="164"/>
    <w:bookmarkStart w:id="166" w:name="ref-ohta2005temperature"/>
    <w:p>
      <w:pPr>
        <w:pStyle w:val="Bibliography"/>
      </w:pPr>
      <w:r>
        <w:t xml:space="preserve">51.</w:t>
      </w:r>
      <w:r>
        <w:t xml:space="preserve"> </w:t>
      </w:r>
      <w:r>
        <w:t xml:space="preserve">	</w:t>
      </w:r>
      <w:r>
        <w:t xml:space="preserve">Ohta, S., Nomura, T., Ohta, H. &amp; Koumoto, K.</w:t>
      </w:r>
      <w:r>
        <w:t xml:space="preserve"> </w:t>
      </w:r>
      <w:hyperlink r:id="rId165">
        <w:r>
          <w:rPr>
            <w:rStyle w:val="Hyperlink"/>
          </w:rPr>
          <w:t xml:space="preserve">High-temperature carrier transport and thermoelectric properties of heavily la- or nb-doped SrTiO3 single crystals</w:t>
        </w:r>
      </w:hyperlink>
      <w:r>
        <w:t xml:space="preserve">.</w:t>
      </w:r>
      <w:r>
        <w:t xml:space="preserve"> </w:t>
      </w:r>
      <w:r>
        <w:rPr>
          <w:i/>
          <w:iCs/>
        </w:rPr>
        <w:t xml:space="preserve">Journal of Applied Physics</w:t>
      </w:r>
      <w:r>
        <w:t xml:space="preserve"> </w:t>
      </w:r>
      <w:r>
        <w:rPr>
          <w:b/>
          <w:bCs/>
        </w:rPr>
        <w:t xml:space="preserve">97</w:t>
      </w:r>
      <w:r>
        <w:t xml:space="preserve">, 034106 (2005).</w:t>
      </w:r>
    </w:p>
    <w:bookmarkEnd w:id="166"/>
    <w:bookmarkStart w:id="168" w:name="ref-ohtaki1995"/>
    <w:p>
      <w:pPr>
        <w:pStyle w:val="Bibliography"/>
      </w:pPr>
      <w:r>
        <w:t xml:space="preserve">52.</w:t>
      </w:r>
      <w:r>
        <w:t xml:space="preserve"> </w:t>
      </w:r>
      <w:r>
        <w:t xml:space="preserve">	</w:t>
      </w:r>
      <w:r>
        <w:t xml:space="preserve">Ohtaki, M., Koga, H., Tokunaga, T., Eguchi, K. &amp; Arai, H.</w:t>
      </w:r>
      <w:r>
        <w:t xml:space="preserve"> </w:t>
      </w:r>
      <w:hyperlink r:id="rId167">
        <w:r>
          <w:rPr>
            <w:rStyle w:val="Hyperlink"/>
          </w:rPr>
          <w:t xml:space="preserve">Electrical transport properties and high-temperature thermoelectric performance of (Ca0.9M0.1)MnO3 (m = y, la, ce, sm, in, sn, sb, pb, bi)</w:t>
        </w:r>
      </w:hyperlink>
      <w:r>
        <w:t xml:space="preserve">.</w:t>
      </w:r>
      <w:r>
        <w:t xml:space="preserve"> </w:t>
      </w:r>
      <w:r>
        <w:rPr>
          <w:i/>
          <w:iCs/>
        </w:rPr>
        <w:t xml:space="preserve">Journal of Solid State Chemistry</w:t>
      </w:r>
      <w:r>
        <w:t xml:space="preserve"> </w:t>
      </w:r>
      <w:r>
        <w:rPr>
          <w:b/>
          <w:bCs/>
        </w:rPr>
        <w:t xml:space="preserve">120</w:t>
      </w:r>
      <w:r>
        <w:t xml:space="preserve">, 105–111 (1995).</w:t>
      </w:r>
    </w:p>
    <w:bookmarkEnd w:id="168"/>
    <w:bookmarkStart w:id="170" w:name="ref-alleno2015invited"/>
    <w:p>
      <w:pPr>
        <w:pStyle w:val="Bibliography"/>
      </w:pPr>
      <w:r>
        <w:t xml:space="preserve">53.</w:t>
      </w:r>
      <w:r>
        <w:t xml:space="preserve"> </w:t>
      </w:r>
      <w:r>
        <w:t xml:space="preserve">	</w:t>
      </w:r>
      <w:r>
        <w:t xml:space="preserve">Alleno, E.</w:t>
      </w:r>
      <w:r>
        <w:t xml:space="preserve"> </w:t>
      </w:r>
      <w:r>
        <w:rPr>
          <w:i/>
          <w:iCs/>
        </w:rPr>
        <w:t xml:space="preserve">et al.</w:t>
      </w:r>
      <w:r>
        <w:t xml:space="preserve"> </w:t>
      </w:r>
      <w:hyperlink r:id="rId169">
        <w:r>
          <w:rPr>
            <w:rStyle w:val="Hyperlink"/>
          </w:rPr>
          <w:t xml:space="preserve">Invited article: A round robin test of the uncertainty on the measurement of the thermoelectric dimensionless figure of merit of Co0.97Ni0.03Sb3</w:t>
        </w:r>
      </w:hyperlink>
      <w:r>
        <w:t xml:space="preserve">.</w:t>
      </w:r>
      <w:r>
        <w:t xml:space="preserve"> </w:t>
      </w:r>
      <w:r>
        <w:rPr>
          <w:i/>
          <w:iCs/>
        </w:rPr>
        <w:t xml:space="preserve">Review of Scientific Instruments</w:t>
      </w:r>
      <w:r>
        <w:t xml:space="preserve"> </w:t>
      </w:r>
      <w:r>
        <w:rPr>
          <w:b/>
          <w:bCs/>
        </w:rPr>
        <w:t xml:space="preserve">86</w:t>
      </w:r>
      <w:r>
        <w:t xml:space="preserve">, 011301 (2015).</w:t>
      </w:r>
    </w:p>
    <w:bookmarkEnd w:id="170"/>
    <w:bookmarkStart w:id="172" w:name="ref-gao2022defect"/>
    <w:p>
      <w:pPr>
        <w:pStyle w:val="Bibliography"/>
      </w:pPr>
      <w:r>
        <w:t xml:space="preserve">54.</w:t>
      </w:r>
      <w:r>
        <w:t xml:space="preserve"> </w:t>
      </w:r>
      <w:r>
        <w:t xml:space="preserve">	</w:t>
      </w:r>
      <w:r>
        <w:t xml:space="preserve">Gao, Z.</w:t>
      </w:r>
      <w:r>
        <w:t xml:space="preserve"> </w:t>
      </w:r>
      <w:r>
        <w:rPr>
          <w:i/>
          <w:iCs/>
        </w:rPr>
        <w:t xml:space="preserve">et al.</w:t>
      </w:r>
      <w:r>
        <w:t xml:space="preserve"> </w:t>
      </w:r>
      <w:hyperlink r:id="rId171">
        <w:r>
          <w:rPr>
            <w:rStyle w:val="Hyperlink"/>
          </w:rPr>
          <w:t xml:space="preserve">Defect passivation on lead-free CsSnI3 perovskite nanowires enables high-performance photodetectors with ultra-high stability</w:t>
        </w:r>
      </w:hyperlink>
      <w:r>
        <w:t xml:space="preserve">.</w:t>
      </w:r>
      <w:r>
        <w:t xml:space="preserve"> </w:t>
      </w:r>
      <w:r>
        <w:rPr>
          <w:i/>
          <w:iCs/>
        </w:rPr>
        <w:t xml:space="preserve">Nano-Micro Letters</w:t>
      </w:r>
      <w:r>
        <w:t xml:space="preserve"> </w:t>
      </w:r>
      <w:r>
        <w:rPr>
          <w:b/>
          <w:bCs/>
        </w:rPr>
        <w:t xml:space="preserve">14</w:t>
      </w:r>
      <w:r>
        <w:t xml:space="preserve">, 215 (2022).</w:t>
      </w:r>
    </w:p>
    <w:bookmarkEnd w:id="172"/>
    <w:bookmarkStart w:id="174" w:name="ref-lin2021inorganic"/>
    <w:p>
      <w:pPr>
        <w:pStyle w:val="Bibliography"/>
      </w:pPr>
      <w:r>
        <w:t xml:space="preserve">55.</w:t>
      </w:r>
      <w:r>
        <w:t xml:space="preserve"> </w:t>
      </w:r>
      <w:r>
        <w:t xml:space="preserve">	</w:t>
      </w:r>
      <w:r>
        <w:t xml:space="preserve">Lin, S.</w:t>
      </w:r>
      <w:r>
        <w:t xml:space="preserve"> </w:t>
      </w:r>
      <w:r>
        <w:rPr>
          <w:i/>
          <w:iCs/>
        </w:rPr>
        <w:t xml:space="preserve">et al.</w:t>
      </w:r>
      <w:r>
        <w:t xml:space="preserve"> </w:t>
      </w:r>
      <w:hyperlink r:id="rId173">
        <w:r>
          <w:rPr>
            <w:rStyle w:val="Hyperlink"/>
          </w:rPr>
          <w:t xml:space="preserve">Inorganic lead-free b-</w:t>
        </w:r>
        <m:oMath>
          <m:r>
            <m:t>γ</m:t>
          </m:r>
        </m:oMath>
        <w:r>
          <w:rPr>
            <w:rStyle w:val="Hyperlink"/>
          </w:rPr>
          <w:t xml:space="preserve">-CsSnI3 perovskite solar cells using diverse electron-transporting materials: A simulation study</w:t>
        </w:r>
      </w:hyperlink>
      <w:r>
        <w:t xml:space="preserve">.</w:t>
      </w:r>
      <w:r>
        <w:t xml:space="preserve"> </w:t>
      </w:r>
      <w:r>
        <w:rPr>
          <w:i/>
          <w:iCs/>
        </w:rPr>
        <w:t xml:space="preserve">ACS Omega</w:t>
      </w:r>
      <w:r>
        <w:t xml:space="preserve"> </w:t>
      </w:r>
      <w:r>
        <w:rPr>
          <w:b/>
          <w:bCs/>
        </w:rPr>
        <w:t xml:space="preserve">6</w:t>
      </w:r>
      <w:r>
        <w:t xml:space="preserve">, 26689–26698 (2021).</w:t>
      </w:r>
    </w:p>
    <w:bookmarkEnd w:id="174"/>
    <w:bookmarkStart w:id="176" w:name="ref-monacelli2023first"/>
    <w:p>
      <w:pPr>
        <w:pStyle w:val="Bibliography"/>
      </w:pPr>
      <w:r>
        <w:t xml:space="preserve">56.</w:t>
      </w:r>
      <w:r>
        <w:t xml:space="preserve"> </w:t>
      </w:r>
      <w:r>
        <w:t xml:space="preserve">	</w:t>
      </w:r>
      <w:r>
        <w:t xml:space="preserve">Monacelli, L. &amp; Marzari, N.</w:t>
      </w:r>
      <w:r>
        <w:t xml:space="preserve"> </w:t>
      </w:r>
      <w:hyperlink r:id="rId175">
        <w:r>
          <w:rPr>
            <w:rStyle w:val="Hyperlink"/>
          </w:rPr>
          <w:t xml:space="preserve">First-principles thermodynamics of CsSnI3</w:t>
        </w:r>
      </w:hyperlink>
      <w:r>
        <w:t xml:space="preserve">.</w:t>
      </w:r>
      <w:r>
        <w:t xml:space="preserve"> </w:t>
      </w:r>
      <w:r>
        <w:rPr>
          <w:i/>
          <w:iCs/>
        </w:rPr>
        <w:t xml:space="preserve">Chemistry of Materials</w:t>
      </w:r>
      <w:r>
        <w:t xml:space="preserve"> </w:t>
      </w:r>
      <w:r>
        <w:rPr>
          <w:b/>
          <w:bCs/>
        </w:rPr>
        <w:t xml:space="preserve">35</w:t>
      </w:r>
      <w:r>
        <w:t xml:space="preserve">, 1702–1709 (2023).</w:t>
      </w:r>
    </w:p>
    <w:bookmarkEnd w:id="176"/>
    <w:bookmarkStart w:id="178" w:name="ref-lee2017transparent"/>
    <w:p>
      <w:pPr>
        <w:pStyle w:val="Bibliography"/>
      </w:pPr>
      <w:r>
        <w:t xml:space="preserve">57.</w:t>
      </w:r>
      <w:r>
        <w:t xml:space="preserve"> </w:t>
      </w:r>
      <w:r>
        <w:t xml:space="preserve">	</w:t>
      </w:r>
      <w:r>
        <w:t xml:space="preserve">Lee, W.-J.</w:t>
      </w:r>
      <w:r>
        <w:t xml:space="preserve"> </w:t>
      </w:r>
      <w:r>
        <w:rPr>
          <w:i/>
          <w:iCs/>
        </w:rPr>
        <w:t xml:space="preserve">et al.</w:t>
      </w:r>
      <w:r>
        <w:t xml:space="preserve"> </w:t>
      </w:r>
      <w:hyperlink r:id="rId177">
        <w:r>
          <w:rPr>
            <w:rStyle w:val="Hyperlink"/>
          </w:rPr>
          <w:t xml:space="preserve">Transparent perovskite barium stannate with high electron mobility and thermal stability</w:t>
        </w:r>
      </w:hyperlink>
      <w:r>
        <w:t xml:space="preserve">.</w:t>
      </w:r>
      <w:r>
        <w:t xml:space="preserve"> </w:t>
      </w:r>
      <w:r>
        <w:rPr>
          <w:i/>
          <w:iCs/>
        </w:rPr>
        <w:t xml:space="preserve">Annual Review of Materials Research</w:t>
      </w:r>
      <w:r>
        <w:t xml:space="preserve"> </w:t>
      </w:r>
      <w:r>
        <w:rPr>
          <w:b/>
          <w:bCs/>
        </w:rPr>
        <w:t xml:space="preserve">47</w:t>
      </w:r>
      <w:r>
        <w:t xml:space="preserve">, 391–423 (2017).</w:t>
      </w:r>
    </w:p>
    <w:bookmarkEnd w:id="178"/>
    <w:bookmarkStart w:id="180" w:name="ref-jacob1995phase"/>
    <w:p>
      <w:pPr>
        <w:pStyle w:val="Bibliography"/>
      </w:pPr>
      <w:r>
        <w:t xml:space="preserve">58.</w:t>
      </w:r>
      <w:r>
        <w:t xml:space="preserve"> </w:t>
      </w:r>
      <w:r>
        <w:t xml:space="preserve">	</w:t>
      </w:r>
      <w:r>
        <w:t xml:space="preserve">Jacob, K. T. &amp; Waseda, Y.</w:t>
      </w:r>
      <w:r>
        <w:t xml:space="preserve"> </w:t>
      </w:r>
      <w:hyperlink r:id="rId179">
        <w:r>
          <w:rPr>
            <w:rStyle w:val="Hyperlink"/>
          </w:rPr>
          <w:t xml:space="preserve">Phase relations in the system la-rh-o and thermodynamic properties of LaRhO3</w:t>
        </w:r>
      </w:hyperlink>
      <w:r>
        <w:t xml:space="preserve">.</w:t>
      </w:r>
      <w:r>
        <w:t xml:space="preserve"> </w:t>
      </w:r>
      <w:r>
        <w:rPr>
          <w:i/>
          <w:iCs/>
        </w:rPr>
        <w:t xml:space="preserve">Journal of the American Ceramic Society</w:t>
      </w:r>
      <w:r>
        <w:t xml:space="preserve"> </w:t>
      </w:r>
      <w:r>
        <w:rPr>
          <w:b/>
          <w:bCs/>
        </w:rPr>
        <w:t xml:space="preserve">78</w:t>
      </w:r>
      <w:r>
        <w:t xml:space="preserve">, 440–444 (1995).</w:t>
      </w:r>
    </w:p>
    <w:bookmarkEnd w:id="180"/>
    <w:bookmarkStart w:id="182" w:name="ref-radovic2008thermal"/>
    <w:p>
      <w:pPr>
        <w:pStyle w:val="Bibliography"/>
      </w:pPr>
      <w:r>
        <w:t xml:space="preserve">59.</w:t>
      </w:r>
      <w:r>
        <w:t xml:space="preserve"> </w:t>
      </w:r>
      <w:r>
        <w:t xml:space="preserve">	</w:t>
      </w:r>
      <w:r>
        <w:t xml:space="preserve">Radovic, M.</w:t>
      </w:r>
      <w:r>
        <w:t xml:space="preserve"> </w:t>
      </w:r>
      <w:r>
        <w:rPr>
          <w:i/>
          <w:iCs/>
        </w:rPr>
        <w:t xml:space="preserve">et al.</w:t>
      </w:r>
      <w:r>
        <w:t xml:space="preserve"> </w:t>
      </w:r>
      <w:hyperlink r:id="rId181">
        <w:r>
          <w:rPr>
            <w:rStyle w:val="Hyperlink"/>
          </w:rPr>
          <w:t xml:space="preserve">Thermal, mechanical and phase stability of LaCoO3 in reducing and oxidizing environments</w:t>
        </w:r>
      </w:hyperlink>
      <w:r>
        <w:t xml:space="preserve">.</w:t>
      </w:r>
      <w:r>
        <w:t xml:space="preserve"> </w:t>
      </w:r>
      <w:r>
        <w:rPr>
          <w:i/>
          <w:iCs/>
        </w:rPr>
        <w:t xml:space="preserve">Journal of Power Sources</w:t>
      </w:r>
      <w:r>
        <w:t xml:space="preserve"> </w:t>
      </w:r>
      <w:r>
        <w:rPr>
          <w:b/>
          <w:bCs/>
        </w:rPr>
        <w:t xml:space="preserve">184</w:t>
      </w:r>
      <w:r>
        <w:t xml:space="preserve">, 77–83 (2008).</w:t>
      </w:r>
    </w:p>
    <w:bookmarkEnd w:id="182"/>
    <w:bookmarkStart w:id="184" w:name="ref-shafer2008tutorial"/>
    <w:p>
      <w:pPr>
        <w:pStyle w:val="Bibliography"/>
      </w:pPr>
      <w:r>
        <w:t xml:space="preserve">60.</w:t>
      </w:r>
      <w:r>
        <w:t xml:space="preserve"> </w:t>
      </w:r>
      <w:r>
        <w:t xml:space="preserve">	</w:t>
      </w:r>
      <w:r>
        <w:t xml:space="preserve">Shafer, G. &amp; Vovk, V.</w:t>
      </w:r>
      <w:r>
        <w:t xml:space="preserve"> </w:t>
      </w:r>
      <w:hyperlink r:id="rId183">
        <w:r>
          <w:rPr>
            <w:rStyle w:val="Hyperlink"/>
          </w:rPr>
          <w:t xml:space="preserve">A tutorial on conformal prediction</w:t>
        </w:r>
      </w:hyperlink>
      <w:r>
        <w:t xml:space="preserve">.</w:t>
      </w:r>
      <w:r>
        <w:t xml:space="preserve"> </w:t>
      </w:r>
      <w:r>
        <w:rPr>
          <w:i/>
          <w:iCs/>
        </w:rPr>
        <w:t xml:space="preserve">Journal of Machine Learning Research</w:t>
      </w:r>
      <w:r>
        <w:t xml:space="preserve"> </w:t>
      </w:r>
      <w:r>
        <w:rPr>
          <w:b/>
          <w:bCs/>
        </w:rPr>
        <w:t xml:space="preserve">9</w:t>
      </w:r>
      <w:r>
        <w:t xml:space="preserve">, 371–421 (2008).</w:t>
      </w:r>
    </w:p>
    <w:bookmarkEnd w:id="184"/>
    <w:bookmarkStart w:id="186" w:name="ref-xie2018crystal"/>
    <w:p>
      <w:pPr>
        <w:pStyle w:val="Bibliography"/>
      </w:pPr>
      <w:r>
        <w:t xml:space="preserve">61.</w:t>
      </w:r>
      <w:r>
        <w:t xml:space="preserve"> </w:t>
      </w:r>
      <w:r>
        <w:t xml:space="preserve">	</w:t>
      </w:r>
      <w:r>
        <w:t xml:space="preserve">Xie, T. &amp; Grossman, J. C.</w:t>
      </w:r>
      <w:r>
        <w:t xml:space="preserve"> </w:t>
      </w:r>
      <w:hyperlink r:id="rId185">
        <w:r>
          <w:rPr>
            <w:rStyle w:val="Hyperlink"/>
          </w:rPr>
          <w:t xml:space="preserve">Crystal graph convolutional neural networks for an accurate and interpretable prediction of material properties</w:t>
        </w:r>
      </w:hyperlink>
      <w:r>
        <w:t xml:space="preserve">.</w:t>
      </w:r>
      <w:r>
        <w:t xml:space="preserve"> </w:t>
      </w:r>
      <w:r>
        <w:rPr>
          <w:i/>
          <w:iCs/>
        </w:rPr>
        <w:t xml:space="preserve">Physical Review Letters</w:t>
      </w:r>
      <w:r>
        <w:t xml:space="preserve"> </w:t>
      </w:r>
      <w:r>
        <w:rPr>
          <w:b/>
          <w:bCs/>
        </w:rPr>
        <w:t xml:space="preserve">120</w:t>
      </w:r>
      <w:r>
        <w:t xml:space="preserve">, 145301 (2018).</w:t>
      </w:r>
    </w:p>
    <w:bookmarkEnd w:id="186"/>
    <w:bookmarkStart w:id="188" w:name="ref-chen2019graph"/>
    <w:p>
      <w:pPr>
        <w:pStyle w:val="Bibliography"/>
      </w:pPr>
      <w:r>
        <w:t xml:space="preserve">62.</w:t>
      </w:r>
      <w:r>
        <w:t xml:space="preserve"> </w:t>
      </w:r>
      <w:r>
        <w:t xml:space="preserve">	</w:t>
      </w:r>
      <w:r>
        <w:t xml:space="preserve">Chen, C., Ye, W., Zuo, Y., Zheng, C. &amp; Ong, S. P.</w:t>
      </w:r>
      <w:r>
        <w:t xml:space="preserve"> </w:t>
      </w:r>
      <w:hyperlink r:id="rId187">
        <w:r>
          <w:rPr>
            <w:rStyle w:val="Hyperlink"/>
          </w:rPr>
          <w:t xml:space="preserve">Graph networks as a universal machine learning framework for molecules and crystals</w:t>
        </w:r>
      </w:hyperlink>
      <w:r>
        <w:t xml:space="preserve">.</w:t>
      </w:r>
      <w:r>
        <w:t xml:space="preserve"> </w:t>
      </w:r>
      <w:r>
        <w:rPr>
          <w:i/>
          <w:iCs/>
        </w:rPr>
        <w:t xml:space="preserve">Chemistry of Materials</w:t>
      </w:r>
      <w:r>
        <w:t xml:space="preserve"> </w:t>
      </w:r>
      <w:r>
        <w:rPr>
          <w:b/>
          <w:bCs/>
        </w:rPr>
        <w:t xml:space="preserve">31</w:t>
      </w:r>
      <w:r>
        <w:t xml:space="preserve">, 3564–3572 (2019).</w:t>
      </w:r>
    </w:p>
    <w:bookmarkEnd w:id="188"/>
    <w:bookmarkEnd w:id="189"/>
    <w:bookmarkEnd w:id="19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10" Target="media/rId10.png" /><Relationship Type="http://schemas.openxmlformats.org/officeDocument/2006/relationships/image" Id="rId14" Target="media/rId14.png" /><Relationship Type="http://schemas.openxmlformats.org/officeDocument/2006/relationships/image" Id="rId20" Target="media/rId20.png" /><Relationship Type="http://schemas.openxmlformats.org/officeDocument/2006/relationships/image" Id="rId30" Target="media/rId30.png" /><Relationship Type="http://schemas.openxmlformats.org/officeDocument/2006/relationships/image" Id="rId43" Target="media/rId43.png" /><Relationship Type="http://schemas.openxmlformats.org/officeDocument/2006/relationships/image" Id="rId17" Target="media/rId17.png" /><Relationship Type="http://schemas.openxmlformats.org/officeDocument/2006/relationships/hyperlink" Id="rId131" Target="https://arxiv.org/abs/1201.0490" TargetMode="External" /><Relationship Type="http://schemas.openxmlformats.org/officeDocument/2006/relationships/hyperlink" Id="rId111" Target="https://arxiv.org/abs/2509.00299" TargetMode="External" /><Relationship Type="http://schemas.openxmlformats.org/officeDocument/2006/relationships/hyperlink" Id="rId81" Target="https://doi.org/10.1002/adfm.202411152" TargetMode="External" /><Relationship Type="http://schemas.openxmlformats.org/officeDocument/2006/relationships/hyperlink" Id="rId153" Target="https://doi.org/10.1002/adom.202101704" TargetMode="External" /><Relationship Type="http://schemas.openxmlformats.org/officeDocument/2006/relationships/hyperlink" Id="rId91" Target="https://doi.org/10.1002/adts.202400308" TargetMode="External" /><Relationship Type="http://schemas.openxmlformats.org/officeDocument/2006/relationships/hyperlink" Id="rId95" Target="https://doi.org/10.1002/aelm.202500210" TargetMode="External" /><Relationship Type="http://schemas.openxmlformats.org/officeDocument/2006/relationships/hyperlink" Id="rId137" Target="https://doi.org/10.1002/widm.1301" TargetMode="External" /><Relationship Type="http://schemas.openxmlformats.org/officeDocument/2006/relationships/hyperlink" Id="rId167" Target="https://doi.org/10.1006/jssc.1995.1384" TargetMode="External" /><Relationship Type="http://schemas.openxmlformats.org/officeDocument/2006/relationships/hyperlink" Id="rId161" Target="https://doi.org/10.1007/s11664-009-0666-x" TargetMode="External" /><Relationship Type="http://schemas.openxmlformats.org/officeDocument/2006/relationships/hyperlink" Id="rId171" Target="https://doi.org/10.1007/s40820-022-00964-9" TargetMode="External" /><Relationship Type="http://schemas.openxmlformats.org/officeDocument/2006/relationships/hyperlink" Id="rId93" Target="https://doi.org/10.1007/s40843-023-2777-2" TargetMode="External" /><Relationship Type="http://schemas.openxmlformats.org/officeDocument/2006/relationships/hyperlink" Id="rId121" Target="https://doi.org/10.1016/j.commatsci.2018.05.018" TargetMode="External" /><Relationship Type="http://schemas.openxmlformats.org/officeDocument/2006/relationships/hyperlink" Id="rId101" Target="https://doi.org/10.1016/j.commatsci.2019.109203" TargetMode="External" /><Relationship Type="http://schemas.openxmlformats.org/officeDocument/2006/relationships/hyperlink" Id="rId89" Target="https://doi.org/10.1016/j.cpc.2014.02.015" TargetMode="External" /><Relationship Type="http://schemas.openxmlformats.org/officeDocument/2006/relationships/hyperlink" Id="rId181" Target="https://doi.org/10.1016/j.jpowsour.2008.05.063" TargetMode="External" /><Relationship Type="http://schemas.openxmlformats.org/officeDocument/2006/relationships/hyperlink" Id="rId107" Target="https://doi.org/10.1016/j.matdes.2024.113552" TargetMode="External" /><Relationship Type="http://schemas.openxmlformats.org/officeDocument/2006/relationships/hyperlink" Id="rId105" Target="https://doi.org/10.1016/j.matdes.2026.116533" TargetMode="External" /><Relationship Type="http://schemas.openxmlformats.org/officeDocument/2006/relationships/hyperlink" Id="rId97" Target="https://doi.org/10.1016/j.patter.2023.100804" TargetMode="External" /><Relationship Type="http://schemas.openxmlformats.org/officeDocument/2006/relationships/hyperlink" Id="rId65" Target="https://doi.org/10.1016/j.rser.2015.12.192" TargetMode="External" /><Relationship Type="http://schemas.openxmlformats.org/officeDocument/2006/relationships/hyperlink" Id="rId175" Target="https://doi.org/10.1021/acs.chemmater.2c03475" TargetMode="External" /><Relationship Type="http://schemas.openxmlformats.org/officeDocument/2006/relationships/hyperlink" Id="rId123" Target="https://doi.org/10.1021/acs.chemmater.6b02724" TargetMode="External" /><Relationship Type="http://schemas.openxmlformats.org/officeDocument/2006/relationships/hyperlink" Id="rId187" Target="https://doi.org/10.1021/acs.chemmater.9b01294" TargetMode="External" /><Relationship Type="http://schemas.openxmlformats.org/officeDocument/2006/relationships/hyperlink" Id="rId155" Target="https://doi.org/10.1021/acs.jctc.9b00322" TargetMode="External" /><Relationship Type="http://schemas.openxmlformats.org/officeDocument/2006/relationships/hyperlink" Id="rId157" Target="https://doi.org/10.1021/acsaem.2c01936" TargetMode="External" /><Relationship Type="http://schemas.openxmlformats.org/officeDocument/2006/relationships/hyperlink" Id="rId113" Target="https://doi.org/10.1021/acsaem.5c02223" TargetMode="External" /><Relationship Type="http://schemas.openxmlformats.org/officeDocument/2006/relationships/hyperlink" Id="rId109" Target="https://doi.org/10.1021/acsami.4c19149" TargetMode="External" /><Relationship Type="http://schemas.openxmlformats.org/officeDocument/2006/relationships/hyperlink" Id="rId173" Target="https://doi.org/10.1021/acsomega.1c04096" TargetMode="External" /><Relationship Type="http://schemas.openxmlformats.org/officeDocument/2006/relationships/hyperlink" Id="rId83" Target="https://doi.org/10.1021/ic401215x" TargetMode="External" /><Relationship Type="http://schemas.openxmlformats.org/officeDocument/2006/relationships/hyperlink" Id="rId79" Target="https://doi.org/10.1021/jacs.0c03427" TargetMode="External" /><Relationship Type="http://schemas.openxmlformats.org/officeDocument/2006/relationships/hyperlink" Id="rId129" Target="https://doi.org/10.1023/a:1010933404324" TargetMode="External" /><Relationship Type="http://schemas.openxmlformats.org/officeDocument/2006/relationships/hyperlink" Id="rId73" Target="https://doi.org/10.1038/nature11439" TargetMode="External" /><Relationship Type="http://schemas.openxmlformats.org/officeDocument/2006/relationships/hyperlink" Id="rId71" Target="https://doi.org/10.1038/nmat2090" TargetMode="External" /><Relationship Type="http://schemas.openxmlformats.org/officeDocument/2006/relationships/hyperlink" Id="rId119" Target="https://doi.org/10.1038/npjcompumats.2016.28" TargetMode="External" /><Relationship Type="http://schemas.openxmlformats.org/officeDocument/2006/relationships/hyperlink" Id="rId145" Target="https://doi.org/10.1038/s41524-020-00440-1" TargetMode="External" /><Relationship Type="http://schemas.openxmlformats.org/officeDocument/2006/relationships/hyperlink" Id="rId143" Target="https://doi.org/10.1038/s41524-022-00897-2" TargetMode="External" /><Relationship Type="http://schemas.openxmlformats.org/officeDocument/2006/relationships/hyperlink" Id="rId103" Target="https://doi.org/10.1038/s41524-023-01012-9" TargetMode="External" /><Relationship Type="http://schemas.openxmlformats.org/officeDocument/2006/relationships/hyperlink" Id="rId99" Target="https://doi.org/10.1039/c8me00012c" TargetMode="External" /><Relationship Type="http://schemas.openxmlformats.org/officeDocument/2006/relationships/hyperlink" Id="rId163" Target="https://doi.org/10.1039/d0ce00702a" TargetMode="External" /><Relationship Type="http://schemas.openxmlformats.org/officeDocument/2006/relationships/hyperlink" Id="rId87" Target="https://doi.org/10.1063/1.1647686" TargetMode="External" /><Relationship Type="http://schemas.openxmlformats.org/officeDocument/2006/relationships/hyperlink" Id="rId165" Target="https://doi.org/10.1063/1.1847723" TargetMode="External" /><Relationship Type="http://schemas.openxmlformats.org/officeDocument/2006/relationships/hyperlink" Id="rId151" Target="https://doi.org/10.1063/1.4812323" TargetMode="External" /><Relationship Type="http://schemas.openxmlformats.org/officeDocument/2006/relationships/hyperlink" Id="rId169" Target="https://doi.org/10.1063/1.4905250" TargetMode="External" /><Relationship Type="http://schemas.openxmlformats.org/officeDocument/2006/relationships/hyperlink" Id="rId77" Target="https://doi.org/10.1073/pnas.1711744114" TargetMode="External" /><Relationship Type="http://schemas.openxmlformats.org/officeDocument/2006/relationships/hyperlink" Id="rId115" Target="https://doi.org/10.1080/14686996.2019.1603885" TargetMode="External" /><Relationship Type="http://schemas.openxmlformats.org/officeDocument/2006/relationships/hyperlink" Id="rId159" Target="https://doi.org/10.1080/14786435.2016.1263404" TargetMode="External" /><Relationship Type="http://schemas.openxmlformats.org/officeDocument/2006/relationships/hyperlink" Id="rId117" Target="https://doi.org/10.1080/27660400.2025.2506976" TargetMode="External" /><Relationship Type="http://schemas.openxmlformats.org/officeDocument/2006/relationships/hyperlink" Id="rId185" Target="https://doi.org/10.1103/physrevlett.120.145301" TargetMode="External" /><Relationship Type="http://schemas.openxmlformats.org/officeDocument/2006/relationships/hyperlink" Id="rId85" Target="https://doi.org/10.1109/ict.2006.331291" TargetMode="External" /><Relationship Type="http://schemas.openxmlformats.org/officeDocument/2006/relationships/hyperlink" Id="rId141" Target="https://doi.org/10.1111/ecog.02881" TargetMode="External" /><Relationship Type="http://schemas.openxmlformats.org/officeDocument/2006/relationships/hyperlink" Id="rId179" Target="https://doi.org/10.1111/j.1151-2916.1995.tb08821.x" TargetMode="External" /><Relationship Type="http://schemas.openxmlformats.org/officeDocument/2006/relationships/hyperlink" Id="rId75" Target="https://doi.org/10.1126/science.1156446" TargetMode="External" /><Relationship Type="http://schemas.openxmlformats.org/officeDocument/2006/relationships/hyperlink" Id="rId67" Target="https://doi.org/10.1126/science.1158899" TargetMode="External" /><Relationship Type="http://schemas.openxmlformats.org/officeDocument/2006/relationships/hyperlink" Id="rId125" Target="https://doi.org/10.1145/2939672.2939785" TargetMode="External" /><Relationship Type="http://schemas.openxmlformats.org/officeDocument/2006/relationships/hyperlink" Id="rId177" Target="https://doi.org/10.1146/annurev-matsci-070616-124109" TargetMode="External" /><Relationship Type="http://schemas.openxmlformats.org/officeDocument/2006/relationships/hyperlink" Id="rId135" Target="https://doi.org/10.1186/1471-2105-7-91" TargetMode="External" /><Relationship Type="http://schemas.openxmlformats.org/officeDocument/2006/relationships/hyperlink" Id="rId69" Target="https://doi.org/10.1201/9781420049718.ch34" TargetMode="External" /><Relationship Type="http://schemas.openxmlformats.org/officeDocument/2006/relationships/hyperlink" Id="rId139" Target="https://doi.org/10.48550/arXiv.1705.07874" TargetMode="External" /><Relationship Type="http://schemas.openxmlformats.org/officeDocument/2006/relationships/hyperlink" Id="rId147" Target="https://doi.org/10.48550/arXiv.2505.19150" TargetMode="External" /><Relationship Type="http://schemas.openxmlformats.org/officeDocument/2006/relationships/hyperlink" Id="rId149" Target="https://doi.org/10.5281/zenodo.15518036" TargetMode="External" /><Relationship Type="http://schemas.openxmlformats.org/officeDocument/2006/relationships/hyperlink" Id="rId127" Target="https://proceedings.neurips.cc/paper_files/paper/2017/hash/6449f44a102fde848669bdd9eb6b76fa-Abstract.html" TargetMode="External" /><Relationship Type="http://schemas.openxmlformats.org/officeDocument/2006/relationships/hyperlink" Id="rId133" Target="https://www.jmlr.org/papers/v11/cawley10a.html" TargetMode="External" /><Relationship Type="http://schemas.openxmlformats.org/officeDocument/2006/relationships/hyperlink" Id="rId183" Target="https://www.jmlr.org/papers/v9/shafer08a.html" TargetMode="External" /><Relationship Type="http://schemas.openxmlformats.org/officeDocument/2006/relationships/hyperlink" Id="rId9" Target="mailto:muhammad.ejaz@paf-iast.edu.pk" TargetMode="External" /></Relationships>
</file>

<file path=word/_rels/footnotes.xml.rels><?xml version="1.0" encoding="UTF-8"?><Relationships xmlns="http://schemas.openxmlformats.org/package/2006/relationships"><Relationship Type="http://schemas.openxmlformats.org/officeDocument/2006/relationships/hyperlink" Id="rId131" Target="https://arxiv.org/abs/1201.0490" TargetMode="External" /><Relationship Type="http://schemas.openxmlformats.org/officeDocument/2006/relationships/hyperlink" Id="rId111" Target="https://arxiv.org/abs/2509.00299" TargetMode="External" /><Relationship Type="http://schemas.openxmlformats.org/officeDocument/2006/relationships/hyperlink" Id="rId81" Target="https://doi.org/10.1002/adfm.202411152" TargetMode="External" /><Relationship Type="http://schemas.openxmlformats.org/officeDocument/2006/relationships/hyperlink" Id="rId153" Target="https://doi.org/10.1002/adom.202101704" TargetMode="External" /><Relationship Type="http://schemas.openxmlformats.org/officeDocument/2006/relationships/hyperlink" Id="rId91" Target="https://doi.org/10.1002/adts.202400308" TargetMode="External" /><Relationship Type="http://schemas.openxmlformats.org/officeDocument/2006/relationships/hyperlink" Id="rId95" Target="https://doi.org/10.1002/aelm.202500210" TargetMode="External" /><Relationship Type="http://schemas.openxmlformats.org/officeDocument/2006/relationships/hyperlink" Id="rId137" Target="https://doi.org/10.1002/widm.1301" TargetMode="External" /><Relationship Type="http://schemas.openxmlformats.org/officeDocument/2006/relationships/hyperlink" Id="rId167" Target="https://doi.org/10.1006/jssc.1995.1384" TargetMode="External" /><Relationship Type="http://schemas.openxmlformats.org/officeDocument/2006/relationships/hyperlink" Id="rId161" Target="https://doi.org/10.1007/s11664-009-0666-x" TargetMode="External" /><Relationship Type="http://schemas.openxmlformats.org/officeDocument/2006/relationships/hyperlink" Id="rId171" Target="https://doi.org/10.1007/s40820-022-00964-9" TargetMode="External" /><Relationship Type="http://schemas.openxmlformats.org/officeDocument/2006/relationships/hyperlink" Id="rId93" Target="https://doi.org/10.1007/s40843-023-2777-2" TargetMode="External" /><Relationship Type="http://schemas.openxmlformats.org/officeDocument/2006/relationships/hyperlink" Id="rId121" Target="https://doi.org/10.1016/j.commatsci.2018.05.018" TargetMode="External" /><Relationship Type="http://schemas.openxmlformats.org/officeDocument/2006/relationships/hyperlink" Id="rId101" Target="https://doi.org/10.1016/j.commatsci.2019.109203" TargetMode="External" /><Relationship Type="http://schemas.openxmlformats.org/officeDocument/2006/relationships/hyperlink" Id="rId89" Target="https://doi.org/10.1016/j.cpc.2014.02.015" TargetMode="External" /><Relationship Type="http://schemas.openxmlformats.org/officeDocument/2006/relationships/hyperlink" Id="rId181" Target="https://doi.org/10.1016/j.jpowsour.2008.05.063" TargetMode="External" /><Relationship Type="http://schemas.openxmlformats.org/officeDocument/2006/relationships/hyperlink" Id="rId107" Target="https://doi.org/10.1016/j.matdes.2024.113552" TargetMode="External" /><Relationship Type="http://schemas.openxmlformats.org/officeDocument/2006/relationships/hyperlink" Id="rId105" Target="https://doi.org/10.1016/j.matdes.2026.116533" TargetMode="External" /><Relationship Type="http://schemas.openxmlformats.org/officeDocument/2006/relationships/hyperlink" Id="rId97" Target="https://doi.org/10.1016/j.patter.2023.100804" TargetMode="External" /><Relationship Type="http://schemas.openxmlformats.org/officeDocument/2006/relationships/hyperlink" Id="rId65" Target="https://doi.org/10.1016/j.rser.2015.12.192" TargetMode="External" /><Relationship Type="http://schemas.openxmlformats.org/officeDocument/2006/relationships/hyperlink" Id="rId175" Target="https://doi.org/10.1021/acs.chemmater.2c03475" TargetMode="External" /><Relationship Type="http://schemas.openxmlformats.org/officeDocument/2006/relationships/hyperlink" Id="rId123" Target="https://doi.org/10.1021/acs.chemmater.6b02724" TargetMode="External" /><Relationship Type="http://schemas.openxmlformats.org/officeDocument/2006/relationships/hyperlink" Id="rId187" Target="https://doi.org/10.1021/acs.chemmater.9b01294" TargetMode="External" /><Relationship Type="http://schemas.openxmlformats.org/officeDocument/2006/relationships/hyperlink" Id="rId155" Target="https://doi.org/10.1021/acs.jctc.9b00322" TargetMode="External" /><Relationship Type="http://schemas.openxmlformats.org/officeDocument/2006/relationships/hyperlink" Id="rId157" Target="https://doi.org/10.1021/acsaem.2c01936" TargetMode="External" /><Relationship Type="http://schemas.openxmlformats.org/officeDocument/2006/relationships/hyperlink" Id="rId113" Target="https://doi.org/10.1021/acsaem.5c02223" TargetMode="External" /><Relationship Type="http://schemas.openxmlformats.org/officeDocument/2006/relationships/hyperlink" Id="rId109" Target="https://doi.org/10.1021/acsami.4c19149" TargetMode="External" /><Relationship Type="http://schemas.openxmlformats.org/officeDocument/2006/relationships/hyperlink" Id="rId173" Target="https://doi.org/10.1021/acsomega.1c04096" TargetMode="External" /><Relationship Type="http://schemas.openxmlformats.org/officeDocument/2006/relationships/hyperlink" Id="rId83" Target="https://doi.org/10.1021/ic401215x" TargetMode="External" /><Relationship Type="http://schemas.openxmlformats.org/officeDocument/2006/relationships/hyperlink" Id="rId79" Target="https://doi.org/10.1021/jacs.0c03427" TargetMode="External" /><Relationship Type="http://schemas.openxmlformats.org/officeDocument/2006/relationships/hyperlink" Id="rId129" Target="https://doi.org/10.1023/a:1010933404324" TargetMode="External" /><Relationship Type="http://schemas.openxmlformats.org/officeDocument/2006/relationships/hyperlink" Id="rId73" Target="https://doi.org/10.1038/nature11439" TargetMode="External" /><Relationship Type="http://schemas.openxmlformats.org/officeDocument/2006/relationships/hyperlink" Id="rId71" Target="https://doi.org/10.1038/nmat2090" TargetMode="External" /><Relationship Type="http://schemas.openxmlformats.org/officeDocument/2006/relationships/hyperlink" Id="rId119" Target="https://doi.org/10.1038/npjcompumats.2016.28" TargetMode="External" /><Relationship Type="http://schemas.openxmlformats.org/officeDocument/2006/relationships/hyperlink" Id="rId145" Target="https://doi.org/10.1038/s41524-020-00440-1" TargetMode="External" /><Relationship Type="http://schemas.openxmlformats.org/officeDocument/2006/relationships/hyperlink" Id="rId143" Target="https://doi.org/10.1038/s41524-022-00897-2" TargetMode="External" /><Relationship Type="http://schemas.openxmlformats.org/officeDocument/2006/relationships/hyperlink" Id="rId103" Target="https://doi.org/10.1038/s41524-023-01012-9" TargetMode="External" /><Relationship Type="http://schemas.openxmlformats.org/officeDocument/2006/relationships/hyperlink" Id="rId99" Target="https://doi.org/10.1039/c8me00012c" TargetMode="External" /><Relationship Type="http://schemas.openxmlformats.org/officeDocument/2006/relationships/hyperlink" Id="rId163" Target="https://doi.org/10.1039/d0ce00702a" TargetMode="External" /><Relationship Type="http://schemas.openxmlformats.org/officeDocument/2006/relationships/hyperlink" Id="rId87" Target="https://doi.org/10.1063/1.1647686" TargetMode="External" /><Relationship Type="http://schemas.openxmlformats.org/officeDocument/2006/relationships/hyperlink" Id="rId165" Target="https://doi.org/10.1063/1.1847723" TargetMode="External" /><Relationship Type="http://schemas.openxmlformats.org/officeDocument/2006/relationships/hyperlink" Id="rId151" Target="https://doi.org/10.1063/1.4812323" TargetMode="External" /><Relationship Type="http://schemas.openxmlformats.org/officeDocument/2006/relationships/hyperlink" Id="rId169" Target="https://doi.org/10.1063/1.4905250" TargetMode="External" /><Relationship Type="http://schemas.openxmlformats.org/officeDocument/2006/relationships/hyperlink" Id="rId77" Target="https://doi.org/10.1073/pnas.1711744114" TargetMode="External" /><Relationship Type="http://schemas.openxmlformats.org/officeDocument/2006/relationships/hyperlink" Id="rId115" Target="https://doi.org/10.1080/14686996.2019.1603885" TargetMode="External" /><Relationship Type="http://schemas.openxmlformats.org/officeDocument/2006/relationships/hyperlink" Id="rId159" Target="https://doi.org/10.1080/14786435.2016.1263404" TargetMode="External" /><Relationship Type="http://schemas.openxmlformats.org/officeDocument/2006/relationships/hyperlink" Id="rId117" Target="https://doi.org/10.1080/27660400.2025.2506976" TargetMode="External" /><Relationship Type="http://schemas.openxmlformats.org/officeDocument/2006/relationships/hyperlink" Id="rId185" Target="https://doi.org/10.1103/physrevlett.120.145301" TargetMode="External" /><Relationship Type="http://schemas.openxmlformats.org/officeDocument/2006/relationships/hyperlink" Id="rId85" Target="https://doi.org/10.1109/ict.2006.331291" TargetMode="External" /><Relationship Type="http://schemas.openxmlformats.org/officeDocument/2006/relationships/hyperlink" Id="rId141" Target="https://doi.org/10.1111/ecog.02881" TargetMode="External" /><Relationship Type="http://schemas.openxmlformats.org/officeDocument/2006/relationships/hyperlink" Id="rId179" Target="https://doi.org/10.1111/j.1151-2916.1995.tb08821.x" TargetMode="External" /><Relationship Type="http://schemas.openxmlformats.org/officeDocument/2006/relationships/hyperlink" Id="rId75" Target="https://doi.org/10.1126/science.1156446" TargetMode="External" /><Relationship Type="http://schemas.openxmlformats.org/officeDocument/2006/relationships/hyperlink" Id="rId67" Target="https://doi.org/10.1126/science.1158899" TargetMode="External" /><Relationship Type="http://schemas.openxmlformats.org/officeDocument/2006/relationships/hyperlink" Id="rId125" Target="https://doi.org/10.1145/2939672.2939785" TargetMode="External" /><Relationship Type="http://schemas.openxmlformats.org/officeDocument/2006/relationships/hyperlink" Id="rId177" Target="https://doi.org/10.1146/annurev-matsci-070616-124109" TargetMode="External" /><Relationship Type="http://schemas.openxmlformats.org/officeDocument/2006/relationships/hyperlink" Id="rId135" Target="https://doi.org/10.1186/1471-2105-7-91" TargetMode="External" /><Relationship Type="http://schemas.openxmlformats.org/officeDocument/2006/relationships/hyperlink" Id="rId69" Target="https://doi.org/10.1201/9781420049718.ch34" TargetMode="External" /><Relationship Type="http://schemas.openxmlformats.org/officeDocument/2006/relationships/hyperlink" Id="rId139" Target="https://doi.org/10.48550/arXiv.1705.07874" TargetMode="External" /><Relationship Type="http://schemas.openxmlformats.org/officeDocument/2006/relationships/hyperlink" Id="rId147" Target="https://doi.org/10.48550/arXiv.2505.19150" TargetMode="External" /><Relationship Type="http://schemas.openxmlformats.org/officeDocument/2006/relationships/hyperlink" Id="rId149" Target="https://doi.org/10.5281/zenodo.15518036" TargetMode="External" /><Relationship Type="http://schemas.openxmlformats.org/officeDocument/2006/relationships/hyperlink" Id="rId127" Target="https://proceedings.neurips.cc/paper_files/paper/2017/hash/6449f44a102fde848669bdd9eb6b76fa-Abstract.html" TargetMode="External" /><Relationship Type="http://schemas.openxmlformats.org/officeDocument/2006/relationships/hyperlink" Id="rId133" Target="https://www.jmlr.org/papers/v11/cawley10a.html" TargetMode="External" /><Relationship Type="http://schemas.openxmlformats.org/officeDocument/2006/relationships/hyperlink" Id="rId183" Target="https://www.jmlr.org/papers/v9/shafer08a.html" TargetMode="External" /><Relationship Type="http://schemas.openxmlformats.org/officeDocument/2006/relationships/hyperlink" Id="rId9" Target="mailto:muhammad.ejaz@paf-iast.edu.p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2026-10-27T08:41:51Z</dcterms:created>
  <dcterms:modified xsi:type="dcterms:W3CDTF">2026-10-27T08:41:51Z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thesis_paper/paper/refs.bib</vt:lpwstr>
  </property>
  <property fmtid="{D5CDD505-2E9C-101B-9397-08002B2CF9AE}" pid="3" name="csl">
    <vt:lpwstr>thesis_paper/paper/csl/nature.csl</vt:lpwstr>
  </property>
</Properties>
</file>