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Supplementary Table S1.</w:t>
      </w:r>
      <w:r>
        <w:t xml:space="preserve"> </w:t>
      </w:r>
      <w:r>
        <w:t xml:space="preserve">The pre-registration of the literature comparison (NA12) and its amendments, with the date of each and when it was made relative to the data, as the entries of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state. Every entry was written before the comparison was run and before any out-of-fold prediction for these compounds was looked at; entries marked as made after a test run or after the digitising of a figure were made after the digitised values of that figure had been seen. A disclosure states what came into view that was not meant to be read (values of a source while it was inventoried, or the reason an amendment was prompted). The full rules are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Timing, as stated in the entry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 contains a disclosure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pre-registration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  <w:tc>
          <w:tcPr/>
          <w:p>
            <w:pPr>
              <w:pStyle w:val="Compact"/>
            </w:pPr>
            <w:r>
              <w:t xml:space="preserve">Design: compounds, predictions compared (out-of-fold, exact and cluster level), per-value facts, error measure and band, values from the PDFs only</w:t>
            </w:r>
          </w:p>
        </w:tc>
        <w:tc>
          <w:tcPr/>
          <w:p>
            <w:pPr>
              <w:pStyle w:val="Compact"/>
            </w:pPr>
            <w:r>
              <w:t xml:space="preserve">done before the values are read and before any prediction is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how discrete measurements are read</w:t>
            </w:r>
          </w:p>
        </w:tc>
        <w:tc>
          <w:tcPr/>
          <w:p>
            <w:pPr>
              <w:pStyle w:val="Compact"/>
            </w:pPr>
            <w:r>
              <w:t xml:space="preserve">Made before any NA12 value is written to `docs/na12_literature_values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aggregation and reporting</w:t>
            </w:r>
          </w:p>
        </w:tc>
        <w:tc>
          <w:tcPr/>
          <w:p>
            <w:pPr>
              <w:pStyle w:val="Compact"/>
            </w:pPr>
            <w:r>
              <w:t xml:space="preserve">Made before the comparison has been run for any NA12 value and with no out-of-fold prediction for an NA12 compound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Ohta 2005 and Ohtaki 1995</w:t>
            </w:r>
          </w:p>
        </w:tc>
        <w:tc>
          <w:tcPr/>
          <w:p>
            <w:pPr>
              <w:pStyle w:val="Compact"/>
            </w:pPr>
            <w:r>
              <w:t xml:space="preserve">made before any of their values is digitised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marker temperatures of figures with several series: column consensus</w:t>
            </w:r>
          </w:p>
        </w:tc>
        <w:tc>
          <w:tcPr/>
          <w:p>
            <w:pPr>
              <w:pStyle w:val="Compact"/>
            </w:pPr>
            <w:r>
              <w:t xml:space="preserve">made before any comparison, with no out-of-fold prediction for an NA12 compound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one temperature per measurement column across the figures of one run; one marker-centre method</w:t>
            </w:r>
          </w:p>
        </w:tc>
        <w:tc>
          <w:tcPr/>
          <w:p>
            <w:pPr>
              <w:pStyle w:val="Compact"/>
            </w:pPr>
            <w:r>
              <w:t xml:space="preserve">made before any comparison, with no out-of-fold prediction for an NA12 compound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edge-flag tolerance 2u</w:t>
            </w:r>
          </w:p>
        </w:tc>
        <w:tc>
          <w:tcPr/>
          <w:p>
            <w:pPr>
              <w:pStyle w:val="Compact"/>
            </w:pPr>
            <w:r>
              <w:t xml:space="preserve">made before any comparison, with no out-of-fold prediction for an NA12 compound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Ohta et al. Fig. 3, thermal conductivity: only legible markers</w:t>
            </w:r>
          </w:p>
        </w:tc>
        <w:tc>
          <w:tcPr/>
          <w:p>
            <w:pPr>
              <w:pStyle w:val="Compact"/>
            </w:pPr>
            <w:r>
              <w:t xml:space="preserve">made before any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approximate zT consistency check for Ohta et al.</w:t>
            </w:r>
          </w:p>
        </w:tc>
        <w:tc>
          <w:tcPr/>
          <w:p>
            <w:pPr>
              <w:pStyle w:val="Compact"/>
            </w:pPr>
            <w:r>
              <w:t xml:space="preserve">made before any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Ohtaki et al. 1995: legible markers only, extending amendment 7</w:t>
            </w:r>
          </w:p>
        </w:tc>
        <w:tc>
          <w:tcPr/>
          <w:p>
            <w:pPr>
              <w:pStyle w:val="Compact"/>
            </w:pPr>
            <w:r>
              <w:t xml:space="preserve">made before any Ohtaki marker is digitised,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Ohtaki et al. Fig. 7: column-grouping gate 6 deg C</w:t>
            </w:r>
          </w:p>
        </w:tc>
        <w:tc>
          <w:tcPr/>
          <w:p>
            <w:pPr>
              <w:pStyle w:val="Compact"/>
            </w:pPr>
            <w:r>
              <w:t xml:space="preserve">made after the Fig. 7 digitising, before any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Ohtaki et al. Fig. 4: unplaceable clicks, columns of the not-legible list, estimator settings</w:t>
            </w:r>
          </w:p>
        </w:tc>
        <w:tc>
          <w:tcPr/>
          <w:p>
            <w:pPr>
              <w:pStyle w:val="Compact"/>
            </w:pPr>
            <w:r>
              <w:t xml:space="preserve">made after a test run of the Fig. 4 files, before the official run and any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Ohtaki et al. Fig. 1: the 1000/T axis, tilt, units, room temperature</w:t>
            </w:r>
          </w:p>
        </w:tc>
        <w:tc>
          <w:tcPr/>
          <w:p>
            <w:pPr>
              <w:pStyle w:val="Compact"/>
            </w:pPr>
            <w:r>
              <w:t xml:space="preserve">made after a test run of the Fig. 1 files, before the official run and any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2026-10-17</w:t>
            </w:r>
          </w:p>
        </w:tc>
        <w:tc>
          <w:tcPr/>
          <w:p>
            <w:pPr>
              <w:pStyle w:val="Compact"/>
            </w:pPr>
            <w:r>
              <w:t xml:space="preserve">the legibility gates of amendment 12 apply to every digitised scanned figure</w:t>
            </w:r>
          </w:p>
        </w:tc>
        <w:tc>
          <w:tcPr/>
          <w:p>
            <w:pPr>
              <w:pStyle w:val="Compact"/>
            </w:pPr>
            <w:r>
              <w:t xml:space="preserve">made before the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Shibasaki et al. 2009 and Rajasekaran et al. 2020: which values are rows</w:t>
            </w:r>
          </w:p>
        </w:tc>
        <w:tc>
          <w:tcPr/>
          <w:p>
            <w:pPr>
              <w:pStyle w:val="Compact"/>
            </w:pPr>
            <w:r>
              <w:t xml:space="preserve">made before any value of the two papers is read into the values file and before the comparison, with no out-of-fold prediction looked 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a value the stated-temperature figure cannot resolve is taken from the figure that does</w:t>
            </w:r>
          </w:p>
        </w:tc>
        <w:tc>
          <w:tcPr/>
          <w:p>
            <w:pPr>
              <w:pStyle w:val="Compact"/>
            </w:pPr>
            <w:r>
              <w:t xml:space="preserve">made before the comparison, with no out-of-fold prediction looked 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Rajasekaran et al. Fig. 10: values from the printed ticks, marker opening radius, the abstract as a check</w:t>
            </w:r>
          </w:p>
        </w:tc>
        <w:tc>
          <w:tcPr/>
          <w:p>
            <w:pPr>
              <w:pStyle w:val="Compact"/>
            </w:pPr>
            <w:r>
              <w:t xml:space="preserve">made after the test run of the digitised files, before the official run and the comparison, with no out-of-fold prediction looked 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2026-10-19</w:t>
            </w:r>
          </w:p>
        </w:tc>
        <w:tc>
          <w:tcPr/>
          <w:p>
            <w:pPr>
              <w:pStyle w:val="Compact"/>
            </w:pPr>
            <w:r>
              <w:t xml:space="preserve">the symmetry cross-check on the opened body, and a window centred on the click; every scanned figure</w:t>
            </w:r>
          </w:p>
        </w:tc>
        <w:tc>
          <w:tcPr/>
          <w:p>
            <w:pPr>
              <w:pStyle w:val="Compact"/>
            </w:pPr>
            <w:r>
              <w:t xml:space="preserve">made before the comparison, with no out-of-fold prediction looked at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(SHA256</w:t>
      </w:r>
      <w:r>
        <w:t xml:space="preserve"> </w:t>
      </w:r>
      <w:r>
        <w:rPr>
          <w:rStyle w:val="VerbatimChar"/>
        </w:rPr>
        <w:t xml:space="preserve">c961c9c5d8f0cd4cd7502ea556c2c7b306a7b7c7d161bcdd76d0b69cbf4067be</w:t>
      </w:r>
      <w:r>
        <w:t xml:space="preserve">) at commit</w:t>
      </w:r>
      <w:r>
        <w:t xml:space="preserve"> </w:t>
      </w:r>
      <w:r>
        <w:rPr>
          <w:rStyle w:val="VerbatimChar"/>
        </w:rPr>
        <w:t xml:space="preserve">6dc4ba44bd71a5f2393925cf8bd49c02985acb32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Supplementary Table S2.</w:t>
      </w:r>
      <w:r>
        <w:t xml:space="preserve"> </w:t>
      </w:r>
      <w:r>
        <w:t xml:space="preserve">Hyperparameters of the comparison models of Section 4.1.3. Part A: LightGBM, tuned once per target on all rows of the target by a 20-trial Optuna search scored with 3-fold chemistry-cluster cross-validation (the XGBoost protocol), then frozen; the search ranges are those of the code. Part B: the random forest, which is not tuned: one setting, fixed in advance, is used for all four targets (Section 3.4). The target scale is log</w:t>
      </w:r>
      <w:r>
        <w:rPr>
          <w:vertAlign w:val="subscript"/>
        </w:rPr>
        <w:t xml:space="preserve">10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σ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κ</w:t>
      </w:r>
      <w:r>
        <w:t xml:space="preserve"> </w:t>
      </w:r>
      <w:r>
        <w:t xml:space="preserve">and linear for S and zT.</w:t>
      </w:r>
    </w:p>
    <w:p>
      <w:pPr>
        <w:pStyle w:val="BodyText"/>
      </w:pPr>
      <w:r>
        <w:rPr>
          <w:i/>
          <w:iCs/>
        </w:rPr>
        <w:t xml:space="preserve">Part A: LightGBM (tuned, frozen).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3"/>
        <w:gridCol w:w="1049"/>
        <w:gridCol w:w="1049"/>
        <w:gridCol w:w="1049"/>
        <w:gridCol w:w="1049"/>
        <w:gridCol w:w="171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550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100 to 600 (step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 to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num_leaves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15 to 255 (log 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learning_rate</w:t>
            </w:r>
          </w:p>
        </w:tc>
        <w:tc>
          <w:tcPr/>
          <w:p>
            <w:pPr>
              <w:pStyle w:val="Compact"/>
            </w:pPr>
            <w:r>
              <w:t xml:space="preserve">0.0638</w:t>
            </w:r>
          </w:p>
        </w:tc>
        <w:tc>
          <w:tcPr/>
          <w:p>
            <w:pPr>
              <w:pStyle w:val="Compact"/>
            </w:pPr>
            <w:r>
              <w:t xml:space="preserve">0.0568</w:t>
            </w:r>
          </w:p>
        </w:tc>
        <w:tc>
          <w:tcPr/>
          <w:p>
            <w:pPr>
              <w:pStyle w:val="Compact"/>
            </w:pPr>
            <w:r>
              <w:t xml:space="preserve">0.0877</w:t>
            </w:r>
          </w:p>
        </w:tc>
        <w:tc>
          <w:tcPr/>
          <w:p>
            <w:pPr>
              <w:pStyle w:val="Compact"/>
            </w:pPr>
            <w:r>
              <w:t xml:space="preserve">0.0447</w:t>
            </w:r>
          </w:p>
        </w:tc>
        <w:tc>
          <w:tcPr/>
          <w:p>
            <w:pPr>
              <w:pStyle w:val="Compact"/>
            </w:pPr>
            <w:r>
              <w:t xml:space="preserve">0.01 to 0.3 (log 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subsample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0.5 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colsample_bytree</w:t>
            </w:r>
          </w:p>
        </w:tc>
        <w:tc>
          <w:tcPr/>
          <w:p>
            <w:pPr>
              <w:pStyle w:val="Compact"/>
            </w:pPr>
            <w:r>
              <w:t xml:space="preserve">0.823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t xml:space="preserve">0.677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0.5 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min_child_samples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 to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reg_lambda</w:t>
            </w:r>
          </w:p>
        </w:tc>
        <w:tc>
          <w:tcPr/>
          <w:p>
            <w:pPr>
              <w:pStyle w:val="Compact"/>
            </w:pPr>
            <w:r>
              <w:t xml:space="preserve">3.69</w:t>
            </w:r>
          </w:p>
        </w:tc>
        <w:tc>
          <w:tcPr/>
          <w:p>
            <w:pPr>
              <w:pStyle w:val="Compact"/>
            </w:pPr>
            <w:r>
              <w:t xml:space="preserve">3.27</w:t>
            </w:r>
          </w:p>
        </w:tc>
        <w:tc>
          <w:tcPr/>
          <w:p>
            <w:pPr>
              <w:pStyle w:val="Compact"/>
            </w:pPr>
            <w:r>
              <w:t xml:space="preserve">0.0269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0.001 to 10 (log 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reg_alpha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  <w:tc>
          <w:tcPr/>
          <w:p>
            <w:pPr>
              <w:pStyle w:val="Compact"/>
            </w:pPr>
            <w:r>
              <w:t xml:space="preserve">9.84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0.001 to 10 (log 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inner-CV 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of the chosen set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rows of the target</w:t>
            </w:r>
          </w:p>
        </w:tc>
        <w:tc>
          <w:tcPr/>
          <w:p>
            <w:pPr>
              <w:pStyle w:val="Compact"/>
            </w:pPr>
            <w:r>
              <w:t xml:space="preserve">185,064</w:t>
            </w:r>
          </w:p>
        </w:tc>
        <w:tc>
          <w:tcPr/>
          <w:p>
            <w:pPr>
              <w:pStyle w:val="Compact"/>
            </w:pPr>
            <w:r>
              <w:t xml:space="preserve">182,755</w:t>
            </w:r>
          </w:p>
        </w:tc>
        <w:tc>
          <w:tcPr/>
          <w:p>
            <w:pPr>
              <w:pStyle w:val="Compact"/>
            </w:pPr>
            <w:r>
              <w:t xml:space="preserve">121,110</w:t>
            </w:r>
          </w:p>
        </w:tc>
        <w:tc>
          <w:tcPr/>
          <w:p>
            <w:pPr>
              <w:pStyle w:val="Compact"/>
            </w:pPr>
            <w:r>
              <w:t xml:space="preserve">129,419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Part B: random forest (fixed setting, not tuned; the same for S, σ, κ and zT).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n_estimators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t xml:space="preserve">0.333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none (no limit)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min_samples_split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scripts/make_supplement_hyperparameters.py</w:t>
      </w:r>
      <w:r>
        <w:t xml:space="preserve"> </w:t>
      </w:r>
      <w:r>
        <w:t xml:space="preserve">from the frozen files of</w:t>
      </w:r>
      <w:r>
        <w:t xml:space="preserve"> </w:t>
      </w:r>
      <w:r>
        <w:rPr>
          <w:rStyle w:val="VerbatimChar"/>
        </w:rPr>
        <w:t xml:space="preserve">results/na2_lightgbm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results/na2_rf_*</w:t>
      </w:r>
      <w:r>
        <w:t xml:space="preserve"> </w:t>
      </w:r>
      <w:r>
        <w:t xml:space="preserve">and from</w:t>
      </w:r>
      <w:r>
        <w:t xml:space="preserve"> </w:t>
      </w:r>
      <w:r>
        <w:rPr>
          <w:rStyle w:val="VerbatimChar"/>
        </w:rPr>
        <w:t xml:space="preserve">src/nested_cv.py</w:t>
      </w:r>
      <w:r>
        <w:t xml:space="preserve"> </w:t>
      </w:r>
      <w:r>
        <w:t xml:space="preserve">(the SHA256 of every input is in</w:t>
      </w:r>
      <w:r>
        <w:t xml:space="preserve"> </w:t>
      </w:r>
      <w:r>
        <w:rPr>
          <w:rStyle w:val="VerbatimChar"/>
        </w:rPr>
        <w:t xml:space="preserve">reports/supplement_hyperparameters/run_config.json</w:t>
      </w:r>
      <w:r>
        <w:t xml:space="preserve">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2026-10-25T09:41:07Z</dcterms:created>
  <dcterms:modified xsi:type="dcterms:W3CDTF">2026-10-25T09:41:07Z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